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FA23B" w14:textId="77777777" w:rsidR="004456E2" w:rsidRPr="002A7897" w:rsidRDefault="004456E2" w:rsidP="004456E2">
      <w:pPr>
        <w:widowControl/>
        <w:snapToGrid w:val="0"/>
        <w:spacing w:line="360" w:lineRule="auto"/>
        <w:jc w:val="left"/>
        <w:rPr>
          <w:rFonts w:ascii="Times New Roman" w:eastAsia="SimSun" w:hAnsi="Times New Roman" w:cs="Times New Roman"/>
          <w:b/>
          <w:kern w:val="0"/>
          <w:sz w:val="18"/>
          <w:szCs w:val="18"/>
        </w:rPr>
      </w:pPr>
      <w:r w:rsidRPr="002A7897">
        <w:rPr>
          <w:rFonts w:ascii="Times New Roman" w:eastAsia="SimSun" w:hAnsi="Times New Roman" w:cs="Times New Roman"/>
          <w:b/>
          <w:kern w:val="0"/>
          <w:sz w:val="18"/>
          <w:szCs w:val="18"/>
        </w:rPr>
        <w:t>Appendix Definitions of Variables</w:t>
      </w:r>
    </w:p>
    <w:tbl>
      <w:tblPr>
        <w:tblW w:w="5000" w:type="pct"/>
        <w:tblBorders>
          <w:top w:val="single" w:sz="4" w:space="0" w:color="auto"/>
          <w:bottom w:val="single" w:sz="4" w:space="0" w:color="000000"/>
        </w:tblBorders>
        <w:tblLook w:val="0000" w:firstRow="0" w:lastRow="0" w:firstColumn="0" w:lastColumn="0" w:noHBand="0" w:noVBand="0"/>
      </w:tblPr>
      <w:tblGrid>
        <w:gridCol w:w="1985"/>
        <w:gridCol w:w="6321"/>
      </w:tblGrid>
      <w:tr w:rsidR="004456E2" w:rsidRPr="002A7897" w14:paraId="4806EB18" w14:textId="77777777" w:rsidTr="00034836">
        <w:trPr>
          <w:trHeight w:val="315"/>
        </w:trPr>
        <w:tc>
          <w:tcPr>
            <w:tcW w:w="1195" w:type="pct"/>
            <w:tcBorders>
              <w:bottom w:val="single" w:sz="4" w:space="0" w:color="000000"/>
            </w:tcBorders>
            <w:vAlign w:val="center"/>
          </w:tcPr>
          <w:p w14:paraId="02AF5DDF" w14:textId="77777777" w:rsidR="004456E2" w:rsidRPr="002A7897" w:rsidRDefault="004456E2" w:rsidP="00034836">
            <w:pPr>
              <w:widowControl/>
              <w:adjustRightInd w:val="0"/>
              <w:snapToGrid w:val="0"/>
              <w:ind w:firstLine="341"/>
              <w:jc w:val="left"/>
              <w:rPr>
                <w:rFonts w:ascii="Times New Roman" w:eastAsia="SimSun" w:hAnsi="Times New Roman" w:cs="Times New Roman"/>
                <w:b/>
                <w:kern w:val="0"/>
                <w:sz w:val="18"/>
                <w:szCs w:val="18"/>
              </w:rPr>
            </w:pPr>
            <w:r w:rsidRPr="002A7897">
              <w:rPr>
                <w:rFonts w:ascii="Times New Roman" w:eastAsia="SimSun" w:hAnsi="Times New Roman" w:cs="Times New Roman"/>
                <w:b/>
                <w:kern w:val="0"/>
                <w:sz w:val="18"/>
                <w:szCs w:val="18"/>
              </w:rPr>
              <w:t>Variables</w:t>
            </w:r>
          </w:p>
        </w:tc>
        <w:tc>
          <w:tcPr>
            <w:tcW w:w="3805" w:type="pct"/>
            <w:tcBorders>
              <w:bottom w:val="single" w:sz="4" w:space="0" w:color="000000"/>
            </w:tcBorders>
            <w:vAlign w:val="center"/>
          </w:tcPr>
          <w:p w14:paraId="1CB0DC7A" w14:textId="77777777" w:rsidR="004456E2" w:rsidRPr="002A7897" w:rsidRDefault="004456E2" w:rsidP="00034836">
            <w:pPr>
              <w:widowControl/>
              <w:adjustRightInd w:val="0"/>
              <w:snapToGrid w:val="0"/>
              <w:ind w:firstLine="341"/>
              <w:jc w:val="left"/>
              <w:rPr>
                <w:rFonts w:ascii="Times New Roman" w:eastAsia="SimSun" w:hAnsi="Times New Roman" w:cs="Times New Roman"/>
                <w:b/>
                <w:kern w:val="0"/>
                <w:sz w:val="18"/>
                <w:szCs w:val="18"/>
              </w:rPr>
            </w:pPr>
            <w:r w:rsidRPr="002A7897">
              <w:rPr>
                <w:rFonts w:ascii="Times New Roman" w:eastAsia="SimSun" w:hAnsi="Times New Roman" w:cs="Times New Roman"/>
                <w:b/>
                <w:kern w:val="0"/>
                <w:sz w:val="18"/>
                <w:szCs w:val="18"/>
              </w:rPr>
              <w:t>Definition</w:t>
            </w:r>
          </w:p>
        </w:tc>
      </w:tr>
      <w:tr w:rsidR="004456E2" w:rsidRPr="002A7897" w14:paraId="1019E7F1" w14:textId="77777777" w:rsidTr="00034836">
        <w:trPr>
          <w:trHeight w:val="315"/>
        </w:trPr>
        <w:tc>
          <w:tcPr>
            <w:tcW w:w="1195" w:type="pct"/>
            <w:tcBorders>
              <w:top w:val="single" w:sz="4" w:space="0" w:color="000000"/>
              <w:bottom w:val="nil"/>
            </w:tcBorders>
            <w:vAlign w:val="center"/>
          </w:tcPr>
          <w:p w14:paraId="4C75E018"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AB_NET_HIRE</w:t>
            </w:r>
          </w:p>
        </w:tc>
        <w:tc>
          <w:tcPr>
            <w:tcW w:w="3805" w:type="pct"/>
            <w:tcBorders>
              <w:top w:val="single" w:sz="4" w:space="0" w:color="000000"/>
              <w:bottom w:val="nil"/>
            </w:tcBorders>
            <w:vAlign w:val="center"/>
          </w:tcPr>
          <w:p w14:paraId="6122D388"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The absolute difference between actual net hiring and the expected level of the firm.</w:t>
            </w:r>
          </w:p>
        </w:tc>
      </w:tr>
      <w:tr w:rsidR="004456E2" w:rsidRPr="002A7897" w14:paraId="4804AE3E" w14:textId="77777777" w:rsidTr="00034836">
        <w:trPr>
          <w:trHeight w:val="315"/>
        </w:trPr>
        <w:tc>
          <w:tcPr>
            <w:tcW w:w="1195" w:type="pct"/>
            <w:tcBorders>
              <w:top w:val="nil"/>
              <w:bottom w:val="nil"/>
            </w:tcBorders>
          </w:tcPr>
          <w:p w14:paraId="4CE3D2BB"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POLICY</w:t>
            </w:r>
          </w:p>
        </w:tc>
        <w:tc>
          <w:tcPr>
            <w:tcW w:w="3805" w:type="pct"/>
            <w:tcBorders>
              <w:top w:val="nil"/>
              <w:bottom w:val="nil"/>
            </w:tcBorders>
          </w:tcPr>
          <w:p w14:paraId="5B182307"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A dummy variable for Guidelines implementation that</w:t>
            </w:r>
            <w:r w:rsidRPr="002A7897">
              <w:rPr>
                <w:rFonts w:ascii="Times New Roman" w:eastAsia="SimSun" w:hAnsi="Times New Roman" w:cs="Times New Roman" w:hint="eastAsia"/>
                <w:kern w:val="0"/>
                <w:sz w:val="18"/>
                <w:szCs w:val="18"/>
              </w:rPr>
              <w:t xml:space="preserve"> </w:t>
            </w:r>
            <w:r w:rsidRPr="002A7897">
              <w:rPr>
                <w:rFonts w:ascii="Times New Roman" w:eastAsia="SimSun" w:hAnsi="Times New Roman" w:cs="Times New Roman"/>
                <w:kern w:val="0"/>
                <w:sz w:val="18"/>
                <w:szCs w:val="18"/>
              </w:rPr>
              <w:t>equals to one for year 2012 and later, and zero otherwise.</w:t>
            </w:r>
          </w:p>
        </w:tc>
      </w:tr>
      <w:tr w:rsidR="004456E2" w:rsidRPr="002A7897" w14:paraId="0F115C4A" w14:textId="77777777" w:rsidTr="00034836">
        <w:trPr>
          <w:trHeight w:val="315"/>
        </w:trPr>
        <w:tc>
          <w:tcPr>
            <w:tcW w:w="1195" w:type="pct"/>
            <w:tcBorders>
              <w:top w:val="nil"/>
            </w:tcBorders>
          </w:tcPr>
          <w:p w14:paraId="769D4D2C"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GCRES</w:t>
            </w:r>
          </w:p>
        </w:tc>
        <w:tc>
          <w:tcPr>
            <w:tcW w:w="3805" w:type="pct"/>
            <w:tcBorders>
              <w:top w:val="nil"/>
            </w:tcBorders>
          </w:tcPr>
          <w:p w14:paraId="0BA68A39"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A dummy variable for the green credit policy implementation industries that</w:t>
            </w:r>
            <w:r w:rsidRPr="002A7897">
              <w:rPr>
                <w:rFonts w:ascii="Times New Roman" w:eastAsia="SimSun" w:hAnsi="Times New Roman" w:cs="Times New Roman" w:hint="eastAsia"/>
                <w:kern w:val="0"/>
                <w:sz w:val="18"/>
                <w:szCs w:val="18"/>
              </w:rPr>
              <w:t xml:space="preserve"> </w:t>
            </w:r>
            <w:r w:rsidRPr="002A7897">
              <w:rPr>
                <w:rFonts w:ascii="Times New Roman" w:eastAsia="SimSun" w:hAnsi="Times New Roman" w:cs="Times New Roman"/>
                <w:kern w:val="0"/>
                <w:sz w:val="18"/>
                <w:szCs w:val="18"/>
              </w:rPr>
              <w:t xml:space="preserve">equals to one for the industries identified in the Guidelines, and zero otherwise. </w:t>
            </w:r>
          </w:p>
        </w:tc>
      </w:tr>
      <w:tr w:rsidR="004456E2" w:rsidRPr="002A7897" w14:paraId="03E589FA" w14:textId="77777777" w:rsidTr="00034836">
        <w:trPr>
          <w:trHeight w:val="270"/>
        </w:trPr>
        <w:tc>
          <w:tcPr>
            <w:tcW w:w="1195" w:type="pct"/>
          </w:tcPr>
          <w:p w14:paraId="280E4379"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GCRES</w:t>
            </w:r>
            <w:r w:rsidRPr="002A7897">
              <w:rPr>
                <w:rFonts w:ascii="Times New Roman" w:eastAsia="SimSun" w:hAnsi="Times New Roman" w:cs="Times New Roman"/>
                <w:i/>
                <w:kern w:val="0"/>
                <w:sz w:val="18"/>
                <w:szCs w:val="18"/>
              </w:rPr>
              <w:t>×</w:t>
            </w:r>
            <w:r>
              <w:rPr>
                <w:rFonts w:ascii="Times New Roman" w:eastAsia="SimSun" w:hAnsi="Times New Roman" w:cs="Times New Roman"/>
                <w:i/>
                <w:kern w:val="0"/>
                <w:sz w:val="18"/>
                <w:szCs w:val="18"/>
              </w:rPr>
              <w:t>POLICY</w:t>
            </w:r>
          </w:p>
        </w:tc>
        <w:tc>
          <w:tcPr>
            <w:tcW w:w="3805" w:type="pct"/>
          </w:tcPr>
          <w:p w14:paraId="463F4276"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 xml:space="preserve">The intersection of </w:t>
            </w:r>
            <w:r>
              <w:rPr>
                <w:rFonts w:ascii="Times New Roman" w:eastAsia="SimSun" w:hAnsi="Times New Roman" w:cs="Times New Roman"/>
                <w:i/>
                <w:kern w:val="0"/>
                <w:sz w:val="18"/>
                <w:szCs w:val="18"/>
              </w:rPr>
              <w:t>GCRES</w:t>
            </w:r>
            <w:r w:rsidRPr="002A7897">
              <w:rPr>
                <w:rFonts w:ascii="Times New Roman" w:eastAsia="SimSun" w:hAnsi="Times New Roman" w:cs="Times New Roman"/>
                <w:kern w:val="0"/>
                <w:sz w:val="18"/>
                <w:szCs w:val="18"/>
              </w:rPr>
              <w:t xml:space="preserve"> and</w:t>
            </w:r>
            <w:r w:rsidRPr="002A7897">
              <w:rPr>
                <w:rFonts w:ascii="Times New Roman" w:eastAsia="SimSun" w:hAnsi="Times New Roman" w:cs="Times New Roman"/>
                <w:i/>
                <w:kern w:val="0"/>
                <w:sz w:val="18"/>
                <w:szCs w:val="18"/>
              </w:rPr>
              <w:t xml:space="preserve"> </w:t>
            </w:r>
            <w:r>
              <w:rPr>
                <w:rFonts w:ascii="Times New Roman" w:eastAsia="SimSun" w:hAnsi="Times New Roman" w:cs="Times New Roman"/>
                <w:i/>
                <w:kern w:val="0"/>
                <w:sz w:val="18"/>
                <w:szCs w:val="18"/>
              </w:rPr>
              <w:t>POLICY</w:t>
            </w:r>
            <w:r w:rsidRPr="002A7897">
              <w:rPr>
                <w:rFonts w:ascii="Times New Roman" w:eastAsia="SimSun" w:hAnsi="Times New Roman" w:cs="Times New Roman"/>
                <w:kern w:val="0"/>
                <w:sz w:val="18"/>
                <w:szCs w:val="18"/>
              </w:rPr>
              <w:t>.</w:t>
            </w:r>
          </w:p>
        </w:tc>
      </w:tr>
      <w:tr w:rsidR="004456E2" w:rsidRPr="002A7897" w14:paraId="2EDF94CE" w14:textId="77777777" w:rsidTr="00034836">
        <w:trPr>
          <w:trHeight w:val="270"/>
        </w:trPr>
        <w:tc>
          <w:tcPr>
            <w:tcW w:w="1195" w:type="pct"/>
            <w:vAlign w:val="center"/>
          </w:tcPr>
          <w:p w14:paraId="17EAFEE2"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SIZE</w:t>
            </w:r>
          </w:p>
        </w:tc>
        <w:tc>
          <w:tcPr>
            <w:tcW w:w="3805" w:type="pct"/>
            <w:vAlign w:val="center"/>
          </w:tcPr>
          <w:p w14:paraId="2D40ED62"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Natural logarithm of the total assets.</w:t>
            </w:r>
          </w:p>
        </w:tc>
      </w:tr>
      <w:tr w:rsidR="004456E2" w:rsidRPr="002A7897" w14:paraId="4E55AAE7" w14:textId="77777777" w:rsidTr="00034836">
        <w:trPr>
          <w:trHeight w:val="270"/>
        </w:trPr>
        <w:tc>
          <w:tcPr>
            <w:tcW w:w="1195" w:type="pct"/>
          </w:tcPr>
          <w:p w14:paraId="525C7242"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hint="eastAsia"/>
                <w:i/>
                <w:kern w:val="0"/>
                <w:sz w:val="18"/>
                <w:szCs w:val="18"/>
              </w:rPr>
              <w:t>R</w:t>
            </w:r>
            <w:r w:rsidRPr="002A7897">
              <w:rPr>
                <w:rFonts w:ascii="Times New Roman" w:eastAsia="SimSun" w:hAnsi="Times New Roman" w:cs="Times New Roman"/>
                <w:i/>
                <w:kern w:val="0"/>
                <w:sz w:val="18"/>
                <w:szCs w:val="18"/>
              </w:rPr>
              <w:t>OA</w:t>
            </w:r>
          </w:p>
        </w:tc>
        <w:tc>
          <w:tcPr>
            <w:tcW w:w="3805" w:type="pct"/>
          </w:tcPr>
          <w:p w14:paraId="3F983C7F"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Operating income divided by total assets of firm</w:t>
            </w:r>
          </w:p>
        </w:tc>
      </w:tr>
      <w:tr w:rsidR="004456E2" w:rsidRPr="002A7897" w14:paraId="639A192B" w14:textId="77777777" w:rsidTr="00034836">
        <w:trPr>
          <w:trHeight w:val="270"/>
        </w:trPr>
        <w:tc>
          <w:tcPr>
            <w:tcW w:w="1195" w:type="pct"/>
            <w:vAlign w:val="center"/>
          </w:tcPr>
          <w:p w14:paraId="478A46CB"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i/>
                <w:kern w:val="0"/>
                <w:sz w:val="18"/>
                <w:szCs w:val="18"/>
              </w:rPr>
              <w:t>L</w:t>
            </w:r>
            <w:r>
              <w:rPr>
                <w:rFonts w:ascii="Times New Roman" w:eastAsia="SimSun" w:hAnsi="Times New Roman" w:cs="Times New Roman"/>
                <w:i/>
                <w:kern w:val="0"/>
                <w:sz w:val="18"/>
                <w:szCs w:val="18"/>
              </w:rPr>
              <w:t>EV</w:t>
            </w:r>
          </w:p>
        </w:tc>
        <w:tc>
          <w:tcPr>
            <w:tcW w:w="3805" w:type="pct"/>
            <w:vAlign w:val="center"/>
          </w:tcPr>
          <w:p w14:paraId="1ECAC2A6"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Total liabilities divided by total assets of firm</w:t>
            </w:r>
          </w:p>
        </w:tc>
      </w:tr>
      <w:tr w:rsidR="004456E2" w:rsidRPr="002A7897" w14:paraId="541B5F53" w14:textId="77777777" w:rsidTr="00034836">
        <w:trPr>
          <w:trHeight w:val="270"/>
        </w:trPr>
        <w:tc>
          <w:tcPr>
            <w:tcW w:w="1195" w:type="pct"/>
          </w:tcPr>
          <w:p w14:paraId="29C46FAC"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TANGIBILITY</w:t>
            </w:r>
          </w:p>
        </w:tc>
        <w:tc>
          <w:tcPr>
            <w:tcW w:w="3805" w:type="pct"/>
          </w:tcPr>
          <w:p w14:paraId="6FFCE649"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Tangible assets divided by total assets of firm</w:t>
            </w:r>
          </w:p>
        </w:tc>
      </w:tr>
      <w:tr w:rsidR="004456E2" w:rsidRPr="002A7897" w14:paraId="2E4AF841" w14:textId="77777777" w:rsidTr="00034836">
        <w:trPr>
          <w:trHeight w:val="270"/>
        </w:trPr>
        <w:tc>
          <w:tcPr>
            <w:tcW w:w="1195" w:type="pct"/>
          </w:tcPr>
          <w:p w14:paraId="3924E711"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AGE</w:t>
            </w:r>
          </w:p>
        </w:tc>
        <w:tc>
          <w:tcPr>
            <w:tcW w:w="3805" w:type="pct"/>
          </w:tcPr>
          <w:p w14:paraId="57C150F0"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The natural logarithm of 1 plus the number of years since the firm was listed</w:t>
            </w:r>
          </w:p>
        </w:tc>
      </w:tr>
      <w:tr w:rsidR="004456E2" w:rsidRPr="002A7897" w14:paraId="089F3799" w14:textId="77777777" w:rsidTr="00034836">
        <w:trPr>
          <w:trHeight w:val="270"/>
        </w:trPr>
        <w:tc>
          <w:tcPr>
            <w:tcW w:w="1195" w:type="pct"/>
          </w:tcPr>
          <w:p w14:paraId="0D22B321"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i/>
                <w:kern w:val="0"/>
                <w:sz w:val="18"/>
                <w:szCs w:val="18"/>
              </w:rPr>
              <w:t>SOE</w:t>
            </w:r>
          </w:p>
        </w:tc>
        <w:tc>
          <w:tcPr>
            <w:tcW w:w="3805" w:type="pct"/>
          </w:tcPr>
          <w:p w14:paraId="073EA07B"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A dummy variable equals to one if the firm is government controlled or owned, and zero otherwise</w:t>
            </w:r>
          </w:p>
        </w:tc>
      </w:tr>
      <w:tr w:rsidR="004456E2" w:rsidRPr="002A7897" w14:paraId="0FBC61D0" w14:textId="77777777" w:rsidTr="00034836">
        <w:trPr>
          <w:trHeight w:val="270"/>
        </w:trPr>
        <w:tc>
          <w:tcPr>
            <w:tcW w:w="1195" w:type="pct"/>
          </w:tcPr>
          <w:p w14:paraId="5F24A2CD"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STD_NET_HIRE</w:t>
            </w:r>
          </w:p>
        </w:tc>
        <w:tc>
          <w:tcPr>
            <w:tcW w:w="3805" w:type="pct"/>
          </w:tcPr>
          <w:p w14:paraId="1B86717C"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Standard deviation of firm’s change in the number of employees from year t-3 to t-1.</w:t>
            </w:r>
          </w:p>
        </w:tc>
      </w:tr>
      <w:tr w:rsidR="004456E2" w:rsidRPr="002A7897" w14:paraId="2A00F879" w14:textId="77777777" w:rsidTr="00034836">
        <w:trPr>
          <w:trHeight w:val="270"/>
        </w:trPr>
        <w:tc>
          <w:tcPr>
            <w:tcW w:w="1195" w:type="pct"/>
          </w:tcPr>
          <w:p w14:paraId="49013224"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LABOR_INTENSITY</w:t>
            </w:r>
          </w:p>
        </w:tc>
        <w:tc>
          <w:tcPr>
            <w:tcW w:w="3805" w:type="pct"/>
          </w:tcPr>
          <w:p w14:paraId="4DED7727"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Labor intensity, measured as the number of employees divided by total assets at the end of year t-1 for the firm.</w:t>
            </w:r>
          </w:p>
        </w:tc>
      </w:tr>
      <w:tr w:rsidR="004456E2" w:rsidRPr="002A7897" w14:paraId="4A9D5BAA" w14:textId="77777777" w:rsidTr="00034836">
        <w:trPr>
          <w:trHeight w:val="270"/>
        </w:trPr>
        <w:tc>
          <w:tcPr>
            <w:tcW w:w="1195" w:type="pct"/>
          </w:tcPr>
          <w:p w14:paraId="0249039E"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i/>
                <w:kern w:val="0"/>
                <w:sz w:val="18"/>
                <w:szCs w:val="18"/>
              </w:rPr>
              <w:t>STD_CFO</w:t>
            </w:r>
          </w:p>
        </w:tc>
        <w:tc>
          <w:tcPr>
            <w:tcW w:w="3805" w:type="pct"/>
          </w:tcPr>
          <w:p w14:paraId="461C66B7"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Standard deviation of firm’s cash flows from operations from year t-3 to t-1.</w:t>
            </w:r>
          </w:p>
        </w:tc>
      </w:tr>
      <w:tr w:rsidR="004456E2" w:rsidRPr="002A7897" w14:paraId="0E5DA182" w14:textId="77777777" w:rsidTr="00034836">
        <w:trPr>
          <w:trHeight w:val="270"/>
        </w:trPr>
        <w:tc>
          <w:tcPr>
            <w:tcW w:w="1195" w:type="pct"/>
          </w:tcPr>
          <w:p w14:paraId="11D269CB"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STD_SALES</w:t>
            </w:r>
          </w:p>
        </w:tc>
        <w:tc>
          <w:tcPr>
            <w:tcW w:w="3805" w:type="pct"/>
          </w:tcPr>
          <w:p w14:paraId="50314CD7"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Standard deviation of firm’s sales from year t-3 to t-1.</w:t>
            </w:r>
          </w:p>
        </w:tc>
      </w:tr>
      <w:tr w:rsidR="004456E2" w:rsidRPr="002A7897" w14:paraId="60E0AFAA" w14:textId="77777777" w:rsidTr="00034836">
        <w:trPr>
          <w:trHeight w:val="270"/>
        </w:trPr>
        <w:tc>
          <w:tcPr>
            <w:tcW w:w="1195" w:type="pct"/>
            <w:vAlign w:val="center"/>
          </w:tcPr>
          <w:p w14:paraId="3909C40E"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SKILLED_LABOR</w:t>
            </w:r>
          </w:p>
        </w:tc>
        <w:tc>
          <w:tcPr>
            <w:tcW w:w="3805" w:type="pct"/>
            <w:vAlign w:val="bottom"/>
          </w:tcPr>
          <w:p w14:paraId="46B32008"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Proportion of technical employees, number of technical employees divided by total number of employees.</w:t>
            </w:r>
          </w:p>
        </w:tc>
      </w:tr>
      <w:tr w:rsidR="004456E2" w:rsidRPr="002A7897" w14:paraId="17930B3E" w14:textId="77777777" w:rsidTr="00034836">
        <w:trPr>
          <w:trHeight w:val="270"/>
        </w:trPr>
        <w:tc>
          <w:tcPr>
            <w:tcW w:w="1195" w:type="pct"/>
            <w:vAlign w:val="bottom"/>
          </w:tcPr>
          <w:p w14:paraId="26C00804"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i/>
                <w:kern w:val="0"/>
                <w:sz w:val="18"/>
                <w:szCs w:val="18"/>
              </w:rPr>
              <w:t>AC</w:t>
            </w:r>
          </w:p>
        </w:tc>
        <w:tc>
          <w:tcPr>
            <w:tcW w:w="3805" w:type="pct"/>
            <w:vAlign w:val="bottom"/>
          </w:tcPr>
          <w:p w14:paraId="30005393"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Agency cost, administrative expenses divided by total operating income.</w:t>
            </w:r>
          </w:p>
        </w:tc>
      </w:tr>
      <w:tr w:rsidR="004456E2" w:rsidRPr="002A7897" w14:paraId="61835CFF" w14:textId="77777777" w:rsidTr="00034836">
        <w:trPr>
          <w:trHeight w:val="270"/>
        </w:trPr>
        <w:tc>
          <w:tcPr>
            <w:tcW w:w="1195" w:type="pct"/>
            <w:vAlign w:val="bottom"/>
          </w:tcPr>
          <w:p w14:paraId="7F22FF05"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i/>
                <w:kern w:val="0"/>
                <w:sz w:val="18"/>
                <w:szCs w:val="18"/>
              </w:rPr>
              <w:t>ELP1</w:t>
            </w:r>
          </w:p>
        </w:tc>
        <w:tc>
          <w:tcPr>
            <w:tcW w:w="3805" w:type="pct"/>
            <w:vAlign w:val="bottom"/>
          </w:tcPr>
          <w:p w14:paraId="7C9E572D"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A dummy variable equals to one if the sewage charges of the province is greater than the annual median, and zero otherwise</w:t>
            </w:r>
          </w:p>
        </w:tc>
      </w:tr>
      <w:tr w:rsidR="004456E2" w:rsidRPr="002A7897" w14:paraId="4CE7F692" w14:textId="77777777" w:rsidTr="00034836">
        <w:trPr>
          <w:trHeight w:val="270"/>
        </w:trPr>
        <w:tc>
          <w:tcPr>
            <w:tcW w:w="1195" w:type="pct"/>
            <w:vAlign w:val="bottom"/>
          </w:tcPr>
          <w:p w14:paraId="07938206"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i/>
                <w:kern w:val="0"/>
                <w:sz w:val="18"/>
                <w:szCs w:val="18"/>
              </w:rPr>
              <w:t>ELP2</w:t>
            </w:r>
          </w:p>
        </w:tc>
        <w:tc>
          <w:tcPr>
            <w:tcW w:w="3805" w:type="pct"/>
            <w:vAlign w:val="bottom"/>
          </w:tcPr>
          <w:p w14:paraId="40EFDC6C"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A dummy variable equals to one if the number of administrative penalty cases of the province is greater than the annual median, and zero otherwise.</w:t>
            </w:r>
          </w:p>
        </w:tc>
      </w:tr>
      <w:tr w:rsidR="004456E2" w:rsidRPr="002A7897" w14:paraId="32CB211A" w14:textId="77777777" w:rsidTr="00034836">
        <w:trPr>
          <w:trHeight w:val="270"/>
        </w:trPr>
        <w:tc>
          <w:tcPr>
            <w:tcW w:w="1195" w:type="pct"/>
            <w:vAlign w:val="bottom"/>
          </w:tcPr>
          <w:p w14:paraId="79EB28FC"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i/>
                <w:kern w:val="0"/>
                <w:sz w:val="18"/>
                <w:szCs w:val="18"/>
              </w:rPr>
              <w:t>LI1</w:t>
            </w:r>
          </w:p>
        </w:tc>
        <w:tc>
          <w:tcPr>
            <w:tcW w:w="3805" w:type="pct"/>
            <w:vAlign w:val="bottom"/>
          </w:tcPr>
          <w:p w14:paraId="4D90459B"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 xml:space="preserve">A dummy variable equals to one if the labor intensity (measured as the number of employees at the end of the year divided by the operating income of the year for the firm) is greater than the annual median in each industry, and zero otherwise. </w:t>
            </w:r>
          </w:p>
        </w:tc>
      </w:tr>
      <w:tr w:rsidR="004456E2" w:rsidRPr="002A7897" w14:paraId="3D63BA65" w14:textId="77777777" w:rsidTr="00034836">
        <w:trPr>
          <w:trHeight w:val="270"/>
        </w:trPr>
        <w:tc>
          <w:tcPr>
            <w:tcW w:w="1195" w:type="pct"/>
            <w:vAlign w:val="bottom"/>
          </w:tcPr>
          <w:p w14:paraId="35C1BB76" w14:textId="77777777" w:rsidR="004456E2" w:rsidRPr="002A7897" w:rsidRDefault="004456E2" w:rsidP="00034836">
            <w:pPr>
              <w:rPr>
                <w:rFonts w:ascii="Times New Roman" w:eastAsia="SimSun" w:hAnsi="Times New Roman" w:cs="Times New Roman"/>
                <w:i/>
                <w:kern w:val="0"/>
                <w:sz w:val="18"/>
                <w:szCs w:val="18"/>
              </w:rPr>
            </w:pPr>
            <w:r w:rsidRPr="002A7897">
              <w:rPr>
                <w:rFonts w:ascii="Times New Roman" w:eastAsia="SimSun" w:hAnsi="Times New Roman" w:cs="Times New Roman"/>
                <w:i/>
                <w:kern w:val="0"/>
                <w:sz w:val="18"/>
                <w:szCs w:val="18"/>
              </w:rPr>
              <w:t>LI2</w:t>
            </w:r>
          </w:p>
        </w:tc>
        <w:tc>
          <w:tcPr>
            <w:tcW w:w="3805" w:type="pct"/>
            <w:vAlign w:val="bottom"/>
          </w:tcPr>
          <w:p w14:paraId="64416F9D"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A dummy variable equals to one if the labor intensity (measured as the natural logarithm of "cash paid to employees and paid for employees" divided by the natural logarithm of sales revenue) is greater than the annual median in each industry, and zero otherwise.</w:t>
            </w:r>
          </w:p>
        </w:tc>
      </w:tr>
      <w:tr w:rsidR="004456E2" w:rsidRPr="002A7897" w14:paraId="4E36009E" w14:textId="77777777" w:rsidTr="00034836">
        <w:trPr>
          <w:trHeight w:val="270"/>
        </w:trPr>
        <w:tc>
          <w:tcPr>
            <w:tcW w:w="1195" w:type="pct"/>
            <w:vAlign w:val="bottom"/>
          </w:tcPr>
          <w:p w14:paraId="35F27ECC"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AVEROA</w:t>
            </w:r>
          </w:p>
        </w:tc>
        <w:tc>
          <w:tcPr>
            <w:tcW w:w="3805" w:type="pct"/>
            <w:vAlign w:val="bottom"/>
          </w:tcPr>
          <w:p w14:paraId="32F7243D"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 xml:space="preserve">The average value of </w:t>
            </w:r>
            <w:r w:rsidRPr="002A7897">
              <w:rPr>
                <w:rFonts w:ascii="Times New Roman" w:eastAsia="SimSun" w:hAnsi="Times New Roman" w:cs="Times New Roman"/>
                <w:i/>
                <w:kern w:val="0"/>
                <w:sz w:val="18"/>
                <w:szCs w:val="18"/>
              </w:rPr>
              <w:t>ROA</w:t>
            </w:r>
            <w:r w:rsidRPr="002A7897">
              <w:rPr>
                <w:rFonts w:ascii="Times New Roman" w:eastAsia="SimSun" w:hAnsi="Times New Roman" w:cs="Times New Roman"/>
                <w:kern w:val="0"/>
                <w:sz w:val="18"/>
                <w:szCs w:val="18"/>
              </w:rPr>
              <w:t xml:space="preserve"> over the next three years.</w:t>
            </w:r>
          </w:p>
        </w:tc>
      </w:tr>
      <w:tr w:rsidR="004456E2" w:rsidRPr="002A7897" w14:paraId="7422E68E" w14:textId="77777777" w:rsidTr="00034836">
        <w:trPr>
          <w:trHeight w:val="270"/>
        </w:trPr>
        <w:tc>
          <w:tcPr>
            <w:tcW w:w="1195" w:type="pct"/>
            <w:vAlign w:val="bottom"/>
          </w:tcPr>
          <w:p w14:paraId="08C279AE" w14:textId="77777777" w:rsidR="004456E2" w:rsidRPr="002A7897" w:rsidRDefault="004456E2" w:rsidP="00034836">
            <w:pPr>
              <w:rPr>
                <w:rFonts w:ascii="Times New Roman" w:eastAsia="SimSun" w:hAnsi="Times New Roman" w:cs="Times New Roman"/>
                <w:i/>
                <w:kern w:val="0"/>
                <w:sz w:val="18"/>
                <w:szCs w:val="18"/>
              </w:rPr>
            </w:pPr>
            <w:r>
              <w:rPr>
                <w:rFonts w:ascii="Times New Roman" w:eastAsia="SimSun" w:hAnsi="Times New Roman" w:cs="Times New Roman"/>
                <w:i/>
                <w:kern w:val="0"/>
                <w:sz w:val="18"/>
                <w:szCs w:val="18"/>
              </w:rPr>
              <w:t>AVETOBINQ</w:t>
            </w:r>
          </w:p>
        </w:tc>
        <w:tc>
          <w:tcPr>
            <w:tcW w:w="3805" w:type="pct"/>
            <w:vAlign w:val="bottom"/>
          </w:tcPr>
          <w:p w14:paraId="27C2B83E" w14:textId="77777777" w:rsidR="004456E2" w:rsidRPr="002A7897" w:rsidRDefault="004456E2" w:rsidP="00034836">
            <w:pPr>
              <w:rPr>
                <w:rFonts w:ascii="Times New Roman" w:eastAsia="SimSun" w:hAnsi="Times New Roman" w:cs="Times New Roman"/>
                <w:kern w:val="0"/>
                <w:sz w:val="18"/>
                <w:szCs w:val="18"/>
              </w:rPr>
            </w:pPr>
            <w:r w:rsidRPr="002A7897">
              <w:rPr>
                <w:rFonts w:ascii="Times New Roman" w:eastAsia="SimSun" w:hAnsi="Times New Roman" w:cs="Times New Roman"/>
                <w:kern w:val="0"/>
                <w:sz w:val="18"/>
                <w:szCs w:val="18"/>
              </w:rPr>
              <w:t xml:space="preserve">The average value of </w:t>
            </w:r>
            <w:r>
              <w:rPr>
                <w:rFonts w:ascii="Times New Roman" w:eastAsia="SimSun" w:hAnsi="Times New Roman" w:cs="Times New Roman"/>
                <w:i/>
                <w:kern w:val="0"/>
                <w:sz w:val="18"/>
                <w:szCs w:val="18"/>
              </w:rPr>
              <w:t>TOBINQ</w:t>
            </w:r>
            <w:r w:rsidRPr="002A7897">
              <w:rPr>
                <w:rFonts w:ascii="Times New Roman" w:eastAsia="SimSun" w:hAnsi="Times New Roman" w:cs="Times New Roman"/>
                <w:kern w:val="0"/>
                <w:sz w:val="18"/>
                <w:szCs w:val="18"/>
              </w:rPr>
              <w:t xml:space="preserve"> over the next three years.</w:t>
            </w:r>
          </w:p>
        </w:tc>
      </w:tr>
    </w:tbl>
    <w:p w14:paraId="79F3D316" w14:textId="77777777" w:rsidR="004456E2" w:rsidRPr="002A7897" w:rsidRDefault="004456E2" w:rsidP="004456E2">
      <w:pPr>
        <w:widowControl/>
        <w:snapToGrid w:val="0"/>
        <w:jc w:val="center"/>
        <w:rPr>
          <w:rFonts w:ascii="Times New Roman" w:eastAsia="SimSun" w:hAnsi="Times New Roman" w:cs="Times New Roman"/>
          <w:b/>
          <w:kern w:val="0"/>
          <w:sz w:val="18"/>
          <w:szCs w:val="18"/>
        </w:rPr>
        <w:sectPr w:rsidR="004456E2" w:rsidRPr="002A7897">
          <w:pgSz w:w="11906" w:h="16838"/>
          <w:pgMar w:top="1440" w:right="1800" w:bottom="1440" w:left="1800" w:header="851" w:footer="992" w:gutter="0"/>
          <w:cols w:space="425"/>
          <w:docGrid w:type="lines" w:linePitch="312"/>
        </w:sectPr>
      </w:pPr>
    </w:p>
    <w:p w14:paraId="608B5D04" w14:textId="77777777" w:rsidR="00FE0AE6" w:rsidRDefault="00FE0AE6"/>
    <w:sectPr w:rsidR="00FE0A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6E2"/>
    <w:rsid w:val="004456E2"/>
    <w:rsid w:val="00FE0A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E4D03"/>
  <w15:chartTrackingRefBased/>
  <w15:docId w15:val="{E2F53412-0BFC-4696-B6E5-6274427E4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6E2"/>
    <w:pPr>
      <w:widowControl w:val="0"/>
      <w:spacing w:after="0" w:line="240" w:lineRule="auto"/>
      <w:jc w:val="both"/>
    </w:pPr>
    <w:rPr>
      <w:rFonts w:eastAsiaTheme="minorEastAsia"/>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358</Words>
  <Characters>2043</Characters>
  <Application>Microsoft Office Word</Application>
  <DocSecurity>0</DocSecurity>
  <Lines>17</Lines>
  <Paragraphs>4</Paragraphs>
  <ScaleCrop>false</ScaleCrop>
  <Company>SpringerNature</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2023-09-04T05:55:00Z</dcterms:created>
  <dcterms:modified xsi:type="dcterms:W3CDTF">2023-09-04T05:55:00Z</dcterms:modified>
</cp:coreProperties>
</file>