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EDAE7" w14:textId="77777777" w:rsidR="00FA1CCE" w:rsidRDefault="003135E7">
      <w:pPr>
        <w:adjustRightInd w:val="0"/>
        <w:snapToGrid w:val="0"/>
        <w:spacing w:line="480" w:lineRule="auto"/>
        <w:jc w:val="left"/>
        <w:rPr>
          <w:rFonts w:ascii="Times New Roman" w:hAnsi="Times New Roman"/>
          <w:b/>
          <w:i/>
          <w:iCs/>
          <w:sz w:val="24"/>
          <w:szCs w:val="24"/>
        </w:rPr>
      </w:pPr>
      <w:r>
        <w:rPr>
          <w:rFonts w:ascii="Times New Roman" w:hAnsi="Times New Roman"/>
          <w:b/>
          <w:i/>
          <w:iCs/>
          <w:sz w:val="24"/>
          <w:szCs w:val="24"/>
        </w:rPr>
        <w:t>Supporting Information</w:t>
      </w:r>
    </w:p>
    <w:p w14:paraId="3920B7C5" w14:textId="77777777" w:rsidR="003135E7" w:rsidRDefault="003135E7" w:rsidP="003135E7">
      <w:pPr>
        <w:adjustRightInd w:val="0"/>
        <w:snapToGrid w:val="0"/>
        <w:spacing w:line="480" w:lineRule="auto"/>
        <w:jc w:val="center"/>
        <w:rPr>
          <w:rFonts w:ascii="Times New Roman" w:eastAsia="宋体" w:hAnsi="Times New Roman"/>
          <w:b/>
          <w:bCs/>
          <w:sz w:val="24"/>
          <w:szCs w:val="24"/>
        </w:rPr>
      </w:pPr>
      <w:bookmarkStart w:id="0" w:name="_Hlk42113407"/>
      <w:bookmarkStart w:id="1" w:name="_Hlk79064616"/>
      <w:bookmarkStart w:id="2" w:name="_Hlk78785743"/>
      <w:bookmarkStart w:id="3" w:name="_Hlk69137998"/>
      <w:bookmarkStart w:id="4" w:name="_Hlk50975367"/>
      <w:bookmarkStart w:id="5" w:name="_Hlk100745433"/>
      <w:bookmarkEnd w:id="0"/>
      <w:proofErr w:type="spellStart"/>
      <w:r>
        <w:rPr>
          <w:rFonts w:ascii="Times New Roman" w:eastAsia="宋体" w:hAnsi="Times New Roman" w:hint="eastAsia"/>
          <w:b/>
          <w:bCs/>
          <w:sz w:val="24"/>
          <w:szCs w:val="24"/>
        </w:rPr>
        <w:t>C</w:t>
      </w:r>
      <w:r>
        <w:rPr>
          <w:rFonts w:ascii="Times New Roman" w:eastAsia="宋体" w:hAnsi="Times New Roman"/>
          <w:b/>
          <w:bCs/>
          <w:sz w:val="24"/>
          <w:szCs w:val="24"/>
        </w:rPr>
        <w:t>uFeNi</w:t>
      </w:r>
      <w:proofErr w:type="spellEnd"/>
      <w:r>
        <w:rPr>
          <w:rFonts w:ascii="Times New Roman" w:eastAsia="宋体" w:hAnsi="Times New Roman"/>
          <w:b/>
          <w:bCs/>
          <w:sz w:val="24"/>
          <w:szCs w:val="24"/>
        </w:rPr>
        <w:t xml:space="preserve"> LDHs/magnetic biochar</w:t>
      </w:r>
      <w:bookmarkEnd w:id="1"/>
      <w:r>
        <w:rPr>
          <w:rFonts w:ascii="Times New Roman" w:eastAsia="宋体" w:hAnsi="Times New Roman"/>
          <w:b/>
          <w:bCs/>
          <w:sz w:val="24"/>
          <w:szCs w:val="24"/>
        </w:rPr>
        <w:t xml:space="preserve"> composite as </w:t>
      </w:r>
      <w:proofErr w:type="spellStart"/>
      <w:r>
        <w:rPr>
          <w:rFonts w:ascii="Times New Roman" w:eastAsia="宋体" w:hAnsi="Times New Roman"/>
          <w:b/>
          <w:bCs/>
          <w:sz w:val="24"/>
          <w:szCs w:val="24"/>
        </w:rPr>
        <w:t>peroxymonosulfate</w:t>
      </w:r>
      <w:proofErr w:type="spellEnd"/>
      <w:r>
        <w:rPr>
          <w:rFonts w:ascii="Times New Roman" w:eastAsia="宋体" w:hAnsi="Times New Roman"/>
          <w:b/>
          <w:bCs/>
          <w:sz w:val="24"/>
          <w:szCs w:val="24"/>
        </w:rPr>
        <w:t xml:space="preserve"> activator for removal of enrofloxacin</w:t>
      </w:r>
    </w:p>
    <w:p w14:paraId="3736D0F7" w14:textId="77777777" w:rsidR="003135E7" w:rsidRDefault="003135E7" w:rsidP="003135E7">
      <w:pPr>
        <w:autoSpaceDE w:val="0"/>
        <w:autoSpaceDN w:val="0"/>
        <w:adjustRightInd w:val="0"/>
        <w:snapToGrid w:val="0"/>
        <w:spacing w:line="480" w:lineRule="auto"/>
        <w:jc w:val="center"/>
        <w:rPr>
          <w:rFonts w:ascii="Times New Roman" w:hAnsi="Times New Roman"/>
          <w:sz w:val="24"/>
          <w:szCs w:val="24"/>
        </w:rPr>
      </w:pPr>
      <w:bookmarkStart w:id="6" w:name="_Hlk100745755"/>
      <w:bookmarkEnd w:id="2"/>
      <w:bookmarkEnd w:id="3"/>
      <w:bookmarkEnd w:id="4"/>
      <w:r>
        <w:rPr>
          <w:rFonts w:ascii="Times New Roman" w:hAnsi="Times New Roman"/>
          <w:sz w:val="24"/>
          <w:szCs w:val="24"/>
        </w:rPr>
        <w:t>X</w:t>
      </w:r>
      <w:r>
        <w:rPr>
          <w:rFonts w:ascii="Times New Roman" w:hAnsi="Times New Roman" w:hint="eastAsia"/>
          <w:sz w:val="24"/>
          <w:szCs w:val="24"/>
        </w:rPr>
        <w:t>in</w:t>
      </w:r>
      <w:r>
        <w:rPr>
          <w:rFonts w:ascii="Times New Roman" w:hAnsi="Times New Roman"/>
          <w:sz w:val="24"/>
          <w:szCs w:val="24"/>
        </w:rPr>
        <w:t>rui Gan</w:t>
      </w:r>
      <w:r>
        <w:rPr>
          <w:rFonts w:ascii="Times New Roman" w:hAnsi="Times New Roman"/>
          <w:sz w:val="24"/>
          <w:szCs w:val="24"/>
          <w:vertAlign w:val="superscript"/>
        </w:rPr>
        <w:t xml:space="preserve">1, </w:t>
      </w:r>
      <w:r>
        <w:rPr>
          <w:rFonts w:hint="eastAsia"/>
          <w:sz w:val="24"/>
          <w:szCs w:val="24"/>
          <w:vertAlign w:val="superscript"/>
        </w:rPr>
        <w:t>‖</w:t>
      </w:r>
      <w:r>
        <w:rPr>
          <w:rFonts w:ascii="Times New Roman" w:hAnsi="Times New Roman"/>
          <w:sz w:val="24"/>
          <w:szCs w:val="24"/>
        </w:rPr>
        <w:t>, Yang You</w:t>
      </w:r>
      <w:r>
        <w:rPr>
          <w:rFonts w:ascii="Times New Roman" w:hAnsi="Times New Roman" w:hint="eastAsia"/>
          <w:sz w:val="24"/>
          <w:szCs w:val="24"/>
          <w:vertAlign w:val="superscript"/>
        </w:rPr>
        <w:t>2</w:t>
      </w:r>
      <w:r>
        <w:rPr>
          <w:rFonts w:ascii="Times New Roman" w:hAnsi="Times New Roman"/>
          <w:sz w:val="24"/>
          <w:szCs w:val="24"/>
          <w:vertAlign w:val="superscript"/>
        </w:rPr>
        <w:t xml:space="preserve">, </w:t>
      </w:r>
      <w:r>
        <w:rPr>
          <w:rFonts w:hint="eastAsia"/>
          <w:sz w:val="24"/>
          <w:szCs w:val="24"/>
          <w:vertAlign w:val="superscript"/>
        </w:rPr>
        <w:t>‖</w:t>
      </w:r>
      <w:r>
        <w:rPr>
          <w:rFonts w:ascii="Times New Roman" w:hAnsi="Times New Roman"/>
          <w:sz w:val="24"/>
          <w:szCs w:val="24"/>
        </w:rPr>
        <w:t xml:space="preserve">, </w:t>
      </w:r>
      <w:bookmarkStart w:id="7" w:name="_Hlk100745950"/>
      <w:proofErr w:type="spellStart"/>
      <w:r>
        <w:rPr>
          <w:rFonts w:ascii="Times New Roman" w:hAnsi="Times New Roman" w:hint="eastAsia"/>
          <w:sz w:val="24"/>
          <w:szCs w:val="24"/>
        </w:rPr>
        <w:t>Weibao</w:t>
      </w:r>
      <w:proofErr w:type="spellEnd"/>
      <w:r>
        <w:rPr>
          <w:rFonts w:ascii="Times New Roman" w:hAnsi="Times New Roman" w:hint="eastAsia"/>
          <w:sz w:val="24"/>
          <w:szCs w:val="24"/>
        </w:rPr>
        <w:t xml:space="preserve"> Liu</w:t>
      </w:r>
      <w:r>
        <w:rPr>
          <w:rFonts w:ascii="Times New Roman" w:hAnsi="Times New Roman" w:hint="eastAsia"/>
          <w:sz w:val="24"/>
          <w:szCs w:val="24"/>
          <w:vertAlign w:val="superscript"/>
        </w:rPr>
        <w:t>2</w:t>
      </w:r>
      <w:r>
        <w:rPr>
          <w:rFonts w:ascii="Times New Roman" w:hAnsi="Times New Roman" w:hint="eastAsia"/>
          <w:sz w:val="24"/>
          <w:szCs w:val="24"/>
        </w:rPr>
        <w:t xml:space="preserve">, </w:t>
      </w:r>
      <w:proofErr w:type="spellStart"/>
      <w:r>
        <w:rPr>
          <w:rFonts w:ascii="Times New Roman" w:hAnsi="Times New Roman"/>
          <w:sz w:val="24"/>
          <w:szCs w:val="24"/>
        </w:rPr>
        <w:t>Shengwen</w:t>
      </w:r>
      <w:proofErr w:type="spellEnd"/>
      <w:r>
        <w:rPr>
          <w:rFonts w:ascii="Times New Roman" w:hAnsi="Times New Roman"/>
          <w:sz w:val="24"/>
          <w:szCs w:val="24"/>
        </w:rPr>
        <w:t xml:space="preserve"> Zhou</w:t>
      </w:r>
      <w:r>
        <w:rPr>
          <w:rFonts w:ascii="Times New Roman" w:hAnsi="Times New Roman" w:hint="eastAsia"/>
          <w:sz w:val="24"/>
          <w:szCs w:val="24"/>
          <w:vertAlign w:val="superscript"/>
        </w:rPr>
        <w:t>2</w:t>
      </w:r>
      <w:r>
        <w:rPr>
          <w:rFonts w:ascii="Times New Roman" w:hAnsi="Times New Roman" w:hint="eastAsia"/>
          <w:sz w:val="24"/>
          <w:szCs w:val="24"/>
        </w:rPr>
        <w:t xml:space="preserve">, </w:t>
      </w:r>
      <w:proofErr w:type="spellStart"/>
      <w:r>
        <w:rPr>
          <w:rFonts w:ascii="Times New Roman" w:hAnsi="Times New Roman"/>
          <w:sz w:val="24"/>
          <w:szCs w:val="24"/>
        </w:rPr>
        <w:t>Jiangwei</w:t>
      </w:r>
      <w:proofErr w:type="spellEnd"/>
      <w:r>
        <w:rPr>
          <w:rFonts w:ascii="Times New Roman" w:hAnsi="Times New Roman"/>
          <w:sz w:val="24"/>
          <w:szCs w:val="24"/>
        </w:rPr>
        <w:t xml:space="preserve"> Shang</w:t>
      </w:r>
      <w:bookmarkEnd w:id="7"/>
      <w:r>
        <w:rPr>
          <w:rFonts w:ascii="Times New Roman" w:hAnsi="Times New Roman"/>
          <w:sz w:val="24"/>
          <w:szCs w:val="24"/>
          <w:vertAlign w:val="superscript"/>
        </w:rPr>
        <w:t>1, 2</w:t>
      </w:r>
      <w:r>
        <w:rPr>
          <w:rFonts w:ascii="Times New Roman" w:hAnsi="Times New Roman"/>
          <w:sz w:val="24"/>
          <w:szCs w:val="24"/>
        </w:rPr>
        <w:t xml:space="preserve">, </w:t>
      </w:r>
      <w:proofErr w:type="spellStart"/>
      <w:r>
        <w:rPr>
          <w:rFonts w:ascii="Times New Roman" w:hAnsi="Times New Roman"/>
          <w:sz w:val="24"/>
          <w:szCs w:val="24"/>
        </w:rPr>
        <w:t>Xiuwen</w:t>
      </w:r>
      <w:proofErr w:type="spellEnd"/>
      <w:r>
        <w:rPr>
          <w:rFonts w:ascii="Times New Roman" w:hAnsi="Times New Roman"/>
          <w:sz w:val="24"/>
          <w:szCs w:val="24"/>
        </w:rPr>
        <w:t xml:space="preserve"> Cheng</w:t>
      </w:r>
      <w:r>
        <w:rPr>
          <w:rFonts w:ascii="Times New Roman" w:hAnsi="Times New Roman"/>
          <w:sz w:val="24"/>
          <w:szCs w:val="24"/>
          <w:vertAlign w:val="superscript"/>
        </w:rPr>
        <w:t>1, 2, *</w:t>
      </w:r>
    </w:p>
    <w:bookmarkEnd w:id="6"/>
    <w:p w14:paraId="4CFB69BF" w14:textId="77777777" w:rsidR="003135E7" w:rsidRPr="000941F1" w:rsidRDefault="003135E7" w:rsidP="003135E7">
      <w:pPr>
        <w:adjustRightInd w:val="0"/>
        <w:snapToGrid w:val="0"/>
        <w:spacing w:line="480" w:lineRule="auto"/>
        <w:jc w:val="center"/>
        <w:rPr>
          <w:rFonts w:ascii="Times New Roman" w:hAnsi="Times New Roman"/>
          <w:sz w:val="24"/>
          <w:szCs w:val="24"/>
        </w:rPr>
      </w:pPr>
    </w:p>
    <w:p w14:paraId="6414B24E" w14:textId="77777777" w:rsidR="003135E7" w:rsidRDefault="003135E7" w:rsidP="003135E7">
      <w:pPr>
        <w:adjustRightInd w:val="0"/>
        <w:snapToGrid w:val="0"/>
        <w:spacing w:line="480" w:lineRule="auto"/>
        <w:rPr>
          <w:rFonts w:ascii="Times New Roman" w:hAnsi="Times New Roman"/>
          <w:color w:val="000000" w:themeColor="text1"/>
          <w:sz w:val="24"/>
        </w:rPr>
      </w:pPr>
      <w:r>
        <w:rPr>
          <w:rFonts w:ascii="Times New Roman" w:hAnsi="Times New Roman"/>
          <w:color w:val="000000" w:themeColor="text1"/>
          <w:sz w:val="24"/>
          <w:vertAlign w:val="superscript"/>
        </w:rPr>
        <w:t xml:space="preserve">1. </w:t>
      </w:r>
      <w:r>
        <w:rPr>
          <w:rFonts w:ascii="Times New Roman" w:hAnsi="Times New Roman"/>
          <w:color w:val="000000" w:themeColor="text1"/>
          <w:sz w:val="24"/>
        </w:rPr>
        <w:t>College of Chemistry and Environmental Science, Xinjiang Laboratory of Phase Transitions and Microstructures of Condensed Matter Physics, Yili Normal University, Yining 835000, P.R. China</w:t>
      </w:r>
    </w:p>
    <w:p w14:paraId="09094616" w14:textId="77777777" w:rsidR="003135E7" w:rsidRDefault="003135E7" w:rsidP="003135E7">
      <w:pPr>
        <w:adjustRightInd w:val="0"/>
        <w:snapToGrid w:val="0"/>
        <w:spacing w:line="480" w:lineRule="auto"/>
        <w:rPr>
          <w:rFonts w:ascii="Times New Roman" w:hAnsi="Times New Roman"/>
          <w:color w:val="000000" w:themeColor="text1"/>
          <w:sz w:val="24"/>
        </w:rPr>
      </w:pPr>
      <w:r>
        <w:rPr>
          <w:rFonts w:ascii="Times New Roman" w:hAnsi="Times New Roman"/>
          <w:color w:val="000000" w:themeColor="text1"/>
          <w:sz w:val="24"/>
          <w:vertAlign w:val="superscript"/>
        </w:rPr>
        <w:t xml:space="preserve">2. </w:t>
      </w:r>
      <w:r>
        <w:rPr>
          <w:rFonts w:ascii="Times New Roman" w:hAnsi="Times New Roman"/>
          <w:color w:val="000000" w:themeColor="text1"/>
          <w:sz w:val="24"/>
        </w:rPr>
        <w:t>Key Laboratory for Environmental Pollution Prediction and Control, Gansu Province, College of Earth and Environmental Sciences, Lanzhou University, Lanzhou, 730000, P.R. China</w:t>
      </w:r>
    </w:p>
    <w:p w14:paraId="43D2751C" w14:textId="77777777" w:rsidR="003135E7" w:rsidRDefault="003135E7" w:rsidP="003135E7">
      <w:pPr>
        <w:adjustRightInd w:val="0"/>
        <w:snapToGrid w:val="0"/>
        <w:spacing w:line="480" w:lineRule="auto"/>
        <w:rPr>
          <w:rFonts w:ascii="Times New Roman" w:hAnsi="Times New Roman"/>
          <w:color w:val="000000" w:themeColor="text1"/>
          <w:sz w:val="24"/>
        </w:rPr>
      </w:pPr>
      <w:r>
        <w:rPr>
          <w:rFonts w:hint="eastAsia"/>
          <w:sz w:val="24"/>
          <w:szCs w:val="24"/>
        </w:rPr>
        <w:t xml:space="preserve">‖ </w:t>
      </w:r>
      <w:r>
        <w:rPr>
          <w:rFonts w:ascii="Times New Roman" w:eastAsia="宋体" w:hAnsi="Times New Roman"/>
          <w:sz w:val="24"/>
        </w:rPr>
        <w:t>These authors contributed equally to this work.</w:t>
      </w:r>
    </w:p>
    <w:p w14:paraId="7BE39912" w14:textId="77777777" w:rsidR="003135E7" w:rsidRDefault="003135E7" w:rsidP="003135E7">
      <w:pPr>
        <w:widowControl/>
        <w:adjustRightInd w:val="0"/>
        <w:snapToGrid w:val="0"/>
        <w:spacing w:line="480" w:lineRule="auto"/>
        <w:rPr>
          <w:rFonts w:ascii="Times New Roman" w:eastAsia="宋体" w:hAnsi="Times New Roman"/>
          <w:b/>
          <w:kern w:val="0"/>
          <w:sz w:val="24"/>
          <w:szCs w:val="24"/>
        </w:rPr>
      </w:pPr>
      <w:r>
        <w:rPr>
          <w:rFonts w:ascii="Times New Roman" w:eastAsia="宋体" w:hAnsi="Times New Roman"/>
          <w:b/>
          <w:sz w:val="24"/>
          <w:szCs w:val="24"/>
        </w:rPr>
        <w:t>*Corresponding author address:</w:t>
      </w:r>
    </w:p>
    <w:p w14:paraId="657448F0" w14:textId="77777777" w:rsidR="003135E7" w:rsidRDefault="003135E7" w:rsidP="003135E7">
      <w:pPr>
        <w:adjustRightInd w:val="0"/>
        <w:snapToGrid w:val="0"/>
        <w:spacing w:line="480" w:lineRule="auto"/>
        <w:rPr>
          <w:rFonts w:ascii="Times New Roman" w:eastAsia="宋体" w:hAnsi="Times New Roman"/>
          <w:b/>
          <w:sz w:val="24"/>
          <w:szCs w:val="24"/>
        </w:rPr>
      </w:pPr>
      <w:r>
        <w:rPr>
          <w:rFonts w:ascii="Times New Roman" w:eastAsia="宋体" w:hAnsi="Times New Roman"/>
          <w:b/>
          <w:sz w:val="24"/>
          <w:szCs w:val="24"/>
        </w:rPr>
        <w:t xml:space="preserve">Prof. &amp; Dr. </w:t>
      </w:r>
      <w:proofErr w:type="spellStart"/>
      <w:r>
        <w:rPr>
          <w:rFonts w:ascii="Times New Roman" w:eastAsia="宋体" w:hAnsi="Times New Roman"/>
          <w:b/>
          <w:sz w:val="24"/>
          <w:szCs w:val="24"/>
        </w:rPr>
        <w:t>Xiuwen</w:t>
      </w:r>
      <w:proofErr w:type="spellEnd"/>
      <w:r>
        <w:rPr>
          <w:rFonts w:ascii="Times New Roman" w:eastAsia="宋体" w:hAnsi="Times New Roman"/>
          <w:b/>
          <w:sz w:val="24"/>
          <w:szCs w:val="24"/>
        </w:rPr>
        <w:t xml:space="preserve"> Cheng</w:t>
      </w:r>
      <w:bookmarkStart w:id="8" w:name="_Hlk77199913"/>
    </w:p>
    <w:p w14:paraId="391F13B4" w14:textId="77777777" w:rsidR="003135E7" w:rsidRDefault="003135E7" w:rsidP="003135E7">
      <w:pPr>
        <w:autoSpaceDE w:val="0"/>
        <w:autoSpaceDN w:val="0"/>
        <w:adjustRightInd w:val="0"/>
        <w:snapToGrid w:val="0"/>
        <w:spacing w:line="480" w:lineRule="auto"/>
        <w:rPr>
          <w:rFonts w:ascii="Times New Roman" w:hAnsi="Times New Roman"/>
          <w:color w:val="000000" w:themeColor="text1"/>
          <w:sz w:val="24"/>
        </w:rPr>
      </w:pPr>
      <w:r>
        <w:rPr>
          <w:rFonts w:ascii="Times New Roman" w:hAnsi="Times New Roman"/>
          <w:color w:val="000000" w:themeColor="text1"/>
          <w:sz w:val="24"/>
        </w:rPr>
        <w:t>College of Chemistry and Environmental Science, Xinjiang Laboratory of Phase Transitions and Microstructures of Condensed Matter Physics, Yili Normal University, Yining 835000, P.R. China</w:t>
      </w:r>
    </w:p>
    <w:p w14:paraId="7843A52C" w14:textId="77777777" w:rsidR="003135E7" w:rsidRDefault="003135E7" w:rsidP="003135E7">
      <w:pPr>
        <w:autoSpaceDE w:val="0"/>
        <w:autoSpaceDN w:val="0"/>
        <w:adjustRightInd w:val="0"/>
        <w:snapToGrid w:val="0"/>
        <w:spacing w:line="480" w:lineRule="auto"/>
        <w:rPr>
          <w:rFonts w:ascii="Times New Roman" w:eastAsia="宋体" w:hAnsi="Times New Roman"/>
          <w:kern w:val="0"/>
          <w:sz w:val="24"/>
          <w:szCs w:val="24"/>
          <w:u w:val="single"/>
          <w:lang w:val="en-GB"/>
        </w:rPr>
      </w:pPr>
      <w:r>
        <w:rPr>
          <w:rFonts w:ascii="Times New Roman" w:eastAsia="宋体" w:hAnsi="Times New Roman"/>
          <w:b/>
          <w:kern w:val="0"/>
          <w:sz w:val="24"/>
          <w:szCs w:val="24"/>
          <w:lang w:val="en-GB" w:eastAsia="en-US"/>
        </w:rPr>
        <w:t>E-mail:</w:t>
      </w:r>
      <w:r>
        <w:rPr>
          <w:rFonts w:ascii="Times New Roman" w:eastAsia="宋体" w:hAnsi="Times New Roman"/>
          <w:kern w:val="0"/>
          <w:sz w:val="24"/>
          <w:szCs w:val="24"/>
          <w:lang w:val="en-GB"/>
        </w:rPr>
        <w:t xml:space="preserve"> </w:t>
      </w:r>
      <w:hyperlink r:id="rId6" w:history="1">
        <w:r>
          <w:rPr>
            <w:rFonts w:ascii="Times New Roman" w:eastAsia="宋体" w:hAnsi="Times New Roman"/>
            <w:kern w:val="0"/>
            <w:sz w:val="24"/>
            <w:szCs w:val="24"/>
            <w:u w:val="single"/>
            <w:lang w:val="en-GB"/>
          </w:rPr>
          <w:t>chengxw@lzu.edu.cn (X</w:t>
        </w:r>
      </w:hyperlink>
      <w:r>
        <w:rPr>
          <w:rFonts w:ascii="Times New Roman" w:eastAsia="宋体" w:hAnsi="Times New Roman"/>
          <w:kern w:val="0"/>
          <w:sz w:val="24"/>
          <w:szCs w:val="24"/>
          <w:u w:val="single"/>
          <w:lang w:val="en-GB"/>
        </w:rPr>
        <w:t>. Cheng)</w:t>
      </w:r>
    </w:p>
    <w:bookmarkEnd w:id="8"/>
    <w:p w14:paraId="56247F72" w14:textId="77777777" w:rsidR="003135E7" w:rsidRDefault="003135E7" w:rsidP="003135E7">
      <w:pPr>
        <w:adjustRightInd w:val="0"/>
        <w:snapToGrid w:val="0"/>
        <w:spacing w:line="480" w:lineRule="auto"/>
        <w:jc w:val="center"/>
        <w:rPr>
          <w:rFonts w:ascii="Times New Roman" w:hAnsi="Times New Roman"/>
          <w:b/>
          <w:bCs/>
          <w:sz w:val="24"/>
          <w:szCs w:val="24"/>
        </w:rPr>
      </w:pPr>
    </w:p>
    <w:p w14:paraId="513A18FF" w14:textId="77777777" w:rsidR="003135E7" w:rsidRDefault="003135E7" w:rsidP="003135E7">
      <w:pPr>
        <w:autoSpaceDE w:val="0"/>
        <w:autoSpaceDN w:val="0"/>
        <w:adjustRightInd w:val="0"/>
        <w:snapToGrid w:val="0"/>
        <w:spacing w:line="48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Submitted to</w:t>
      </w:r>
    </w:p>
    <w:p w14:paraId="3CDDCDA5" w14:textId="77777777" w:rsidR="003135E7" w:rsidRDefault="003135E7" w:rsidP="003135E7">
      <w:pPr>
        <w:autoSpaceDE w:val="0"/>
        <w:autoSpaceDN w:val="0"/>
        <w:adjustRightInd w:val="0"/>
        <w:snapToGrid w:val="0"/>
        <w:spacing w:line="480" w:lineRule="auto"/>
        <w:jc w:val="center"/>
        <w:rPr>
          <w:rFonts w:ascii="Times New Roman" w:hAnsi="Times New Roman"/>
          <w:b/>
          <w:bCs/>
          <w:i/>
          <w:iCs/>
          <w:color w:val="000000" w:themeColor="text1"/>
          <w:sz w:val="24"/>
          <w:szCs w:val="24"/>
        </w:rPr>
      </w:pPr>
      <w:r>
        <w:rPr>
          <w:rFonts w:ascii="Times New Roman" w:eastAsia="宋体" w:hAnsi="Times New Roman"/>
          <w:b/>
          <w:bCs/>
          <w:i/>
          <w:color w:val="000000"/>
          <w:sz w:val="24"/>
          <w:szCs w:val="24"/>
        </w:rPr>
        <w:t>E</w:t>
      </w:r>
      <w:r>
        <w:rPr>
          <w:rFonts w:ascii="Times New Roman" w:eastAsia="宋体" w:hAnsi="Times New Roman" w:hint="eastAsia"/>
          <w:b/>
          <w:bCs/>
          <w:i/>
          <w:color w:val="000000"/>
          <w:sz w:val="24"/>
          <w:szCs w:val="24"/>
        </w:rPr>
        <w:t>n</w:t>
      </w:r>
      <w:r>
        <w:rPr>
          <w:rFonts w:ascii="Times New Roman" w:eastAsia="宋体" w:hAnsi="Times New Roman"/>
          <w:b/>
          <w:bCs/>
          <w:i/>
          <w:color w:val="000000"/>
          <w:sz w:val="24"/>
          <w:szCs w:val="24"/>
        </w:rPr>
        <w:t>vironmental Science Pollution Research</w:t>
      </w:r>
    </w:p>
    <w:p w14:paraId="24271912" w14:textId="77777777" w:rsidR="00FA1CCE" w:rsidRDefault="003135E7" w:rsidP="003135E7">
      <w:pPr>
        <w:adjustRightInd w:val="0"/>
        <w:snapToGrid w:val="0"/>
        <w:spacing w:line="480" w:lineRule="auto"/>
        <w:jc w:val="center"/>
        <w:rPr>
          <w:rFonts w:ascii="Times New Roman" w:hAnsi="Times New Roman"/>
          <w:sz w:val="24"/>
          <w:szCs w:val="24"/>
        </w:rPr>
        <w:sectPr w:rsidR="00FA1CCE">
          <w:pgSz w:w="11906" w:h="16838"/>
          <w:pgMar w:top="1440" w:right="1800" w:bottom="1440" w:left="1800" w:header="851" w:footer="992" w:gutter="0"/>
          <w:cols w:space="425"/>
          <w:docGrid w:type="lines" w:linePitch="312"/>
        </w:sectPr>
      </w:pPr>
      <w:r>
        <w:rPr>
          <w:rFonts w:ascii="Times New Roman" w:hAnsi="Times New Roman"/>
          <w:i/>
          <w:iCs/>
          <w:color w:val="000000" w:themeColor="text1"/>
          <w:sz w:val="24"/>
          <w:szCs w:val="24"/>
        </w:rPr>
        <w:t>Aug.</w:t>
      </w:r>
      <w:r>
        <w:rPr>
          <w:rFonts w:ascii="Times New Roman" w:hAnsi="Times New Roman"/>
          <w:color w:val="000000" w:themeColor="text1"/>
          <w:sz w:val="24"/>
          <w:szCs w:val="24"/>
        </w:rPr>
        <w:t>, 202</w:t>
      </w:r>
      <w:bookmarkEnd w:id="5"/>
      <w:r>
        <w:rPr>
          <w:rFonts w:ascii="Times New Roman" w:hAnsi="Times New Roman"/>
          <w:color w:val="000000" w:themeColor="text1"/>
          <w:sz w:val="24"/>
        </w:rPr>
        <w:t>3</w:t>
      </w:r>
    </w:p>
    <w:p w14:paraId="0AF9911F" w14:textId="77777777" w:rsidR="00FA1CCE" w:rsidRDefault="003135E7">
      <w:pPr>
        <w:autoSpaceDE w:val="0"/>
        <w:autoSpaceDN w:val="0"/>
        <w:adjustRightInd w:val="0"/>
        <w:snapToGrid w:val="0"/>
        <w:spacing w:line="480" w:lineRule="auto"/>
        <w:rPr>
          <w:rFonts w:ascii="Times New Roman" w:eastAsia="仿宋" w:hAnsi="Times New Roman"/>
          <w:b/>
          <w:sz w:val="24"/>
          <w:szCs w:val="24"/>
        </w:rPr>
      </w:pPr>
      <w:bookmarkStart w:id="9" w:name="_Hlk42786015"/>
      <w:r>
        <w:rPr>
          <w:rFonts w:ascii="Times New Roman" w:eastAsia="仿宋" w:hAnsi="Times New Roman"/>
          <w:b/>
          <w:sz w:val="24"/>
          <w:szCs w:val="24"/>
        </w:rPr>
        <w:lastRenderedPageBreak/>
        <w:t>Figures captions</w:t>
      </w:r>
    </w:p>
    <w:p w14:paraId="234113FA" w14:textId="77777777" w:rsidR="00FA1CCE" w:rsidRDefault="003135E7">
      <w:pPr>
        <w:autoSpaceDE w:val="0"/>
        <w:autoSpaceDN w:val="0"/>
        <w:adjustRightInd w:val="0"/>
        <w:snapToGrid w:val="0"/>
        <w:spacing w:line="480" w:lineRule="auto"/>
        <w:rPr>
          <w:rFonts w:ascii="Times New Roman" w:hAnsi="Times New Roman"/>
          <w:bCs/>
          <w:sz w:val="24"/>
          <w:szCs w:val="24"/>
        </w:rPr>
      </w:pPr>
      <w:r>
        <w:rPr>
          <w:rFonts w:ascii="Times New Roman" w:hAnsi="Times New Roman"/>
          <w:b/>
          <w:sz w:val="24"/>
          <w:szCs w:val="24"/>
        </w:rPr>
        <w:t xml:space="preserve">Fig.S1 </w:t>
      </w:r>
      <w:r>
        <w:rPr>
          <w:rFonts w:ascii="Times New Roman" w:hAnsi="Times New Roman"/>
          <w:bCs/>
          <w:sz w:val="24"/>
          <w:szCs w:val="24"/>
        </w:rPr>
        <w:t>The schematic diagram of BC</w:t>
      </w:r>
      <w:r>
        <w:rPr>
          <w:rFonts w:ascii="Times New Roman" w:hAnsi="Times New Roman"/>
          <w:bCs/>
          <w:sz w:val="24"/>
          <w:szCs w:val="24"/>
        </w:rPr>
        <w:t>、</w:t>
      </w:r>
      <w:r>
        <w:rPr>
          <w:rFonts w:ascii="Times New Roman" w:hAnsi="Times New Roman"/>
          <w:bCs/>
          <w:sz w:val="24"/>
          <w:szCs w:val="24"/>
        </w:rPr>
        <w:t>MBC</w:t>
      </w:r>
      <w:r>
        <w:rPr>
          <w:rFonts w:ascii="Times New Roman" w:hAnsi="Times New Roman"/>
          <w:bCs/>
          <w:sz w:val="24"/>
          <w:szCs w:val="24"/>
        </w:rPr>
        <w:t>、</w:t>
      </w:r>
      <w:r>
        <w:rPr>
          <w:rFonts w:ascii="Times New Roman" w:hAnsi="Times New Roman"/>
          <w:bCs/>
          <w:sz w:val="24"/>
          <w:szCs w:val="24"/>
        </w:rPr>
        <w:t>MC-1</w:t>
      </w:r>
      <w:r>
        <w:rPr>
          <w:rFonts w:ascii="Times New Roman" w:hAnsi="Times New Roman"/>
          <w:bCs/>
          <w:sz w:val="24"/>
          <w:szCs w:val="24"/>
        </w:rPr>
        <w:t>、</w:t>
      </w:r>
      <w:r>
        <w:rPr>
          <w:rFonts w:ascii="Times New Roman" w:hAnsi="Times New Roman"/>
          <w:bCs/>
          <w:sz w:val="24"/>
          <w:szCs w:val="24"/>
        </w:rPr>
        <w:t xml:space="preserve">MC-2 and </w:t>
      </w:r>
      <w:proofErr w:type="spellStart"/>
      <w:r>
        <w:rPr>
          <w:rFonts w:ascii="Times New Roman" w:hAnsi="Times New Roman"/>
          <w:bCs/>
          <w:sz w:val="24"/>
          <w:szCs w:val="24"/>
        </w:rPr>
        <w:t>CuFeNi</w:t>
      </w:r>
      <w:proofErr w:type="spellEnd"/>
      <w:r>
        <w:rPr>
          <w:rFonts w:ascii="Times New Roman" w:hAnsi="Times New Roman"/>
          <w:bCs/>
          <w:sz w:val="24"/>
          <w:szCs w:val="24"/>
        </w:rPr>
        <w:t xml:space="preserve"> LDHs preparation </w:t>
      </w:r>
    </w:p>
    <w:p w14:paraId="12A81CC3" w14:textId="77777777" w:rsidR="00FA1CCE" w:rsidRDefault="003135E7">
      <w:pPr>
        <w:autoSpaceDE w:val="0"/>
        <w:autoSpaceDN w:val="0"/>
        <w:adjustRightInd w:val="0"/>
        <w:snapToGrid w:val="0"/>
        <w:spacing w:line="480" w:lineRule="auto"/>
        <w:rPr>
          <w:rFonts w:ascii="Times New Roman" w:hAnsi="Times New Roman"/>
          <w:bCs/>
          <w:sz w:val="24"/>
          <w:szCs w:val="24"/>
        </w:rPr>
      </w:pPr>
      <w:r>
        <w:rPr>
          <w:rFonts w:ascii="Times New Roman" w:hAnsi="Times New Roman"/>
          <w:b/>
          <w:sz w:val="24"/>
          <w:szCs w:val="24"/>
        </w:rPr>
        <w:t>Fig S2</w:t>
      </w:r>
      <w:r>
        <w:rPr>
          <w:rFonts w:ascii="Times New Roman" w:hAnsi="Times New Roman"/>
          <w:bCs/>
          <w:sz w:val="24"/>
          <w:szCs w:val="24"/>
        </w:rPr>
        <w:t xml:space="preserve"> Kinetic curve of (a) material optimization, (b) different systems activated </w:t>
      </w:r>
      <w:proofErr w:type="spellStart"/>
      <w:r>
        <w:rPr>
          <w:rFonts w:ascii="Times New Roman" w:hAnsi="Times New Roman"/>
          <w:bCs/>
          <w:sz w:val="24"/>
          <w:szCs w:val="24"/>
        </w:rPr>
        <w:t>peroxymonosulfate</w:t>
      </w:r>
      <w:proofErr w:type="spellEnd"/>
      <w:r>
        <w:rPr>
          <w:rFonts w:ascii="Times New Roman" w:hAnsi="Times New Roman"/>
          <w:bCs/>
          <w:sz w:val="24"/>
          <w:szCs w:val="24"/>
        </w:rPr>
        <w:t xml:space="preserve"> to degrade ENR, (c) different catalyst concentrations, (d) different PMS concentrations, (e) different pH, (f) different HA concentrations, (g) different Cl</w:t>
      </w:r>
      <w:r>
        <w:rPr>
          <w:rFonts w:ascii="Times New Roman" w:hAnsi="Times New Roman"/>
          <w:bCs/>
          <w:sz w:val="24"/>
          <w:szCs w:val="24"/>
          <w:vertAlign w:val="superscript"/>
        </w:rPr>
        <w:t>-</w:t>
      </w:r>
      <w:r>
        <w:rPr>
          <w:rFonts w:ascii="Times New Roman" w:hAnsi="Times New Roman"/>
          <w:bCs/>
          <w:sz w:val="24"/>
          <w:szCs w:val="24"/>
        </w:rPr>
        <w:t xml:space="preserve"> concentrations, (h) different HCO</w:t>
      </w:r>
      <w:r>
        <w:rPr>
          <w:rFonts w:ascii="Times New Roman" w:hAnsi="Times New Roman"/>
          <w:bCs/>
          <w:sz w:val="24"/>
          <w:szCs w:val="24"/>
          <w:vertAlign w:val="subscript"/>
        </w:rPr>
        <w:t>3</w:t>
      </w:r>
      <w:r>
        <w:rPr>
          <w:rFonts w:ascii="Times New Roman" w:hAnsi="Times New Roman"/>
          <w:bCs/>
          <w:sz w:val="24"/>
          <w:szCs w:val="24"/>
          <w:vertAlign w:val="superscript"/>
        </w:rPr>
        <w:t>-</w:t>
      </w:r>
      <w:r>
        <w:rPr>
          <w:rFonts w:ascii="Times New Roman" w:hAnsi="Times New Roman"/>
          <w:bCs/>
          <w:sz w:val="24"/>
          <w:szCs w:val="24"/>
        </w:rPr>
        <w:t xml:space="preserve"> concentrations, (</w:t>
      </w:r>
      <w:proofErr w:type="spellStart"/>
      <w:r>
        <w:rPr>
          <w:rFonts w:ascii="Times New Roman" w:hAnsi="Times New Roman"/>
          <w:bCs/>
          <w:sz w:val="24"/>
          <w:szCs w:val="24"/>
        </w:rPr>
        <w:t>i</w:t>
      </w:r>
      <w:proofErr w:type="spellEnd"/>
      <w:r>
        <w:rPr>
          <w:rFonts w:ascii="Times New Roman" w:hAnsi="Times New Roman"/>
          <w:bCs/>
          <w:sz w:val="24"/>
          <w:szCs w:val="24"/>
        </w:rPr>
        <w:t>) different NO</w:t>
      </w:r>
      <w:r>
        <w:rPr>
          <w:rFonts w:ascii="Times New Roman" w:hAnsi="Times New Roman"/>
          <w:bCs/>
          <w:sz w:val="24"/>
          <w:szCs w:val="24"/>
          <w:vertAlign w:val="subscript"/>
        </w:rPr>
        <w:t>3</w:t>
      </w:r>
      <w:r>
        <w:rPr>
          <w:rFonts w:ascii="Times New Roman" w:hAnsi="Times New Roman"/>
          <w:bCs/>
          <w:sz w:val="24"/>
          <w:szCs w:val="24"/>
          <w:vertAlign w:val="superscript"/>
        </w:rPr>
        <w:t>-</w:t>
      </w:r>
      <w:r>
        <w:rPr>
          <w:rFonts w:ascii="Times New Roman" w:hAnsi="Times New Roman"/>
          <w:bCs/>
          <w:sz w:val="24"/>
          <w:szCs w:val="24"/>
        </w:rPr>
        <w:t xml:space="preserve"> concentrations</w:t>
      </w:r>
    </w:p>
    <w:p w14:paraId="56642E7E" w14:textId="77777777" w:rsidR="00FA1CCE" w:rsidRDefault="003135E7">
      <w:pPr>
        <w:autoSpaceDE w:val="0"/>
        <w:autoSpaceDN w:val="0"/>
        <w:adjustRightInd w:val="0"/>
        <w:snapToGrid w:val="0"/>
        <w:spacing w:line="480" w:lineRule="auto"/>
        <w:rPr>
          <w:rFonts w:ascii="Times New Roman" w:hAnsi="Times New Roman"/>
          <w:bCs/>
          <w:sz w:val="24"/>
          <w:szCs w:val="24"/>
        </w:rPr>
      </w:pPr>
      <w:r>
        <w:rPr>
          <w:rFonts w:ascii="Times New Roman" w:hAnsi="Times New Roman"/>
          <w:b/>
          <w:sz w:val="24"/>
          <w:szCs w:val="24"/>
        </w:rPr>
        <w:t xml:space="preserve">Fig.S3 </w:t>
      </w:r>
      <w:r>
        <w:rPr>
          <w:rFonts w:ascii="Times New Roman" w:hAnsi="Times New Roman"/>
          <w:bCs/>
          <w:sz w:val="24"/>
          <w:szCs w:val="24"/>
        </w:rPr>
        <w:t xml:space="preserve">Metal ion precipitation rate of MC-1&amp;PMS reaction system </w:t>
      </w:r>
    </w:p>
    <w:p w14:paraId="5C5886D1" w14:textId="77777777" w:rsidR="00FA1CCE" w:rsidRDefault="003135E7">
      <w:pPr>
        <w:autoSpaceDE w:val="0"/>
        <w:autoSpaceDN w:val="0"/>
        <w:adjustRightInd w:val="0"/>
        <w:snapToGrid w:val="0"/>
        <w:spacing w:line="480" w:lineRule="auto"/>
        <w:rPr>
          <w:rFonts w:ascii="Times New Roman" w:hAnsi="Times New Roman"/>
          <w:bCs/>
          <w:sz w:val="24"/>
          <w:szCs w:val="24"/>
        </w:rPr>
      </w:pPr>
      <w:r>
        <w:rPr>
          <w:rFonts w:ascii="Times New Roman" w:hAnsi="Times New Roman"/>
          <w:b/>
          <w:sz w:val="24"/>
          <w:szCs w:val="24"/>
        </w:rPr>
        <w:t>Fig.S4</w:t>
      </w:r>
      <w:r>
        <w:rPr>
          <w:rFonts w:ascii="Times New Roman" w:hAnsi="Times New Roman"/>
          <w:bCs/>
          <w:sz w:val="24"/>
          <w:szCs w:val="24"/>
        </w:rPr>
        <w:t xml:space="preserve"> Identification of intermediate products of ENR in MC-1&amp;PMS reaction system</w:t>
      </w:r>
    </w:p>
    <w:bookmarkEnd w:id="9"/>
    <w:p w14:paraId="4B38E11B" w14:textId="77777777" w:rsidR="00FA1CCE" w:rsidRDefault="00FA1CCE">
      <w:pPr>
        <w:autoSpaceDE w:val="0"/>
        <w:autoSpaceDN w:val="0"/>
        <w:adjustRightInd w:val="0"/>
        <w:snapToGrid w:val="0"/>
        <w:spacing w:line="480" w:lineRule="auto"/>
        <w:rPr>
          <w:rFonts w:ascii="Times New Roman" w:hAnsi="Times New Roman"/>
          <w:sz w:val="24"/>
          <w:szCs w:val="24"/>
        </w:rPr>
        <w:sectPr w:rsidR="00FA1CCE">
          <w:pgSz w:w="11906" w:h="16838"/>
          <w:pgMar w:top="1440" w:right="1800" w:bottom="1440" w:left="1800" w:header="851" w:footer="992" w:gutter="0"/>
          <w:cols w:space="425"/>
          <w:docGrid w:type="lines" w:linePitch="312"/>
        </w:sectPr>
      </w:pPr>
    </w:p>
    <w:p w14:paraId="6020B933" w14:textId="77777777" w:rsidR="00FA1CCE" w:rsidRDefault="003135E7">
      <w:pPr>
        <w:adjustRightInd w:val="0"/>
        <w:snapToGrid w:val="0"/>
        <w:spacing w:line="480" w:lineRule="auto"/>
        <w:rPr>
          <w:rFonts w:ascii="Times New Roman" w:hAnsi="Times New Roman"/>
          <w:b/>
          <w:sz w:val="24"/>
          <w:szCs w:val="24"/>
        </w:rPr>
      </w:pPr>
      <w:r>
        <w:rPr>
          <w:rFonts w:ascii="Times New Roman" w:hAnsi="Times New Roman"/>
          <w:b/>
          <w:sz w:val="24"/>
          <w:szCs w:val="24"/>
        </w:rPr>
        <w:lastRenderedPageBreak/>
        <w:t>Tables captions</w:t>
      </w:r>
    </w:p>
    <w:p w14:paraId="626DC50C" w14:textId="77777777" w:rsidR="00FA1CCE" w:rsidRDefault="003135E7">
      <w:pPr>
        <w:adjustRightInd w:val="0"/>
        <w:snapToGrid w:val="0"/>
        <w:spacing w:line="480" w:lineRule="auto"/>
        <w:rPr>
          <w:rFonts w:ascii="Times New Roman" w:hAnsi="Times New Roman"/>
          <w:sz w:val="24"/>
          <w:szCs w:val="24"/>
        </w:rPr>
      </w:pPr>
      <w:r>
        <w:rPr>
          <w:rFonts w:ascii="Times New Roman" w:hAnsi="Times New Roman"/>
          <w:b/>
          <w:bCs/>
          <w:sz w:val="24"/>
          <w:szCs w:val="24"/>
        </w:rPr>
        <w:t>Table S1</w:t>
      </w:r>
      <w:r>
        <w:rPr>
          <w:rFonts w:ascii="Times New Roman" w:hAnsi="Times New Roman"/>
          <w:sz w:val="24"/>
          <w:szCs w:val="24"/>
        </w:rPr>
        <w:t xml:space="preserve"> Nitrogen adsorption data for MBC</w:t>
      </w:r>
      <w:r>
        <w:rPr>
          <w:rFonts w:ascii="Times New Roman" w:hAnsi="Times New Roman"/>
          <w:sz w:val="24"/>
          <w:szCs w:val="24"/>
        </w:rPr>
        <w:t>、</w:t>
      </w:r>
      <w:r>
        <w:rPr>
          <w:rFonts w:ascii="Times New Roman" w:hAnsi="Times New Roman"/>
          <w:sz w:val="24"/>
          <w:szCs w:val="24"/>
        </w:rPr>
        <w:t>MC-1 and MC-2 samples</w:t>
      </w:r>
    </w:p>
    <w:p w14:paraId="282D504D" w14:textId="77777777" w:rsidR="00FA1CCE" w:rsidRDefault="003135E7">
      <w:pPr>
        <w:adjustRightInd w:val="0"/>
        <w:snapToGrid w:val="0"/>
        <w:spacing w:line="480" w:lineRule="auto"/>
        <w:rPr>
          <w:rFonts w:ascii="Times New Roman" w:hAnsi="Times New Roman"/>
          <w:sz w:val="24"/>
          <w:szCs w:val="24"/>
        </w:rPr>
      </w:pPr>
      <w:r>
        <w:rPr>
          <w:rFonts w:ascii="Times New Roman" w:hAnsi="Times New Roman"/>
          <w:b/>
          <w:bCs/>
          <w:sz w:val="24"/>
          <w:szCs w:val="24"/>
        </w:rPr>
        <w:t>Table S2</w:t>
      </w:r>
      <w:r>
        <w:rPr>
          <w:rFonts w:ascii="Times New Roman" w:hAnsi="Times New Roman"/>
          <w:sz w:val="24"/>
          <w:szCs w:val="24"/>
        </w:rPr>
        <w:t xml:space="preserve"> Previous reports about the degradation of ENR via different treatment process</w:t>
      </w:r>
    </w:p>
    <w:p w14:paraId="6D6E65DF" w14:textId="77777777" w:rsidR="00FA1CCE" w:rsidRDefault="003135E7">
      <w:pPr>
        <w:adjustRightInd w:val="0"/>
        <w:snapToGrid w:val="0"/>
        <w:spacing w:line="480" w:lineRule="auto"/>
        <w:rPr>
          <w:rFonts w:ascii="Times New Roman" w:hAnsi="Times New Roman"/>
          <w:b/>
          <w:sz w:val="24"/>
          <w:szCs w:val="24"/>
        </w:rPr>
      </w:pPr>
      <w:r>
        <w:rPr>
          <w:rFonts w:ascii="Times New Roman" w:hAnsi="Times New Roman"/>
          <w:b/>
          <w:sz w:val="24"/>
          <w:szCs w:val="24"/>
        </w:rPr>
        <w:t>Table S3</w:t>
      </w:r>
      <w:r>
        <w:rPr>
          <w:rFonts w:ascii="Times New Roman" w:hAnsi="Times New Roman" w:hint="eastAsia"/>
          <w:b/>
          <w:sz w:val="24"/>
          <w:szCs w:val="24"/>
        </w:rPr>
        <w:t xml:space="preserve"> </w:t>
      </w:r>
      <w:r>
        <w:rPr>
          <w:rFonts w:ascii="Times New Roman" w:hAnsi="Times New Roman"/>
          <w:sz w:val="24"/>
          <w:szCs w:val="24"/>
        </w:rPr>
        <w:t>Table of detected transformation products and related parameters.</w:t>
      </w:r>
    </w:p>
    <w:p w14:paraId="3F471C4A" w14:textId="77777777" w:rsidR="00FA1CCE" w:rsidRDefault="00FA1CCE">
      <w:pPr>
        <w:adjustRightInd w:val="0"/>
        <w:snapToGrid w:val="0"/>
        <w:spacing w:line="480" w:lineRule="auto"/>
        <w:rPr>
          <w:rFonts w:ascii="Times New Roman" w:hAnsi="Times New Roman"/>
          <w:sz w:val="24"/>
          <w:szCs w:val="24"/>
        </w:rPr>
      </w:pPr>
    </w:p>
    <w:p w14:paraId="26151B86" w14:textId="77777777" w:rsidR="00FA1CCE" w:rsidRDefault="003135E7">
      <w:pPr>
        <w:widowControl/>
        <w:jc w:val="left"/>
        <w:rPr>
          <w:rFonts w:ascii="Times New Roman" w:hAnsi="Times New Roman"/>
          <w:sz w:val="24"/>
          <w:szCs w:val="24"/>
        </w:rPr>
      </w:pPr>
      <w:r>
        <w:rPr>
          <w:rFonts w:ascii="Times New Roman" w:hAnsi="Times New Roman"/>
          <w:sz w:val="24"/>
          <w:szCs w:val="24"/>
        </w:rPr>
        <w:br w:type="page"/>
      </w:r>
    </w:p>
    <w:p w14:paraId="12CDB8F3" w14:textId="77777777" w:rsidR="00FA1CCE" w:rsidRDefault="003135E7">
      <w:pPr>
        <w:autoSpaceDE w:val="0"/>
        <w:autoSpaceDN w:val="0"/>
        <w:adjustRightInd w:val="0"/>
        <w:snapToGrid w:val="0"/>
        <w:spacing w:line="480" w:lineRule="auto"/>
        <w:rPr>
          <w:rFonts w:ascii="Times New Roman" w:eastAsia="仿宋" w:hAnsi="Times New Roman"/>
          <w:i/>
          <w:iCs/>
          <w:sz w:val="24"/>
          <w:szCs w:val="24"/>
        </w:rPr>
      </w:pPr>
      <w:r>
        <w:rPr>
          <w:rFonts w:ascii="Times New Roman" w:eastAsia="仿宋" w:hAnsi="Times New Roman"/>
          <w:b/>
          <w:bCs/>
          <w:i/>
          <w:iCs/>
          <w:sz w:val="24"/>
          <w:szCs w:val="24"/>
        </w:rPr>
        <w:lastRenderedPageBreak/>
        <w:t>Text S1</w:t>
      </w:r>
      <w:r>
        <w:t xml:space="preserve"> </w:t>
      </w:r>
      <w:r>
        <w:rPr>
          <w:rFonts w:ascii="Times New Roman" w:eastAsia="仿宋" w:hAnsi="Times New Roman"/>
          <w:i/>
          <w:iCs/>
          <w:sz w:val="24"/>
          <w:szCs w:val="24"/>
        </w:rPr>
        <w:t>Experimental Materials</w:t>
      </w:r>
    </w:p>
    <w:p w14:paraId="793D10E0" w14:textId="77777777" w:rsidR="00FA1CCE" w:rsidRDefault="003135E7">
      <w:pPr>
        <w:adjustRightInd w:val="0"/>
        <w:snapToGrid w:val="0"/>
        <w:spacing w:line="480" w:lineRule="auto"/>
        <w:ind w:firstLineChars="200" w:firstLine="480"/>
        <w:rPr>
          <w:rFonts w:ascii="Times New Roman" w:eastAsia="宋体" w:hAnsi="Times New Roman"/>
          <w:sz w:val="24"/>
          <w:szCs w:val="24"/>
        </w:rPr>
      </w:pPr>
      <w:r>
        <w:rPr>
          <w:rFonts w:ascii="Times New Roman" w:eastAsia="宋体" w:hAnsi="Times New Roman"/>
          <w:sz w:val="24"/>
          <w:szCs w:val="24"/>
        </w:rPr>
        <w:t>Copper nitrate (</w:t>
      </w:r>
      <w:proofErr w:type="gramStart"/>
      <w:r>
        <w:rPr>
          <w:rFonts w:ascii="Times New Roman" w:eastAsia="宋体" w:hAnsi="Times New Roman"/>
          <w:sz w:val="24"/>
          <w:szCs w:val="24"/>
        </w:rPr>
        <w:t>Cu(</w:t>
      </w:r>
      <w:proofErr w:type="gramEnd"/>
      <w:r>
        <w:rPr>
          <w:rFonts w:ascii="Times New Roman" w:eastAsia="宋体" w:hAnsi="Times New Roman"/>
          <w:sz w:val="24"/>
          <w:szCs w:val="24"/>
        </w:rPr>
        <w:t>NO</w:t>
      </w:r>
      <w:r>
        <w:rPr>
          <w:rFonts w:ascii="Times New Roman" w:eastAsia="宋体" w:hAnsi="Times New Roman"/>
          <w:sz w:val="24"/>
          <w:szCs w:val="24"/>
          <w:vertAlign w:val="subscript"/>
        </w:rPr>
        <w:t>3</w:t>
      </w:r>
      <w:r>
        <w:rPr>
          <w:rFonts w:ascii="Times New Roman" w:eastAsia="宋体" w:hAnsi="Times New Roman"/>
          <w:sz w:val="24"/>
          <w:szCs w:val="24"/>
        </w:rPr>
        <w:t>)</w:t>
      </w:r>
      <w:r>
        <w:rPr>
          <w:rFonts w:ascii="Times New Roman" w:eastAsia="宋体" w:hAnsi="Times New Roman"/>
          <w:sz w:val="24"/>
          <w:szCs w:val="24"/>
          <w:vertAlign w:val="subscript"/>
        </w:rPr>
        <w:t>2</w:t>
      </w:r>
      <w:r>
        <w:rPr>
          <w:rFonts w:ascii="Calibri" w:eastAsia="宋体" w:hAnsi="Calibri" w:cs="Calibri"/>
          <w:sz w:val="24"/>
          <w:szCs w:val="24"/>
        </w:rPr>
        <w:t>∙</w:t>
      </w:r>
      <w:r>
        <w:rPr>
          <w:rFonts w:ascii="Times New Roman" w:eastAsia="宋体" w:hAnsi="Times New Roman"/>
          <w:sz w:val="24"/>
          <w:szCs w:val="24"/>
        </w:rPr>
        <w:t>3H</w:t>
      </w:r>
      <w:r>
        <w:rPr>
          <w:rFonts w:ascii="Times New Roman" w:eastAsia="宋体" w:hAnsi="Times New Roman"/>
          <w:sz w:val="24"/>
          <w:szCs w:val="24"/>
          <w:vertAlign w:val="subscript"/>
        </w:rPr>
        <w:t>2</w:t>
      </w:r>
      <w:r>
        <w:rPr>
          <w:rFonts w:ascii="Times New Roman" w:eastAsia="宋体" w:hAnsi="Times New Roman"/>
          <w:sz w:val="24"/>
          <w:szCs w:val="24"/>
        </w:rPr>
        <w:t>O), ferric nitrate (Fe(NO</w:t>
      </w:r>
      <w:r>
        <w:rPr>
          <w:rFonts w:ascii="Times New Roman" w:eastAsia="宋体" w:hAnsi="Times New Roman"/>
          <w:sz w:val="24"/>
          <w:szCs w:val="24"/>
          <w:vertAlign w:val="subscript"/>
        </w:rPr>
        <w:t>3</w:t>
      </w:r>
      <w:r>
        <w:rPr>
          <w:rFonts w:ascii="Times New Roman" w:eastAsia="宋体" w:hAnsi="Times New Roman"/>
          <w:sz w:val="24"/>
          <w:szCs w:val="24"/>
        </w:rPr>
        <w:t>)</w:t>
      </w:r>
      <w:r>
        <w:rPr>
          <w:rFonts w:ascii="Times New Roman" w:eastAsia="宋体" w:hAnsi="Times New Roman"/>
          <w:sz w:val="24"/>
          <w:szCs w:val="24"/>
          <w:vertAlign w:val="subscript"/>
        </w:rPr>
        <w:t>3</w:t>
      </w:r>
      <w:r>
        <w:rPr>
          <w:rFonts w:ascii="Calibri" w:eastAsia="宋体" w:hAnsi="Calibri" w:cs="Calibri"/>
          <w:sz w:val="24"/>
          <w:szCs w:val="24"/>
        </w:rPr>
        <w:t>∙</w:t>
      </w:r>
      <w:r>
        <w:rPr>
          <w:rFonts w:ascii="Times New Roman" w:eastAsia="宋体" w:hAnsi="Times New Roman"/>
          <w:sz w:val="24"/>
          <w:szCs w:val="24"/>
        </w:rPr>
        <w:t>9H</w:t>
      </w:r>
      <w:r>
        <w:rPr>
          <w:rFonts w:ascii="Times New Roman" w:eastAsia="宋体" w:hAnsi="Times New Roman"/>
          <w:sz w:val="24"/>
          <w:szCs w:val="24"/>
          <w:vertAlign w:val="subscript"/>
        </w:rPr>
        <w:t>2</w:t>
      </w:r>
      <w:r>
        <w:rPr>
          <w:rFonts w:ascii="Times New Roman" w:eastAsia="宋体" w:hAnsi="Times New Roman"/>
          <w:sz w:val="24"/>
          <w:szCs w:val="24"/>
        </w:rPr>
        <w:t xml:space="preserve">O), </w:t>
      </w:r>
      <w:r>
        <w:rPr>
          <w:rFonts w:ascii="Times New Roman" w:eastAsia="宋体" w:hAnsi="Times New Roman" w:hint="eastAsia"/>
          <w:sz w:val="24"/>
          <w:szCs w:val="24"/>
        </w:rPr>
        <w:t>n</w:t>
      </w:r>
      <w:r>
        <w:rPr>
          <w:rFonts w:ascii="Times New Roman" w:eastAsia="宋体" w:hAnsi="Times New Roman"/>
          <w:sz w:val="24"/>
          <w:szCs w:val="24"/>
        </w:rPr>
        <w:t>ickel nitrate (</w:t>
      </w:r>
    </w:p>
    <w:p w14:paraId="36BD4FF8" w14:textId="77777777" w:rsidR="00FA1CCE" w:rsidRDefault="003135E7">
      <w:pPr>
        <w:adjustRightInd w:val="0"/>
        <w:snapToGrid w:val="0"/>
        <w:spacing w:line="480" w:lineRule="auto"/>
        <w:rPr>
          <w:rFonts w:ascii="Times New Roman" w:eastAsia="宋体" w:hAnsi="Times New Roman"/>
          <w:sz w:val="24"/>
          <w:szCs w:val="24"/>
        </w:rPr>
      </w:pPr>
      <w:proofErr w:type="gramStart"/>
      <w:r>
        <w:rPr>
          <w:rFonts w:ascii="Times New Roman" w:eastAsia="宋体" w:hAnsi="Times New Roman"/>
          <w:sz w:val="24"/>
          <w:szCs w:val="24"/>
        </w:rPr>
        <w:t>Ni(</w:t>
      </w:r>
      <w:proofErr w:type="gramEnd"/>
      <w:r>
        <w:rPr>
          <w:rFonts w:ascii="Times New Roman" w:eastAsia="宋体" w:hAnsi="Times New Roman"/>
          <w:sz w:val="24"/>
          <w:szCs w:val="24"/>
        </w:rPr>
        <w:t>NO</w:t>
      </w:r>
      <w:r>
        <w:rPr>
          <w:rFonts w:ascii="Times New Roman" w:eastAsia="宋体" w:hAnsi="Times New Roman"/>
          <w:sz w:val="24"/>
          <w:szCs w:val="24"/>
          <w:vertAlign w:val="subscript"/>
        </w:rPr>
        <w:t>3</w:t>
      </w:r>
      <w:r>
        <w:rPr>
          <w:rFonts w:ascii="Times New Roman" w:eastAsia="宋体" w:hAnsi="Times New Roman"/>
          <w:sz w:val="24"/>
          <w:szCs w:val="24"/>
        </w:rPr>
        <w:t>)</w:t>
      </w:r>
      <w:r>
        <w:rPr>
          <w:rFonts w:ascii="Times New Roman" w:eastAsia="宋体" w:hAnsi="Times New Roman"/>
          <w:sz w:val="24"/>
          <w:szCs w:val="24"/>
          <w:vertAlign w:val="subscript"/>
        </w:rPr>
        <w:t>3</w:t>
      </w:r>
      <w:r>
        <w:rPr>
          <w:rFonts w:ascii="Calibri" w:eastAsia="宋体" w:hAnsi="Calibri" w:cs="Calibri"/>
          <w:sz w:val="24"/>
          <w:szCs w:val="24"/>
        </w:rPr>
        <w:t>∙</w:t>
      </w:r>
      <w:r>
        <w:rPr>
          <w:rFonts w:ascii="Times New Roman" w:eastAsia="宋体" w:hAnsi="Times New Roman"/>
          <w:sz w:val="24"/>
          <w:szCs w:val="24"/>
        </w:rPr>
        <w:t>6H</w:t>
      </w:r>
      <w:r>
        <w:rPr>
          <w:rFonts w:ascii="Times New Roman" w:eastAsia="宋体" w:hAnsi="Times New Roman"/>
          <w:sz w:val="24"/>
          <w:szCs w:val="24"/>
          <w:vertAlign w:val="subscript"/>
        </w:rPr>
        <w:t>2</w:t>
      </w:r>
      <w:r>
        <w:rPr>
          <w:rFonts w:ascii="Times New Roman" w:eastAsia="宋体" w:hAnsi="Times New Roman"/>
          <w:sz w:val="24"/>
          <w:szCs w:val="24"/>
        </w:rPr>
        <w:t xml:space="preserve">O), Potassium PMS were all purchased from </w:t>
      </w:r>
      <w:proofErr w:type="spellStart"/>
      <w:r>
        <w:rPr>
          <w:rFonts w:ascii="Times New Roman" w:eastAsia="宋体" w:hAnsi="Times New Roman"/>
          <w:sz w:val="24"/>
          <w:szCs w:val="24"/>
        </w:rPr>
        <w:t>Kermel</w:t>
      </w:r>
      <w:proofErr w:type="spellEnd"/>
      <w:r>
        <w:rPr>
          <w:rFonts w:ascii="Times New Roman" w:eastAsia="宋体" w:hAnsi="Times New Roman"/>
          <w:sz w:val="24"/>
          <w:szCs w:val="24"/>
        </w:rPr>
        <w:t xml:space="preserve"> Chemical Reagent Co., Ltd (Tianjin, China). Besides, ENR was brought from Aladdin Chemistry Co. Ltd (Shanghai, China). 2,2,6,6-tetramethyl-4-piperidone (TEMP, 98%) and 5,5-Dimethyl-1-pyrrolidine N-oxide (DMPO, 97%) were bought from Aladdin Industry Corporation (Shanghai, China). P-benzoquinone (PBQ), tert-butyl alcohol (TBA), furfuryl Alcohol and ethanol (EtOH) were bought from Aladdin Industry Corporation (Shanghai, China). All chemicals were of analytical grade. Moreover, deionized water was used throughout the experiment.</w:t>
      </w:r>
    </w:p>
    <w:p w14:paraId="17B1BAD5" w14:textId="77777777" w:rsidR="00FA1CCE" w:rsidRDefault="00FA1CCE">
      <w:pPr>
        <w:adjustRightInd w:val="0"/>
        <w:snapToGrid w:val="0"/>
        <w:spacing w:line="480" w:lineRule="auto"/>
        <w:rPr>
          <w:rFonts w:ascii="Times New Roman" w:eastAsia="宋体" w:hAnsi="Times New Roman"/>
          <w:sz w:val="24"/>
          <w:szCs w:val="24"/>
        </w:rPr>
      </w:pPr>
    </w:p>
    <w:p w14:paraId="185939C6" w14:textId="77777777" w:rsidR="00FA1CCE" w:rsidRDefault="003135E7">
      <w:pPr>
        <w:autoSpaceDE w:val="0"/>
        <w:autoSpaceDN w:val="0"/>
        <w:adjustRightInd w:val="0"/>
        <w:snapToGrid w:val="0"/>
        <w:spacing w:line="480" w:lineRule="auto"/>
        <w:rPr>
          <w:rFonts w:ascii="Times New Roman" w:eastAsia="仿宋" w:hAnsi="Times New Roman"/>
          <w:i/>
          <w:iCs/>
          <w:sz w:val="24"/>
          <w:szCs w:val="24"/>
        </w:rPr>
      </w:pPr>
      <w:r>
        <w:rPr>
          <w:rFonts w:ascii="Times New Roman" w:eastAsia="仿宋" w:hAnsi="Times New Roman"/>
          <w:b/>
          <w:bCs/>
          <w:i/>
          <w:iCs/>
          <w:sz w:val="24"/>
          <w:szCs w:val="24"/>
        </w:rPr>
        <w:t>Text S2</w:t>
      </w:r>
      <w:r>
        <w:rPr>
          <w:rFonts w:ascii="Times New Roman" w:eastAsia="仿宋" w:hAnsi="Times New Roman"/>
          <w:i/>
          <w:iCs/>
          <w:sz w:val="24"/>
          <w:szCs w:val="24"/>
        </w:rPr>
        <w:t xml:space="preserve"> Characterization of catalysts</w:t>
      </w:r>
    </w:p>
    <w:p w14:paraId="320A23D8" w14:textId="77777777" w:rsidR="00FA1CCE" w:rsidRDefault="003135E7">
      <w:pPr>
        <w:autoSpaceDE w:val="0"/>
        <w:autoSpaceDN w:val="0"/>
        <w:adjustRightInd w:val="0"/>
        <w:snapToGrid w:val="0"/>
        <w:spacing w:line="480" w:lineRule="auto"/>
        <w:rPr>
          <w:rFonts w:ascii="Times New Roman" w:eastAsia="仿宋" w:hAnsi="Times New Roman"/>
          <w:sz w:val="24"/>
          <w:szCs w:val="24"/>
        </w:rPr>
      </w:pPr>
      <w:r>
        <w:rPr>
          <w:rFonts w:ascii="Times New Roman" w:eastAsia="仿宋" w:hAnsi="Times New Roman" w:hint="eastAsia"/>
          <w:i/>
          <w:iCs/>
          <w:sz w:val="24"/>
          <w:szCs w:val="24"/>
        </w:rPr>
        <w:t xml:space="preserve"> </w:t>
      </w:r>
      <w:r>
        <w:rPr>
          <w:rFonts w:ascii="Times New Roman" w:eastAsia="仿宋" w:hAnsi="Times New Roman"/>
          <w:i/>
          <w:iCs/>
          <w:sz w:val="24"/>
          <w:szCs w:val="24"/>
        </w:rPr>
        <w:t xml:space="preserve"> </w:t>
      </w:r>
      <w:r>
        <w:rPr>
          <w:rFonts w:ascii="Times New Roman" w:eastAsia="仿宋" w:hAnsi="Times New Roman"/>
          <w:sz w:val="24"/>
          <w:szCs w:val="24"/>
        </w:rPr>
        <w:t>The surface morphology of MC-1</w:t>
      </w:r>
      <w:r>
        <w:rPr>
          <w:rFonts w:ascii="Times New Roman" w:eastAsia="仿宋" w:hAnsi="Times New Roman"/>
          <w:sz w:val="24"/>
          <w:szCs w:val="24"/>
        </w:rPr>
        <w:t>、</w:t>
      </w:r>
      <w:r>
        <w:rPr>
          <w:rFonts w:ascii="Times New Roman" w:eastAsia="仿宋" w:hAnsi="Times New Roman"/>
          <w:sz w:val="24"/>
          <w:szCs w:val="24"/>
        </w:rPr>
        <w:t xml:space="preserve">MC-2 and </w:t>
      </w:r>
      <w:proofErr w:type="spellStart"/>
      <w:r>
        <w:rPr>
          <w:rFonts w:ascii="Times New Roman" w:eastAsia="仿宋" w:hAnsi="Times New Roman"/>
          <w:sz w:val="24"/>
          <w:szCs w:val="24"/>
        </w:rPr>
        <w:t>CuFeNi</w:t>
      </w:r>
      <w:proofErr w:type="spellEnd"/>
      <w:r>
        <w:rPr>
          <w:rFonts w:ascii="Times New Roman" w:eastAsia="仿宋" w:hAnsi="Times New Roman"/>
          <w:sz w:val="24"/>
          <w:szCs w:val="24"/>
        </w:rPr>
        <w:t xml:space="preserve"> LDHs were characterized by a scanning electron microscope (SEM)</w:t>
      </w:r>
      <w:r>
        <w:t xml:space="preserve"> </w:t>
      </w:r>
      <w:r>
        <w:rPr>
          <w:rFonts w:ascii="Times New Roman" w:eastAsia="仿宋" w:hAnsi="Times New Roman"/>
          <w:sz w:val="24"/>
          <w:szCs w:val="24"/>
        </w:rPr>
        <w:t>and energy dispersive spectrometer (EDS, JSM-5600LV) at 20kV.</w:t>
      </w:r>
      <w:r>
        <w:t xml:space="preserve"> </w:t>
      </w:r>
      <w:r>
        <w:rPr>
          <w:rFonts w:ascii="Times New Roman" w:eastAsia="仿宋" w:hAnsi="Times New Roman"/>
          <w:sz w:val="24"/>
          <w:szCs w:val="24"/>
        </w:rPr>
        <w:t>A high-resolution transmission electron microscope (HRTEM,</w:t>
      </w:r>
      <w:r>
        <w:rPr>
          <w:rFonts w:ascii="Times New Roman" w:eastAsia="仿宋" w:hAnsi="Times New Roman" w:hint="eastAsia"/>
          <w:sz w:val="24"/>
          <w:szCs w:val="24"/>
        </w:rPr>
        <w:t xml:space="preserve"> </w:t>
      </w:r>
      <w:r>
        <w:rPr>
          <w:rFonts w:ascii="Times New Roman" w:eastAsia="仿宋" w:hAnsi="Times New Roman"/>
          <w:sz w:val="24"/>
          <w:szCs w:val="24"/>
        </w:rPr>
        <w:t xml:space="preserve">JEM-1200EX, Japan) was employed to measure the crystalline structures. X-ray diffractometer (XRD, </w:t>
      </w:r>
      <w:proofErr w:type="spellStart"/>
      <w:r>
        <w:rPr>
          <w:rFonts w:ascii="Times New Roman" w:eastAsia="仿宋" w:hAnsi="Times New Roman"/>
          <w:sz w:val="24"/>
          <w:szCs w:val="24"/>
        </w:rPr>
        <w:t>x'pert</w:t>
      </w:r>
      <w:proofErr w:type="spellEnd"/>
      <w:r>
        <w:rPr>
          <w:rFonts w:ascii="Times New Roman" w:eastAsia="仿宋" w:hAnsi="Times New Roman"/>
          <w:sz w:val="24"/>
          <w:szCs w:val="24"/>
        </w:rPr>
        <w:t xml:space="preserve"> Pro) under the conditions of 3KW, 60kV, 60mA was used to measure the crystal structure of the sample. The FTIR spectrophotometer (Thermo Scientific Nicolet 6700) was utilized to record the infrared spectrum of MC-1</w:t>
      </w:r>
      <w:r>
        <w:rPr>
          <w:rFonts w:ascii="Times New Roman" w:eastAsia="仿宋" w:hAnsi="Times New Roman"/>
          <w:sz w:val="24"/>
          <w:szCs w:val="24"/>
        </w:rPr>
        <w:t>、</w:t>
      </w:r>
      <w:r>
        <w:rPr>
          <w:rFonts w:ascii="Times New Roman" w:eastAsia="仿宋" w:hAnsi="Times New Roman"/>
          <w:sz w:val="24"/>
          <w:szCs w:val="24"/>
        </w:rPr>
        <w:t xml:space="preserve">MC-2 and </w:t>
      </w:r>
      <w:proofErr w:type="spellStart"/>
      <w:r>
        <w:rPr>
          <w:rFonts w:ascii="Times New Roman" w:eastAsia="仿宋" w:hAnsi="Times New Roman"/>
          <w:sz w:val="24"/>
          <w:szCs w:val="24"/>
        </w:rPr>
        <w:t>CuFeNi</w:t>
      </w:r>
      <w:proofErr w:type="spellEnd"/>
      <w:r>
        <w:rPr>
          <w:rFonts w:ascii="Times New Roman" w:eastAsia="仿宋" w:hAnsi="Times New Roman"/>
          <w:sz w:val="24"/>
          <w:szCs w:val="24"/>
        </w:rPr>
        <w:t xml:space="preserve"> LDHs in order to identify the functional groups and bonding in the synthesis catalyst with the scanning ranging from 400 to 4000 cm</w:t>
      </w:r>
      <w:r>
        <w:rPr>
          <w:rFonts w:ascii="Times New Roman" w:eastAsia="仿宋" w:hAnsi="Times New Roman"/>
          <w:sz w:val="24"/>
          <w:szCs w:val="24"/>
          <w:vertAlign w:val="superscript"/>
        </w:rPr>
        <w:t>-1</w:t>
      </w:r>
      <w:r>
        <w:rPr>
          <w:rFonts w:ascii="Times New Roman" w:eastAsia="仿宋" w:hAnsi="Times New Roman"/>
          <w:sz w:val="24"/>
          <w:szCs w:val="24"/>
        </w:rPr>
        <w:t>.Operated at a power of 600 W with an energy resolution of 0.48eV@400kcps, X-ray photoelectron spectroscopy (XPS, PHI-5300, ESCA) was used to measure the element composition and electronic structure of the prepared MC-1</w:t>
      </w:r>
      <w:r>
        <w:rPr>
          <w:rFonts w:ascii="Times New Roman" w:eastAsia="仿宋" w:hAnsi="Times New Roman"/>
          <w:sz w:val="24"/>
          <w:szCs w:val="24"/>
        </w:rPr>
        <w:t>、</w:t>
      </w:r>
      <w:r>
        <w:rPr>
          <w:rFonts w:ascii="Times New Roman" w:eastAsia="仿宋" w:hAnsi="Times New Roman"/>
          <w:sz w:val="24"/>
          <w:szCs w:val="24"/>
        </w:rPr>
        <w:t xml:space="preserve">MC-2 and </w:t>
      </w:r>
      <w:proofErr w:type="spellStart"/>
      <w:r>
        <w:rPr>
          <w:rFonts w:ascii="Times New Roman" w:eastAsia="仿宋" w:hAnsi="Times New Roman"/>
          <w:sz w:val="24"/>
          <w:szCs w:val="24"/>
        </w:rPr>
        <w:t>CuFeNi</w:t>
      </w:r>
      <w:proofErr w:type="spellEnd"/>
      <w:r>
        <w:rPr>
          <w:rFonts w:ascii="Times New Roman" w:eastAsia="仿宋" w:hAnsi="Times New Roman"/>
          <w:sz w:val="24"/>
          <w:szCs w:val="24"/>
        </w:rPr>
        <w:t xml:space="preserve"> LDHs. </w:t>
      </w:r>
      <w:proofErr w:type="spellStart"/>
      <w:r>
        <w:rPr>
          <w:rFonts w:ascii="Times New Roman" w:eastAsia="仿宋" w:hAnsi="Times New Roman"/>
          <w:sz w:val="24"/>
          <w:szCs w:val="24"/>
        </w:rPr>
        <w:t>Brunauer</w:t>
      </w:r>
      <w:proofErr w:type="spellEnd"/>
      <w:r>
        <w:rPr>
          <w:rFonts w:ascii="Times New Roman" w:eastAsia="仿宋" w:hAnsi="Times New Roman"/>
          <w:sz w:val="24"/>
          <w:szCs w:val="24"/>
        </w:rPr>
        <w:t>-Emmett-Teller (BET) surface areas of the catalysts were analyzed using a</w:t>
      </w:r>
    </w:p>
    <w:p w14:paraId="4A0DD0D0" w14:textId="77777777" w:rsidR="00FA1CCE" w:rsidRDefault="003135E7">
      <w:pPr>
        <w:autoSpaceDE w:val="0"/>
        <w:autoSpaceDN w:val="0"/>
        <w:adjustRightInd w:val="0"/>
        <w:snapToGrid w:val="0"/>
        <w:spacing w:line="480" w:lineRule="auto"/>
        <w:rPr>
          <w:rFonts w:ascii="Times New Roman" w:eastAsia="仿宋" w:hAnsi="Times New Roman"/>
          <w:sz w:val="24"/>
          <w:szCs w:val="24"/>
        </w:rPr>
      </w:pPr>
      <w:r>
        <w:rPr>
          <w:rFonts w:ascii="Times New Roman" w:eastAsia="仿宋" w:hAnsi="Times New Roman"/>
          <w:sz w:val="24"/>
          <w:szCs w:val="24"/>
        </w:rPr>
        <w:lastRenderedPageBreak/>
        <w:t>standard low-temperature nitrogen method at 77 K (Micromeritics Tristar II 3020,</w:t>
      </w:r>
    </w:p>
    <w:p w14:paraId="0F109003" w14:textId="77777777" w:rsidR="00FA1CCE" w:rsidRDefault="003135E7">
      <w:pPr>
        <w:autoSpaceDE w:val="0"/>
        <w:autoSpaceDN w:val="0"/>
        <w:adjustRightInd w:val="0"/>
        <w:snapToGrid w:val="0"/>
        <w:spacing w:line="480" w:lineRule="auto"/>
        <w:rPr>
          <w:rFonts w:ascii="Times New Roman" w:eastAsia="仿宋" w:hAnsi="Times New Roman"/>
          <w:sz w:val="24"/>
          <w:szCs w:val="24"/>
        </w:rPr>
      </w:pPr>
      <w:r>
        <w:rPr>
          <w:rFonts w:ascii="Times New Roman" w:eastAsia="仿宋" w:hAnsi="Times New Roman"/>
          <w:sz w:val="24"/>
          <w:szCs w:val="24"/>
        </w:rPr>
        <w:t>USA). The magnetic properties of the synthesized catalysts were determined at 25℃</w:t>
      </w:r>
    </w:p>
    <w:p w14:paraId="09716B68" w14:textId="77777777" w:rsidR="00FA1CCE" w:rsidRDefault="003135E7">
      <w:pPr>
        <w:autoSpaceDE w:val="0"/>
        <w:autoSpaceDN w:val="0"/>
        <w:adjustRightInd w:val="0"/>
        <w:snapToGrid w:val="0"/>
        <w:spacing w:line="480" w:lineRule="auto"/>
        <w:rPr>
          <w:rFonts w:ascii="Times New Roman" w:eastAsia="仿宋" w:hAnsi="Times New Roman"/>
          <w:sz w:val="24"/>
          <w:szCs w:val="24"/>
        </w:rPr>
      </w:pPr>
      <w:r>
        <w:rPr>
          <w:rFonts w:ascii="Times New Roman" w:eastAsia="仿宋" w:hAnsi="Times New Roman"/>
          <w:sz w:val="24"/>
          <w:szCs w:val="24"/>
        </w:rPr>
        <w:t>using a vibrating sample magnetometer (VSM, Lake Shore 7404, USA)</w:t>
      </w:r>
      <w:r>
        <w:rPr>
          <w:rFonts w:ascii="Times New Roman" w:eastAsia="仿宋" w:hAnsi="Times New Roman" w:hint="eastAsia"/>
          <w:sz w:val="24"/>
          <w:szCs w:val="24"/>
        </w:rPr>
        <w:t>.</w:t>
      </w:r>
      <w:r>
        <w:rPr>
          <w:rFonts w:ascii="Times New Roman" w:eastAsia="仿宋" w:hAnsi="Times New Roman"/>
          <w:sz w:val="24"/>
          <w:szCs w:val="24"/>
        </w:rPr>
        <w:t xml:space="preserve"> The measurement of the amount of metal leached from the reaction system was based on the ICP-MS method of Agilent 7700.</w:t>
      </w:r>
    </w:p>
    <w:p w14:paraId="5F321D9E" w14:textId="77777777" w:rsidR="00FA1CCE" w:rsidRDefault="00FA1CCE">
      <w:pPr>
        <w:adjustRightInd w:val="0"/>
        <w:snapToGrid w:val="0"/>
        <w:spacing w:line="480" w:lineRule="auto"/>
        <w:rPr>
          <w:rFonts w:ascii="Times New Roman" w:eastAsia="宋体" w:hAnsi="Times New Roman"/>
          <w:sz w:val="24"/>
          <w:szCs w:val="24"/>
        </w:rPr>
      </w:pPr>
    </w:p>
    <w:p w14:paraId="20A71004" w14:textId="77777777" w:rsidR="00FA1CCE" w:rsidRDefault="00FA1CCE">
      <w:pPr>
        <w:autoSpaceDE w:val="0"/>
        <w:autoSpaceDN w:val="0"/>
        <w:adjustRightInd w:val="0"/>
        <w:snapToGrid w:val="0"/>
        <w:spacing w:line="480" w:lineRule="auto"/>
        <w:rPr>
          <w:rFonts w:ascii="Times New Roman" w:hAnsi="Times New Roman"/>
          <w:sz w:val="24"/>
          <w:szCs w:val="24"/>
        </w:rPr>
      </w:pPr>
    </w:p>
    <w:p w14:paraId="441E2638" w14:textId="77777777" w:rsidR="00FA1CCE" w:rsidRDefault="00FA1CCE">
      <w:pPr>
        <w:adjustRightInd w:val="0"/>
        <w:snapToGrid w:val="0"/>
        <w:spacing w:line="480" w:lineRule="auto"/>
        <w:rPr>
          <w:rFonts w:ascii="Times New Roman" w:hAnsi="Times New Roman"/>
          <w:sz w:val="24"/>
          <w:szCs w:val="24"/>
        </w:rPr>
      </w:pPr>
    </w:p>
    <w:p w14:paraId="53AD1818" w14:textId="77777777" w:rsidR="00FA1CCE" w:rsidRDefault="003135E7">
      <w:pPr>
        <w:widowControl/>
        <w:jc w:val="left"/>
        <w:rPr>
          <w:rFonts w:ascii="Times New Roman" w:hAnsi="Times New Roman"/>
          <w:sz w:val="24"/>
          <w:szCs w:val="24"/>
        </w:rPr>
        <w:sectPr w:rsidR="00FA1CCE">
          <w:pgSz w:w="11906" w:h="16838"/>
          <w:pgMar w:top="1440" w:right="1800" w:bottom="1440" w:left="1800" w:header="851" w:footer="992" w:gutter="0"/>
          <w:cols w:space="425"/>
          <w:docGrid w:type="lines" w:linePitch="312"/>
        </w:sectPr>
      </w:pPr>
      <w:r>
        <w:rPr>
          <w:rFonts w:ascii="Times New Roman" w:hAnsi="Times New Roman"/>
          <w:sz w:val="24"/>
          <w:szCs w:val="24"/>
        </w:rPr>
        <w:br w:type="page"/>
      </w:r>
    </w:p>
    <w:p w14:paraId="3282442F" w14:textId="77777777" w:rsidR="00FA1CCE" w:rsidRDefault="003135E7">
      <w:pPr>
        <w:adjustRightInd w:val="0"/>
        <w:snapToGrid w:val="0"/>
        <w:spacing w:line="480" w:lineRule="auto"/>
        <w:jc w:val="center"/>
        <w:rPr>
          <w:rFonts w:ascii="Times New Roman" w:hAnsi="Times New Roman"/>
          <w:sz w:val="24"/>
          <w:szCs w:val="24"/>
        </w:rPr>
      </w:pPr>
      <w:r>
        <w:rPr>
          <w:noProof/>
        </w:rPr>
        <w:lastRenderedPageBreak/>
        <w:drawing>
          <wp:inline distT="0" distB="0" distL="0" distR="0" wp14:anchorId="3B6A9872" wp14:editId="03673425">
            <wp:extent cx="5274310" cy="255206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a:stretch>
                      <a:fillRect/>
                    </a:stretch>
                  </pic:blipFill>
                  <pic:spPr>
                    <a:xfrm>
                      <a:off x="0" y="0"/>
                      <a:ext cx="5274310" cy="2552065"/>
                    </a:xfrm>
                    <a:prstGeom prst="rect">
                      <a:avLst/>
                    </a:prstGeom>
                  </pic:spPr>
                </pic:pic>
              </a:graphicData>
            </a:graphic>
          </wp:inline>
        </w:drawing>
      </w:r>
    </w:p>
    <w:p w14:paraId="4A7E9564" w14:textId="77777777" w:rsidR="00FA1CCE" w:rsidRDefault="003135E7">
      <w:pPr>
        <w:adjustRightInd w:val="0"/>
        <w:snapToGrid w:val="0"/>
        <w:spacing w:line="480" w:lineRule="auto"/>
        <w:jc w:val="center"/>
        <w:rPr>
          <w:rFonts w:ascii="Times New Roman" w:hAnsi="Times New Roman"/>
          <w:sz w:val="24"/>
          <w:szCs w:val="24"/>
        </w:rPr>
      </w:pPr>
      <w:bookmarkStart w:id="10" w:name="_Hlk96281179"/>
      <w:r>
        <w:rPr>
          <w:rFonts w:ascii="Times New Roman" w:hAnsi="Times New Roman" w:hint="eastAsia"/>
          <w:b/>
          <w:bCs/>
          <w:sz w:val="24"/>
          <w:szCs w:val="24"/>
        </w:rPr>
        <w:t>F</w:t>
      </w:r>
      <w:r>
        <w:rPr>
          <w:rFonts w:ascii="Times New Roman" w:hAnsi="Times New Roman"/>
          <w:b/>
          <w:bCs/>
          <w:sz w:val="24"/>
          <w:szCs w:val="24"/>
        </w:rPr>
        <w:t>ig S1</w:t>
      </w:r>
      <w:bookmarkEnd w:id="10"/>
      <w:r>
        <w:rPr>
          <w:rFonts w:ascii="Times New Roman" w:hAnsi="Times New Roman"/>
          <w:sz w:val="24"/>
          <w:szCs w:val="24"/>
        </w:rPr>
        <w:t xml:space="preserve"> The schematic diagram of BC</w:t>
      </w:r>
      <w:r>
        <w:rPr>
          <w:rFonts w:ascii="Times New Roman" w:hAnsi="Times New Roman"/>
          <w:sz w:val="24"/>
          <w:szCs w:val="24"/>
        </w:rPr>
        <w:t>、</w:t>
      </w:r>
      <w:r>
        <w:rPr>
          <w:rFonts w:ascii="Times New Roman" w:hAnsi="Times New Roman"/>
          <w:sz w:val="24"/>
          <w:szCs w:val="24"/>
        </w:rPr>
        <w:t>MBC</w:t>
      </w:r>
      <w:r>
        <w:rPr>
          <w:rFonts w:ascii="Times New Roman" w:hAnsi="Times New Roman"/>
          <w:sz w:val="24"/>
          <w:szCs w:val="24"/>
        </w:rPr>
        <w:t>、</w:t>
      </w:r>
      <w:r>
        <w:rPr>
          <w:rFonts w:ascii="Times New Roman" w:hAnsi="Times New Roman"/>
          <w:sz w:val="24"/>
          <w:szCs w:val="24"/>
        </w:rPr>
        <w:t>MC-1</w:t>
      </w:r>
      <w:r>
        <w:rPr>
          <w:rFonts w:ascii="Times New Roman" w:hAnsi="Times New Roman" w:hint="eastAsia"/>
          <w:sz w:val="24"/>
          <w:szCs w:val="24"/>
        </w:rPr>
        <w:t>、</w:t>
      </w:r>
      <w:r>
        <w:rPr>
          <w:rFonts w:ascii="Times New Roman" w:hAnsi="Times New Roman"/>
          <w:sz w:val="24"/>
          <w:szCs w:val="24"/>
        </w:rPr>
        <w:t xml:space="preserve">MC-2 and </w:t>
      </w:r>
      <w:proofErr w:type="spellStart"/>
      <w:r>
        <w:rPr>
          <w:rFonts w:ascii="Times New Roman" w:hAnsi="Times New Roman" w:hint="eastAsia"/>
          <w:sz w:val="24"/>
          <w:szCs w:val="24"/>
        </w:rPr>
        <w:t>C</w:t>
      </w:r>
      <w:r>
        <w:rPr>
          <w:rFonts w:ascii="Times New Roman" w:hAnsi="Times New Roman"/>
          <w:sz w:val="24"/>
          <w:szCs w:val="24"/>
        </w:rPr>
        <w:t>uFeNi</w:t>
      </w:r>
      <w:proofErr w:type="spellEnd"/>
      <w:r>
        <w:rPr>
          <w:rFonts w:ascii="Times New Roman" w:hAnsi="Times New Roman"/>
          <w:sz w:val="24"/>
          <w:szCs w:val="24"/>
        </w:rPr>
        <w:t xml:space="preserve"> LDHs preparation</w:t>
      </w:r>
    </w:p>
    <w:p w14:paraId="753600C1" w14:textId="77777777" w:rsidR="00FA1CCE" w:rsidRDefault="003135E7">
      <w:pPr>
        <w:widowControl/>
        <w:jc w:val="left"/>
        <w:rPr>
          <w:rFonts w:ascii="Times New Roman" w:hAnsi="Times New Roman"/>
          <w:sz w:val="24"/>
          <w:szCs w:val="24"/>
        </w:rPr>
      </w:pPr>
      <w:bookmarkStart w:id="11" w:name="_Hlk59355731"/>
      <w:r>
        <w:rPr>
          <w:rFonts w:ascii="Times New Roman" w:hAnsi="Times New Roman"/>
          <w:sz w:val="24"/>
          <w:szCs w:val="24"/>
        </w:rPr>
        <w:br w:type="page"/>
      </w:r>
    </w:p>
    <w:p w14:paraId="33C7EDBE" w14:textId="77777777" w:rsidR="00FA1CCE" w:rsidRDefault="003135E7">
      <w:pPr>
        <w:widowControl/>
        <w:jc w:val="center"/>
      </w:pPr>
      <w:r>
        <w:object w:dxaOrig="4150" w:dyaOrig="3180" w14:anchorId="294824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6pt;height:159pt" o:ole="">
            <v:imagedata r:id="rId8" o:title=""/>
          </v:shape>
          <o:OLEObject Type="Embed" ProgID="Origin50.Graph" ShapeID="_x0000_i1025" DrawAspect="Content" ObjectID="_1752859781" r:id="rId9"/>
        </w:object>
      </w:r>
      <w:r>
        <w:object w:dxaOrig="4150" w:dyaOrig="3160" w14:anchorId="4F9B811A">
          <v:shape id="_x0000_i1026" type="#_x0000_t75" style="width:207.6pt;height:158.4pt" o:ole="">
            <v:imagedata r:id="rId10" o:title=""/>
          </v:shape>
          <o:OLEObject Type="Embed" ProgID="Origin50.Graph" ShapeID="_x0000_i1026" DrawAspect="Content" ObjectID="_1752859782" r:id="rId11"/>
        </w:object>
      </w:r>
    </w:p>
    <w:p w14:paraId="17F84ECB" w14:textId="77777777" w:rsidR="00FA1CCE" w:rsidRDefault="003135E7">
      <w:pPr>
        <w:widowControl/>
        <w:jc w:val="center"/>
      </w:pPr>
      <w:r>
        <w:object w:dxaOrig="4100" w:dyaOrig="3140" w14:anchorId="1BB4AABF">
          <v:shape id="_x0000_i1027" type="#_x0000_t75" style="width:204.6pt;height:156.6pt" o:ole="">
            <v:imagedata r:id="rId12" o:title=""/>
          </v:shape>
          <o:OLEObject Type="Embed" ProgID="Origin50.Graph" ShapeID="_x0000_i1027" DrawAspect="Content" ObjectID="_1752859783" r:id="rId13"/>
        </w:object>
      </w:r>
      <w:r>
        <w:object w:dxaOrig="4170" w:dyaOrig="3190" w14:anchorId="7D07353A">
          <v:shape id="_x0000_i1028" type="#_x0000_t75" style="width:208.8pt;height:159.6pt" o:ole="">
            <v:imagedata r:id="rId14" o:title=""/>
          </v:shape>
          <o:OLEObject Type="Embed" ProgID="Origin50.Graph" ShapeID="_x0000_i1028" DrawAspect="Content" ObjectID="_1752859784" r:id="rId15"/>
        </w:object>
      </w:r>
    </w:p>
    <w:p w14:paraId="2BF38123" w14:textId="77777777" w:rsidR="00FA1CCE" w:rsidRDefault="003135E7">
      <w:pPr>
        <w:widowControl/>
        <w:jc w:val="center"/>
      </w:pPr>
      <w:r>
        <w:object w:dxaOrig="4080" w:dyaOrig="3120" w14:anchorId="1891FC17">
          <v:shape id="_x0000_i1029" type="#_x0000_t75" style="width:204pt;height:156pt" o:ole="">
            <v:imagedata r:id="rId16" o:title=""/>
          </v:shape>
          <o:OLEObject Type="Embed" ProgID="Origin50.Graph" ShapeID="_x0000_i1029" DrawAspect="Content" ObjectID="_1752859785" r:id="rId17"/>
        </w:object>
      </w:r>
      <w:r>
        <w:object w:dxaOrig="4090" w:dyaOrig="3130" w14:anchorId="3380C850">
          <v:shape id="_x0000_i1030" type="#_x0000_t75" style="width:204.6pt;height:156.6pt" o:ole="">
            <v:imagedata r:id="rId18" o:title=""/>
          </v:shape>
          <o:OLEObject Type="Embed" ProgID="Origin50.Graph" ShapeID="_x0000_i1030" DrawAspect="Content" ObjectID="_1752859786" r:id="rId19"/>
        </w:object>
      </w:r>
    </w:p>
    <w:p w14:paraId="37ADE8D1" w14:textId="77777777" w:rsidR="00FA1CCE" w:rsidRDefault="003135E7">
      <w:pPr>
        <w:widowControl/>
        <w:jc w:val="center"/>
      </w:pPr>
      <w:r>
        <w:object w:dxaOrig="4130" w:dyaOrig="3160" w14:anchorId="6E916340">
          <v:shape id="_x0000_i1031" type="#_x0000_t75" style="width:206.4pt;height:158.4pt" o:ole="">
            <v:imagedata r:id="rId20" o:title=""/>
          </v:shape>
          <o:OLEObject Type="Embed" ProgID="Origin50.Graph" ShapeID="_x0000_i1031" DrawAspect="Content" ObjectID="_1752859787" r:id="rId21"/>
        </w:object>
      </w:r>
      <w:r>
        <w:object w:dxaOrig="4090" w:dyaOrig="3130" w14:anchorId="5A99854F">
          <v:shape id="_x0000_i1032" type="#_x0000_t75" style="width:204.6pt;height:156.6pt" o:ole="">
            <v:imagedata r:id="rId22" o:title=""/>
          </v:shape>
          <o:OLEObject Type="Embed" ProgID="Origin50.Graph" ShapeID="_x0000_i1032" DrawAspect="Content" ObjectID="_1752859788" r:id="rId23"/>
        </w:object>
      </w:r>
      <w:r>
        <w:t xml:space="preserve"> </w:t>
      </w:r>
      <w:r>
        <w:object w:dxaOrig="4380" w:dyaOrig="3350" w14:anchorId="4E9C19AA">
          <v:shape id="_x0000_i1033" type="#_x0000_t75" style="width:219pt;height:167.4pt" o:ole="">
            <v:imagedata r:id="rId24" o:title=""/>
          </v:shape>
          <o:OLEObject Type="Embed" ProgID="Origin50.Graph" ShapeID="_x0000_i1033" DrawAspect="Content" ObjectID="_1752859789" r:id="rId25"/>
        </w:object>
      </w:r>
    </w:p>
    <w:p w14:paraId="25C9703F" w14:textId="77777777" w:rsidR="00FA1CCE" w:rsidRDefault="003135E7">
      <w:pPr>
        <w:widowControl/>
        <w:spacing w:line="480" w:lineRule="auto"/>
        <w:jc w:val="center"/>
        <w:rPr>
          <w:rFonts w:ascii="Times New Roman" w:hAnsi="Times New Roman"/>
          <w:sz w:val="24"/>
          <w:szCs w:val="24"/>
        </w:rPr>
      </w:pPr>
      <w:bookmarkStart w:id="12" w:name="_Hlk96281823"/>
      <w:r>
        <w:rPr>
          <w:rFonts w:ascii="Times New Roman" w:hAnsi="Times New Roman" w:hint="eastAsia"/>
          <w:b/>
          <w:bCs/>
          <w:sz w:val="24"/>
          <w:szCs w:val="24"/>
        </w:rPr>
        <w:t>F</w:t>
      </w:r>
      <w:r>
        <w:rPr>
          <w:rFonts w:ascii="Times New Roman" w:hAnsi="Times New Roman"/>
          <w:b/>
          <w:bCs/>
          <w:sz w:val="24"/>
          <w:szCs w:val="24"/>
        </w:rPr>
        <w:t xml:space="preserve">ig S2 </w:t>
      </w:r>
      <w:r>
        <w:rPr>
          <w:rFonts w:ascii="Times New Roman" w:hAnsi="Times New Roman"/>
          <w:sz w:val="24"/>
          <w:szCs w:val="24"/>
        </w:rPr>
        <w:t xml:space="preserve">Kinetic curve of (a) material optimization, (b) different systems activated </w:t>
      </w:r>
      <w:proofErr w:type="spellStart"/>
      <w:r>
        <w:rPr>
          <w:rFonts w:ascii="Times New Roman" w:hAnsi="Times New Roman"/>
          <w:sz w:val="24"/>
          <w:szCs w:val="24"/>
        </w:rPr>
        <w:t>peroxymonosulfate</w:t>
      </w:r>
      <w:proofErr w:type="spellEnd"/>
      <w:r>
        <w:rPr>
          <w:rFonts w:ascii="Times New Roman" w:hAnsi="Times New Roman"/>
          <w:sz w:val="24"/>
          <w:szCs w:val="24"/>
        </w:rPr>
        <w:t xml:space="preserve"> to degrade ENR, (c)</w:t>
      </w:r>
      <w:r>
        <w:t xml:space="preserve"> </w:t>
      </w:r>
      <w:r>
        <w:rPr>
          <w:rFonts w:ascii="Times New Roman" w:hAnsi="Times New Roman"/>
          <w:sz w:val="24"/>
          <w:szCs w:val="24"/>
        </w:rPr>
        <w:t xml:space="preserve">different catalyst concentrations, (d) different PMS concentrations, (e) different </w:t>
      </w:r>
      <w:r>
        <w:rPr>
          <w:rFonts w:ascii="Times New Roman" w:hAnsi="Times New Roman" w:hint="eastAsia"/>
          <w:sz w:val="24"/>
          <w:szCs w:val="24"/>
        </w:rPr>
        <w:t>pH,</w:t>
      </w:r>
      <w:r>
        <w:rPr>
          <w:rFonts w:ascii="Times New Roman" w:hAnsi="Times New Roman"/>
          <w:sz w:val="24"/>
          <w:szCs w:val="24"/>
        </w:rPr>
        <w:t xml:space="preserve"> (f) different HA concentrations, (g) different Cl</w:t>
      </w:r>
      <w:r>
        <w:rPr>
          <w:rFonts w:ascii="Times New Roman" w:hAnsi="Times New Roman"/>
          <w:sz w:val="24"/>
          <w:szCs w:val="24"/>
          <w:vertAlign w:val="superscript"/>
        </w:rPr>
        <w:t>-</w:t>
      </w:r>
      <w:r>
        <w:rPr>
          <w:rFonts w:ascii="Times New Roman" w:hAnsi="Times New Roman"/>
          <w:sz w:val="24"/>
          <w:szCs w:val="24"/>
        </w:rPr>
        <w:t xml:space="preserve"> concentrations, (h)</w:t>
      </w:r>
      <w:bookmarkStart w:id="13" w:name="_Hlk96281742"/>
      <w:r>
        <w:rPr>
          <w:rFonts w:ascii="Times New Roman" w:hAnsi="Times New Roman"/>
          <w:sz w:val="24"/>
          <w:szCs w:val="24"/>
        </w:rPr>
        <w:t xml:space="preserve"> different HCO</w:t>
      </w:r>
      <w:r>
        <w:rPr>
          <w:rFonts w:ascii="Times New Roman" w:hAnsi="Times New Roman"/>
          <w:sz w:val="24"/>
          <w:szCs w:val="24"/>
          <w:vertAlign w:val="subscript"/>
        </w:rPr>
        <w:t>3</w:t>
      </w:r>
      <w:r>
        <w:rPr>
          <w:rFonts w:ascii="Times New Roman" w:hAnsi="Times New Roman"/>
          <w:sz w:val="24"/>
          <w:szCs w:val="24"/>
          <w:vertAlign w:val="superscript"/>
        </w:rPr>
        <w:t>-</w:t>
      </w:r>
      <w:r>
        <w:rPr>
          <w:rFonts w:ascii="Times New Roman" w:hAnsi="Times New Roman"/>
          <w:sz w:val="24"/>
          <w:szCs w:val="24"/>
        </w:rPr>
        <w:t xml:space="preserve"> concentrations</w:t>
      </w:r>
      <w:bookmarkEnd w:id="13"/>
      <w:r>
        <w:rPr>
          <w:rFonts w:ascii="Times New Roman" w:hAnsi="Times New Roman"/>
          <w:sz w:val="24"/>
          <w:szCs w:val="24"/>
        </w:rPr>
        <w:t>, (</w:t>
      </w:r>
      <w:proofErr w:type="spellStart"/>
      <w:r>
        <w:rPr>
          <w:rFonts w:ascii="Times New Roman" w:hAnsi="Times New Roman"/>
          <w:sz w:val="24"/>
          <w:szCs w:val="24"/>
        </w:rPr>
        <w:t>i</w:t>
      </w:r>
      <w:proofErr w:type="spellEnd"/>
      <w:r>
        <w:rPr>
          <w:rFonts w:ascii="Times New Roman" w:hAnsi="Times New Roman"/>
          <w:sz w:val="24"/>
          <w:szCs w:val="24"/>
        </w:rPr>
        <w:t>) different NO</w:t>
      </w:r>
      <w:r>
        <w:rPr>
          <w:rFonts w:ascii="Times New Roman" w:hAnsi="Times New Roman"/>
          <w:sz w:val="24"/>
          <w:szCs w:val="24"/>
          <w:vertAlign w:val="subscript"/>
        </w:rPr>
        <w:t>3</w:t>
      </w:r>
      <w:r>
        <w:rPr>
          <w:rFonts w:ascii="Times New Roman" w:hAnsi="Times New Roman"/>
          <w:sz w:val="24"/>
          <w:szCs w:val="24"/>
          <w:vertAlign w:val="superscript"/>
        </w:rPr>
        <w:t>-</w:t>
      </w:r>
      <w:r>
        <w:rPr>
          <w:rFonts w:ascii="Times New Roman" w:hAnsi="Times New Roman"/>
          <w:sz w:val="24"/>
          <w:szCs w:val="24"/>
        </w:rPr>
        <w:t xml:space="preserve"> concentrations</w:t>
      </w:r>
    </w:p>
    <w:bookmarkEnd w:id="12"/>
    <w:p w14:paraId="3BE3DDF4" w14:textId="77777777" w:rsidR="00FA1CCE" w:rsidRDefault="003135E7">
      <w:pPr>
        <w:widowControl/>
        <w:jc w:val="left"/>
        <w:rPr>
          <w:rFonts w:ascii="Times New Roman" w:hAnsi="Times New Roman"/>
          <w:sz w:val="24"/>
          <w:szCs w:val="24"/>
        </w:rPr>
      </w:pPr>
      <w:r>
        <w:rPr>
          <w:rFonts w:ascii="Times New Roman" w:hAnsi="Times New Roman"/>
          <w:sz w:val="24"/>
          <w:szCs w:val="24"/>
        </w:rPr>
        <w:br w:type="page"/>
      </w:r>
    </w:p>
    <w:p w14:paraId="2FC6B4E8" w14:textId="77777777" w:rsidR="00FA1CCE" w:rsidRDefault="00FA1CCE">
      <w:pPr>
        <w:widowControl/>
        <w:jc w:val="left"/>
        <w:rPr>
          <w:rFonts w:ascii="Times New Roman" w:hAnsi="Times New Roman"/>
          <w:sz w:val="24"/>
          <w:szCs w:val="24"/>
        </w:rPr>
      </w:pPr>
    </w:p>
    <w:bookmarkStart w:id="14" w:name="_Hlk59714526"/>
    <w:p w14:paraId="7516E4E5" w14:textId="77777777" w:rsidR="00FA1CCE" w:rsidRDefault="003135E7">
      <w:pPr>
        <w:adjustRightInd w:val="0"/>
        <w:snapToGrid w:val="0"/>
        <w:spacing w:line="480" w:lineRule="auto"/>
        <w:jc w:val="center"/>
        <w:rPr>
          <w:rFonts w:ascii="Times New Roman" w:hAnsi="Times New Roman"/>
          <w:b/>
          <w:bCs/>
          <w:sz w:val="24"/>
          <w:szCs w:val="24"/>
        </w:rPr>
      </w:pPr>
      <w:r>
        <w:object w:dxaOrig="7100" w:dyaOrig="5450" w14:anchorId="55917329">
          <v:shape id="_x0000_i1034" type="#_x0000_t75" style="width:354.6pt;height:272.4pt" o:ole="">
            <v:imagedata r:id="rId26" o:title=""/>
          </v:shape>
          <o:OLEObject Type="Embed" ProgID="Origin50.Graph" ShapeID="_x0000_i1034" DrawAspect="Content" ObjectID="_1752859790" r:id="rId27"/>
        </w:object>
      </w:r>
    </w:p>
    <w:p w14:paraId="0A582360"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b/>
          <w:bCs/>
          <w:sz w:val="24"/>
          <w:szCs w:val="24"/>
        </w:rPr>
        <w:t>F</w:t>
      </w:r>
      <w:r>
        <w:rPr>
          <w:rFonts w:ascii="Times New Roman" w:hAnsi="Times New Roman"/>
          <w:b/>
          <w:bCs/>
          <w:sz w:val="24"/>
          <w:szCs w:val="24"/>
        </w:rPr>
        <w:t>ig S3</w:t>
      </w:r>
      <w:r>
        <w:rPr>
          <w:rFonts w:ascii="Times New Roman" w:hAnsi="Times New Roman"/>
          <w:sz w:val="24"/>
          <w:szCs w:val="24"/>
        </w:rPr>
        <w:t xml:space="preserve"> </w:t>
      </w:r>
      <w:bookmarkStart w:id="15" w:name="_Hlk78822651"/>
      <w:r>
        <w:rPr>
          <w:rFonts w:ascii="Times New Roman" w:hAnsi="Times New Roman"/>
          <w:sz w:val="24"/>
          <w:szCs w:val="24"/>
        </w:rPr>
        <w:t>Metal ion precipitation rate of MC-1&amp;PMS reaction system</w:t>
      </w:r>
    </w:p>
    <w:bookmarkEnd w:id="14"/>
    <w:bookmarkEnd w:id="15"/>
    <w:p w14:paraId="7251C8DA" w14:textId="77777777" w:rsidR="00FA1CCE" w:rsidRDefault="003135E7">
      <w:pPr>
        <w:widowControl/>
        <w:jc w:val="left"/>
      </w:pPr>
      <w:r>
        <w:br w:type="page"/>
      </w:r>
    </w:p>
    <w:p w14:paraId="46934F20" w14:textId="77777777" w:rsidR="00FA1CCE" w:rsidRDefault="003135E7">
      <w:pPr>
        <w:widowControl/>
        <w:jc w:val="left"/>
        <w:rPr>
          <w:rFonts w:ascii="Times New Roman" w:hAnsi="Times New Roman"/>
          <w:sz w:val="24"/>
          <w:szCs w:val="24"/>
        </w:rPr>
      </w:pPr>
      <w:r>
        <w:rPr>
          <w:noProof/>
        </w:rPr>
        <w:lastRenderedPageBreak/>
        <mc:AlternateContent>
          <mc:Choice Requires="wps">
            <w:drawing>
              <wp:anchor distT="0" distB="0" distL="114300" distR="114300" simplePos="0" relativeHeight="251663360" behindDoc="0" locked="0" layoutInCell="1" allowOverlap="1" wp14:anchorId="47FBD505" wp14:editId="2327F497">
                <wp:simplePos x="0" y="0"/>
                <wp:positionH relativeFrom="column">
                  <wp:posOffset>-6350</wp:posOffset>
                </wp:positionH>
                <wp:positionV relativeFrom="paragraph">
                  <wp:posOffset>-6350</wp:posOffset>
                </wp:positionV>
                <wp:extent cx="5276850" cy="3841750"/>
                <wp:effectExtent l="0" t="0" r="19050" b="25400"/>
                <wp:wrapNone/>
                <wp:docPr id="6" name="矩形 6"/>
                <wp:cNvGraphicFramePr/>
                <a:graphic xmlns:a="http://schemas.openxmlformats.org/drawingml/2006/main">
                  <a:graphicData uri="http://schemas.microsoft.com/office/word/2010/wordprocessingShape">
                    <wps:wsp>
                      <wps:cNvSpPr/>
                      <wps:spPr>
                        <a:xfrm>
                          <a:off x="0" y="0"/>
                          <a:ext cx="5276850" cy="3841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F3A275E" id="矩形 6" o:spid="_x0000_s1026" style="position:absolute;left:0;text-align:left;margin-left:-.5pt;margin-top:-.5pt;width:415.5pt;height:30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DKYagIAAC8FAAAOAAAAZHJzL2Uyb0RvYy54bWysVE2PGjEMvVfqf4hyL8NQWHbRDivEiqoS&#10;6qJuq55DJtmJlInTJDDQX18n8wFtVz1U5RDisf1sP9u5fzjVmhyF8wpMQfPRmBJhOJTKvBT065fN&#10;u1tKfGCmZBqMKOhZePqwfPvmvrELMYEKdCkcQRDjF40taBWCXWSZ55WomR+BFQaVElzNAoruJSsd&#10;axC91tlkPL7JGnCldcCF9/j1sVXSZcKXUvDwJKUXgeiCYm4hnS6d+3hmy3u2eHHMVop3abB/yKJm&#10;ymDQAeqRBUYOTv0BVSvuwIMMIw51BlIqLlINWE0+/q2a54pZkWpBcrwdaPL/D5Z/Oj7bnUMaGusX&#10;Hq+xipN0dfzH/MgpkXUeyBKnQDh+nE3mN7cz5JSj7v3tNJ+jgDjZxd06Hz4IqEm8FNRhNxJJ7Lj1&#10;oTXtTWI0AxuldeqINqTBcbobI2ZUedCqjNokxOEQa+3IkWFbwynv4l5ZYRbaYDKXqtItnLWIENp8&#10;FpKoEuuYtAF+xWScCxPyVlWxUrShZmP89cF6j1RyAozIEpMcsDuA3rIF6bFbAjr76CrSvA7OXeV/&#10;cx48UmQwYXCulQH3WmUaq+oit/Y9SS01kaU9lOedIw7abfGWbxQ2cMt82DGH64FNx5UPT3hIDdgo&#10;6G6UVOB+vPY92uPUopaSBtetoP77gTlBif5ocJ7v8uk07mcSprP5BAV3rdlfa8yhXgO2PsfHxfJ0&#10;jfZB91fpoP6GL8MqRkUVMxxjF5QH1wvr0D4D+LZwsVolM9xJy8LWPFsewSOrBlaHAFKleb2w07GG&#10;W5na370gce2v5WR1eeeWPwEAAP//AwBQSwMEFAAGAAgAAAAhAJurNtLeAAAACQEAAA8AAABkcnMv&#10;ZG93bnJldi54bWxMj81qwzAQhO+FvoPYQm+JlKaE4FgOJf2Bll7i9pKbbG0sE2tlLMVx375bKLSn&#10;ZXeG2W/y7eQ7MeIQ20AaFnMFAqkOtqVGw+fH82wNIiZD1nSBUMMXRtgW11e5yWy40B7HMjWCQyhm&#10;RoNLqc+kjLVDb+I89EisHcPgTeJ1aKQdzIXDfSfvlFpJb1riD870uHNYn8qz13Dsq+X7YX9QZfX6&#10;tnt6sU4+jk7r25vpYQMi4ZT+zPCDz+hQMFMVzmSj6DTMFlwl/U7W10vFh0rDSt0rkEUu/zcovgEA&#10;AP//AwBQSwECLQAUAAYACAAAACEAtoM4kv4AAADhAQAAEwAAAAAAAAAAAAAAAAAAAAAAW0NvbnRl&#10;bnRfVHlwZXNdLnhtbFBLAQItABQABgAIAAAAIQA4/SH/1gAAAJQBAAALAAAAAAAAAAAAAAAAAC8B&#10;AABfcmVscy8ucmVsc1BLAQItABQABgAIAAAAIQDSaDKYagIAAC8FAAAOAAAAAAAAAAAAAAAAAC4C&#10;AABkcnMvZTJvRG9jLnhtbFBLAQItABQABgAIAAAAIQCbqzbS3gAAAAkBAAAPAAAAAAAAAAAAAAAA&#10;AMQEAABkcnMvZG93bnJldi54bWxQSwUGAAAAAAQABADzAAAAzwUAAAAA&#10;" filled="f" strokecolor="black [3213]" strokeweight="1.5pt"/>
            </w:pict>
          </mc:Fallback>
        </mc:AlternateContent>
      </w:r>
      <w:r>
        <w:rPr>
          <w:noProof/>
        </w:rPr>
        <w:drawing>
          <wp:anchor distT="0" distB="0" distL="114300" distR="114300" simplePos="0" relativeHeight="251662336" behindDoc="0" locked="0" layoutInCell="1" allowOverlap="1" wp14:anchorId="4EDEFB2E" wp14:editId="5B56E1A3">
            <wp:simplePos x="0" y="0"/>
            <wp:positionH relativeFrom="margin">
              <wp:posOffset>2609850</wp:posOffset>
            </wp:positionH>
            <wp:positionV relativeFrom="paragraph">
              <wp:posOffset>1911350</wp:posOffset>
            </wp:positionV>
            <wp:extent cx="2561590" cy="1847850"/>
            <wp:effectExtent l="0" t="0" r="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61590" cy="1847850"/>
                    </a:xfrm>
                    <a:prstGeom prst="rect">
                      <a:avLst/>
                    </a:prstGeom>
                  </pic:spPr>
                </pic:pic>
              </a:graphicData>
            </a:graphic>
          </wp:anchor>
        </w:drawing>
      </w:r>
      <w:r>
        <w:rPr>
          <w:noProof/>
        </w:rPr>
        <w:drawing>
          <wp:anchor distT="0" distB="0" distL="114300" distR="114300" simplePos="0" relativeHeight="251661312" behindDoc="0" locked="0" layoutInCell="1" allowOverlap="1" wp14:anchorId="2F1B0075" wp14:editId="39ED64F7">
            <wp:simplePos x="0" y="0"/>
            <wp:positionH relativeFrom="margin">
              <wp:posOffset>38100</wp:posOffset>
            </wp:positionH>
            <wp:positionV relativeFrom="paragraph">
              <wp:posOffset>1943100</wp:posOffset>
            </wp:positionV>
            <wp:extent cx="2550160" cy="1809750"/>
            <wp:effectExtent l="0" t="0" r="2540"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50160" cy="1809750"/>
                    </a:xfrm>
                    <a:prstGeom prst="rect">
                      <a:avLst/>
                    </a:prstGeom>
                  </pic:spPr>
                </pic:pic>
              </a:graphicData>
            </a:graphic>
          </wp:anchor>
        </w:drawing>
      </w:r>
      <w:r>
        <w:rPr>
          <w:noProof/>
        </w:rPr>
        <w:drawing>
          <wp:anchor distT="0" distB="0" distL="114300" distR="114300" simplePos="0" relativeHeight="251659264" behindDoc="0" locked="0" layoutInCell="1" allowOverlap="1" wp14:anchorId="6347371D" wp14:editId="3E1A3624">
            <wp:simplePos x="0" y="0"/>
            <wp:positionH relativeFrom="margin">
              <wp:align>left</wp:align>
            </wp:positionH>
            <wp:positionV relativeFrom="paragraph">
              <wp:posOffset>57150</wp:posOffset>
            </wp:positionV>
            <wp:extent cx="2559685" cy="179197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60683" cy="1792478"/>
                    </a:xfrm>
                    <a:prstGeom prst="rect">
                      <a:avLst/>
                    </a:prstGeom>
                  </pic:spPr>
                </pic:pic>
              </a:graphicData>
            </a:graphic>
          </wp:anchor>
        </w:drawing>
      </w:r>
      <w:r>
        <w:rPr>
          <w:noProof/>
        </w:rPr>
        <w:drawing>
          <wp:anchor distT="0" distB="0" distL="114300" distR="114300" simplePos="0" relativeHeight="251660288" behindDoc="0" locked="0" layoutInCell="1" allowOverlap="1" wp14:anchorId="0E9BDE6B" wp14:editId="0CB07276">
            <wp:simplePos x="0" y="0"/>
            <wp:positionH relativeFrom="margin">
              <wp:posOffset>2603500</wp:posOffset>
            </wp:positionH>
            <wp:positionV relativeFrom="paragraph">
              <wp:posOffset>25400</wp:posOffset>
            </wp:positionV>
            <wp:extent cx="2622550" cy="1823720"/>
            <wp:effectExtent l="0" t="0" r="6350" b="508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22550" cy="1823720"/>
                    </a:xfrm>
                    <a:prstGeom prst="rect">
                      <a:avLst/>
                    </a:prstGeom>
                  </pic:spPr>
                </pic:pic>
              </a:graphicData>
            </a:graphic>
          </wp:anchor>
        </w:drawing>
      </w:r>
    </w:p>
    <w:p w14:paraId="1C4F6940"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b/>
          <w:bCs/>
          <w:sz w:val="24"/>
          <w:szCs w:val="24"/>
        </w:rPr>
        <w:t>F</w:t>
      </w:r>
      <w:r>
        <w:rPr>
          <w:rFonts w:ascii="Times New Roman" w:hAnsi="Times New Roman"/>
          <w:b/>
          <w:bCs/>
          <w:sz w:val="24"/>
          <w:szCs w:val="24"/>
        </w:rPr>
        <w:t>ig S4</w:t>
      </w:r>
      <w:r>
        <w:rPr>
          <w:rFonts w:ascii="Times New Roman" w:hAnsi="Times New Roman"/>
          <w:sz w:val="24"/>
          <w:szCs w:val="24"/>
        </w:rPr>
        <w:t xml:space="preserve"> </w:t>
      </w:r>
      <w:bookmarkStart w:id="16" w:name="_Hlk78822829"/>
      <w:r>
        <w:rPr>
          <w:rFonts w:ascii="Times New Roman" w:hAnsi="Times New Roman"/>
          <w:sz w:val="24"/>
          <w:szCs w:val="24"/>
        </w:rPr>
        <w:t>Identification of intermediate products of ENR in MC-1&amp;PMS reaction system</w:t>
      </w:r>
    </w:p>
    <w:bookmarkEnd w:id="16"/>
    <w:p w14:paraId="2D8581EF" w14:textId="77777777" w:rsidR="00FA1CCE" w:rsidRDefault="00FA1CCE">
      <w:pPr>
        <w:adjustRightInd w:val="0"/>
        <w:snapToGrid w:val="0"/>
        <w:spacing w:line="480" w:lineRule="auto"/>
        <w:jc w:val="center"/>
        <w:rPr>
          <w:rFonts w:ascii="Times New Roman" w:hAnsi="Times New Roman"/>
          <w:sz w:val="24"/>
          <w:szCs w:val="24"/>
        </w:rPr>
        <w:sectPr w:rsidR="00FA1CCE">
          <w:pgSz w:w="11906" w:h="16838"/>
          <w:pgMar w:top="1440" w:right="1800" w:bottom="1440" w:left="1800" w:header="851" w:footer="992" w:gutter="0"/>
          <w:cols w:space="425"/>
          <w:docGrid w:type="lines" w:linePitch="312"/>
        </w:sectPr>
      </w:pPr>
    </w:p>
    <w:p w14:paraId="75D684D0" w14:textId="77777777" w:rsidR="00FA1CCE" w:rsidRDefault="003135E7">
      <w:pPr>
        <w:spacing w:line="480" w:lineRule="auto"/>
        <w:ind w:leftChars="200" w:left="420"/>
        <w:jc w:val="center"/>
        <w:rPr>
          <w:rFonts w:ascii="Times New Roman" w:hAnsi="Times New Roman"/>
          <w:sz w:val="24"/>
          <w:szCs w:val="24"/>
        </w:rPr>
      </w:pPr>
      <w:bookmarkStart w:id="17" w:name="_Hlk78822977"/>
      <w:bookmarkEnd w:id="11"/>
      <w:r>
        <w:rPr>
          <w:rFonts w:ascii="Times New Roman" w:hAnsi="Times New Roman" w:hint="eastAsia"/>
          <w:b/>
          <w:bCs/>
          <w:sz w:val="24"/>
          <w:szCs w:val="24"/>
        </w:rPr>
        <w:lastRenderedPageBreak/>
        <w:t>Table</w:t>
      </w:r>
      <w:r>
        <w:rPr>
          <w:rFonts w:ascii="Times New Roman" w:hAnsi="Times New Roman"/>
          <w:b/>
          <w:bCs/>
          <w:sz w:val="24"/>
          <w:szCs w:val="24"/>
        </w:rPr>
        <w:t xml:space="preserve"> </w:t>
      </w:r>
      <w:r>
        <w:rPr>
          <w:rFonts w:ascii="Times New Roman" w:hAnsi="Times New Roman" w:hint="eastAsia"/>
          <w:b/>
          <w:bCs/>
          <w:sz w:val="24"/>
          <w:szCs w:val="24"/>
        </w:rPr>
        <w:t>S</w:t>
      </w:r>
      <w:r>
        <w:rPr>
          <w:rFonts w:ascii="Times New Roman" w:hAnsi="Times New Roman"/>
          <w:b/>
          <w:bCs/>
          <w:sz w:val="24"/>
          <w:szCs w:val="24"/>
        </w:rPr>
        <w:t>1</w:t>
      </w:r>
      <w:r>
        <w:rPr>
          <w:rFonts w:ascii="Times New Roman" w:hAnsi="Times New Roman" w:hint="eastAsia"/>
          <w:b/>
          <w:bCs/>
          <w:sz w:val="24"/>
          <w:szCs w:val="24"/>
        </w:rPr>
        <w:t xml:space="preserve"> </w:t>
      </w:r>
      <w:r>
        <w:rPr>
          <w:rFonts w:ascii="Times New Roman" w:hAnsi="Times New Roman"/>
          <w:sz w:val="24"/>
          <w:szCs w:val="24"/>
        </w:rPr>
        <w:t>Nitrogen adsorption data for MBC</w:t>
      </w:r>
      <w:r>
        <w:rPr>
          <w:rFonts w:ascii="Times New Roman" w:hAnsi="Times New Roman" w:hint="eastAsia"/>
          <w:sz w:val="24"/>
          <w:szCs w:val="24"/>
        </w:rPr>
        <w:t>、</w:t>
      </w:r>
      <w:r>
        <w:rPr>
          <w:rFonts w:ascii="Times New Roman" w:hAnsi="Times New Roman"/>
          <w:sz w:val="24"/>
          <w:szCs w:val="24"/>
        </w:rPr>
        <w:t>MC-1 and MC-2</w:t>
      </w:r>
      <w:r>
        <w:rPr>
          <w:rFonts w:ascii="Times New Roman" w:hAnsi="Times New Roman"/>
          <w:sz w:val="24"/>
          <w:szCs w:val="24"/>
          <w:vertAlign w:val="subscript"/>
        </w:rPr>
        <w:t xml:space="preserve"> </w:t>
      </w:r>
      <w:r>
        <w:rPr>
          <w:rFonts w:ascii="Times New Roman" w:hAnsi="Times New Roman"/>
          <w:sz w:val="24"/>
          <w:szCs w:val="24"/>
        </w:rPr>
        <w:t>samples</w:t>
      </w:r>
    </w:p>
    <w:tbl>
      <w:tblPr>
        <w:tblW w:w="4820" w:type="dxa"/>
        <w:jc w:val="center"/>
        <w:tblBorders>
          <w:top w:val="single" w:sz="4" w:space="0" w:color="auto"/>
          <w:bottom w:val="single" w:sz="4" w:space="0" w:color="auto"/>
        </w:tblBorders>
        <w:tblLayout w:type="fixed"/>
        <w:tblLook w:val="04A0" w:firstRow="1" w:lastRow="0" w:firstColumn="1" w:lastColumn="0" w:noHBand="0" w:noVBand="1"/>
      </w:tblPr>
      <w:tblGrid>
        <w:gridCol w:w="2127"/>
        <w:gridCol w:w="1417"/>
        <w:gridCol w:w="1276"/>
      </w:tblGrid>
      <w:tr w:rsidR="00FA1CCE" w14:paraId="20F676F2" w14:textId="77777777">
        <w:trPr>
          <w:trHeight w:val="397"/>
          <w:jc w:val="center"/>
        </w:trPr>
        <w:tc>
          <w:tcPr>
            <w:tcW w:w="2127" w:type="dxa"/>
            <w:tcBorders>
              <w:bottom w:val="nil"/>
            </w:tcBorders>
            <w:shd w:val="clear" w:color="auto" w:fill="auto"/>
            <w:vAlign w:val="center"/>
          </w:tcPr>
          <w:bookmarkEnd w:id="17"/>
          <w:p w14:paraId="41B21B58"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Samples</w:t>
            </w:r>
          </w:p>
        </w:tc>
        <w:tc>
          <w:tcPr>
            <w:tcW w:w="1417" w:type="dxa"/>
            <w:tcBorders>
              <w:bottom w:val="nil"/>
            </w:tcBorders>
            <w:shd w:val="clear" w:color="auto" w:fill="auto"/>
            <w:vAlign w:val="center"/>
          </w:tcPr>
          <w:p w14:paraId="68CFDB81" w14:textId="77777777" w:rsidR="00FA1CCE" w:rsidRDefault="003135E7">
            <w:pPr>
              <w:adjustRightInd w:val="0"/>
              <w:snapToGrid w:val="0"/>
              <w:jc w:val="center"/>
              <w:rPr>
                <w:rFonts w:ascii="Times New Roman" w:hAnsi="Times New Roman"/>
                <w:kern w:val="0"/>
                <w:sz w:val="24"/>
                <w:szCs w:val="24"/>
                <w:vertAlign w:val="subscript"/>
              </w:rPr>
            </w:pPr>
            <w:r>
              <w:rPr>
                <w:rFonts w:ascii="Times New Roman" w:hAnsi="Times New Roman"/>
                <w:kern w:val="0"/>
                <w:sz w:val="24"/>
                <w:szCs w:val="24"/>
              </w:rPr>
              <w:t>S</w:t>
            </w:r>
            <w:r>
              <w:rPr>
                <w:rFonts w:ascii="Times New Roman" w:hAnsi="Times New Roman"/>
                <w:kern w:val="0"/>
                <w:sz w:val="24"/>
                <w:szCs w:val="24"/>
                <w:vertAlign w:val="subscript"/>
              </w:rPr>
              <w:t>BET</w:t>
            </w:r>
          </w:p>
          <w:p w14:paraId="0924CA38"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[m</w:t>
            </w:r>
            <w:r>
              <w:rPr>
                <w:rFonts w:ascii="Times New Roman" w:hAnsi="Times New Roman"/>
                <w:kern w:val="0"/>
                <w:sz w:val="24"/>
                <w:szCs w:val="24"/>
                <w:vertAlign w:val="superscript"/>
              </w:rPr>
              <w:t>2</w:t>
            </w:r>
            <w:r>
              <w:rPr>
                <w:rFonts w:ascii="Times New Roman" w:hAnsi="Times New Roman"/>
                <w:kern w:val="0"/>
                <w:sz w:val="24"/>
                <w:szCs w:val="24"/>
              </w:rPr>
              <w:t>g</w:t>
            </w:r>
            <w:r>
              <w:rPr>
                <w:rFonts w:ascii="Times New Roman" w:hAnsi="Times New Roman"/>
                <w:kern w:val="0"/>
                <w:sz w:val="24"/>
                <w:szCs w:val="24"/>
                <w:vertAlign w:val="superscript"/>
              </w:rPr>
              <w:t>-1</w:t>
            </w:r>
            <w:r>
              <w:rPr>
                <w:rFonts w:ascii="Times New Roman" w:hAnsi="Times New Roman"/>
                <w:kern w:val="0"/>
                <w:sz w:val="24"/>
                <w:szCs w:val="24"/>
              </w:rPr>
              <w:t>]</w:t>
            </w:r>
          </w:p>
        </w:tc>
        <w:tc>
          <w:tcPr>
            <w:tcW w:w="1276" w:type="dxa"/>
            <w:tcBorders>
              <w:bottom w:val="single" w:sz="4" w:space="0" w:color="auto"/>
            </w:tcBorders>
            <w:vAlign w:val="center"/>
          </w:tcPr>
          <w:p w14:paraId="636E7E77"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The total pore volume [m</w:t>
            </w:r>
            <w:r>
              <w:rPr>
                <w:rFonts w:ascii="Times New Roman" w:hAnsi="Times New Roman"/>
                <w:kern w:val="0"/>
                <w:sz w:val="24"/>
                <w:szCs w:val="24"/>
                <w:vertAlign w:val="superscript"/>
              </w:rPr>
              <w:t>3</w:t>
            </w:r>
            <w:r>
              <w:rPr>
                <w:rFonts w:ascii="Times New Roman" w:hAnsi="Times New Roman"/>
                <w:kern w:val="0"/>
                <w:sz w:val="24"/>
                <w:szCs w:val="24"/>
              </w:rPr>
              <w:t>/g]</w:t>
            </w:r>
          </w:p>
        </w:tc>
      </w:tr>
      <w:tr w:rsidR="00FA1CCE" w14:paraId="3399289E" w14:textId="77777777">
        <w:trPr>
          <w:trHeight w:val="397"/>
          <w:jc w:val="center"/>
        </w:trPr>
        <w:tc>
          <w:tcPr>
            <w:tcW w:w="2127" w:type="dxa"/>
            <w:tcBorders>
              <w:top w:val="single" w:sz="4" w:space="0" w:color="auto"/>
              <w:bottom w:val="nil"/>
            </w:tcBorders>
            <w:shd w:val="clear" w:color="auto" w:fill="auto"/>
            <w:vAlign w:val="center"/>
          </w:tcPr>
          <w:p w14:paraId="2A3DE1FB"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hint="eastAsia"/>
                <w:kern w:val="0"/>
                <w:sz w:val="24"/>
                <w:szCs w:val="24"/>
              </w:rPr>
              <w:t>MBC</w:t>
            </w:r>
          </w:p>
        </w:tc>
        <w:tc>
          <w:tcPr>
            <w:tcW w:w="1417" w:type="dxa"/>
            <w:tcBorders>
              <w:top w:val="single" w:sz="4" w:space="0" w:color="auto"/>
              <w:bottom w:val="nil"/>
            </w:tcBorders>
            <w:shd w:val="clear" w:color="auto" w:fill="auto"/>
            <w:vAlign w:val="center"/>
          </w:tcPr>
          <w:p w14:paraId="23131946"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hint="eastAsia"/>
                <w:kern w:val="0"/>
                <w:sz w:val="24"/>
                <w:szCs w:val="24"/>
              </w:rPr>
              <w:t>44.3</w:t>
            </w:r>
          </w:p>
        </w:tc>
        <w:tc>
          <w:tcPr>
            <w:tcW w:w="1276" w:type="dxa"/>
            <w:tcBorders>
              <w:top w:val="single" w:sz="4" w:space="0" w:color="auto"/>
              <w:bottom w:val="nil"/>
            </w:tcBorders>
            <w:vAlign w:val="center"/>
          </w:tcPr>
          <w:p w14:paraId="2EBD6A06"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0.08</w:t>
            </w:r>
          </w:p>
        </w:tc>
      </w:tr>
      <w:tr w:rsidR="00FA1CCE" w14:paraId="5E2605B0" w14:textId="77777777">
        <w:trPr>
          <w:trHeight w:val="397"/>
          <w:jc w:val="center"/>
        </w:trPr>
        <w:tc>
          <w:tcPr>
            <w:tcW w:w="2127" w:type="dxa"/>
            <w:tcBorders>
              <w:top w:val="nil"/>
              <w:bottom w:val="nil"/>
            </w:tcBorders>
            <w:shd w:val="clear" w:color="auto" w:fill="auto"/>
            <w:vAlign w:val="center"/>
          </w:tcPr>
          <w:p w14:paraId="15B81755"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sz w:val="24"/>
                <w:szCs w:val="24"/>
              </w:rPr>
              <w:t>MC-1</w:t>
            </w:r>
          </w:p>
        </w:tc>
        <w:tc>
          <w:tcPr>
            <w:tcW w:w="1417" w:type="dxa"/>
            <w:tcBorders>
              <w:top w:val="nil"/>
              <w:bottom w:val="nil"/>
            </w:tcBorders>
            <w:shd w:val="clear" w:color="auto" w:fill="auto"/>
            <w:vAlign w:val="center"/>
          </w:tcPr>
          <w:p w14:paraId="5263DADD"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122.8</w:t>
            </w:r>
          </w:p>
        </w:tc>
        <w:tc>
          <w:tcPr>
            <w:tcW w:w="1276" w:type="dxa"/>
            <w:tcBorders>
              <w:top w:val="nil"/>
              <w:bottom w:val="nil"/>
            </w:tcBorders>
            <w:vAlign w:val="center"/>
          </w:tcPr>
          <w:p w14:paraId="5BD038F5"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0.13</w:t>
            </w:r>
          </w:p>
        </w:tc>
      </w:tr>
      <w:tr w:rsidR="00FA1CCE" w14:paraId="7CDFF3D8" w14:textId="77777777">
        <w:trPr>
          <w:trHeight w:val="397"/>
          <w:jc w:val="center"/>
        </w:trPr>
        <w:tc>
          <w:tcPr>
            <w:tcW w:w="2127" w:type="dxa"/>
            <w:tcBorders>
              <w:top w:val="nil"/>
            </w:tcBorders>
            <w:shd w:val="clear" w:color="auto" w:fill="auto"/>
            <w:vAlign w:val="center"/>
          </w:tcPr>
          <w:p w14:paraId="73B52659" w14:textId="77777777" w:rsidR="00FA1CCE" w:rsidRDefault="003135E7">
            <w:pPr>
              <w:adjustRightInd w:val="0"/>
              <w:snapToGrid w:val="0"/>
              <w:jc w:val="center"/>
              <w:rPr>
                <w:rFonts w:ascii="Times New Roman" w:hAnsi="Times New Roman"/>
                <w:sz w:val="24"/>
                <w:szCs w:val="24"/>
              </w:rPr>
            </w:pPr>
            <w:r>
              <w:rPr>
                <w:rFonts w:ascii="Times New Roman" w:hAnsi="Times New Roman"/>
                <w:sz w:val="24"/>
                <w:szCs w:val="24"/>
              </w:rPr>
              <w:t>MC-2</w:t>
            </w:r>
          </w:p>
        </w:tc>
        <w:tc>
          <w:tcPr>
            <w:tcW w:w="1417" w:type="dxa"/>
            <w:tcBorders>
              <w:top w:val="nil"/>
            </w:tcBorders>
            <w:shd w:val="clear" w:color="auto" w:fill="auto"/>
            <w:vAlign w:val="center"/>
          </w:tcPr>
          <w:p w14:paraId="078D1660"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17.9</w:t>
            </w:r>
          </w:p>
        </w:tc>
        <w:tc>
          <w:tcPr>
            <w:tcW w:w="1276" w:type="dxa"/>
            <w:tcBorders>
              <w:top w:val="nil"/>
            </w:tcBorders>
            <w:vAlign w:val="center"/>
          </w:tcPr>
          <w:p w14:paraId="4AA02609" w14:textId="77777777" w:rsidR="00FA1CCE" w:rsidRDefault="003135E7">
            <w:pPr>
              <w:adjustRightInd w:val="0"/>
              <w:snapToGrid w:val="0"/>
              <w:jc w:val="center"/>
              <w:rPr>
                <w:rFonts w:ascii="Times New Roman" w:hAnsi="Times New Roman"/>
                <w:kern w:val="0"/>
                <w:sz w:val="24"/>
                <w:szCs w:val="24"/>
              </w:rPr>
            </w:pPr>
            <w:r>
              <w:rPr>
                <w:rFonts w:ascii="Times New Roman" w:hAnsi="Times New Roman"/>
                <w:kern w:val="0"/>
                <w:sz w:val="24"/>
                <w:szCs w:val="24"/>
              </w:rPr>
              <w:t>0.08</w:t>
            </w:r>
          </w:p>
        </w:tc>
      </w:tr>
    </w:tbl>
    <w:p w14:paraId="369A97BC" w14:textId="77777777" w:rsidR="00FA1CCE" w:rsidRDefault="00FA1CCE">
      <w:pPr>
        <w:spacing w:line="480" w:lineRule="auto"/>
        <w:jc w:val="center"/>
        <w:rPr>
          <w:rFonts w:ascii="Times New Roman" w:eastAsia="宋体" w:hAnsi="Times New Roman"/>
          <w:sz w:val="24"/>
          <w:szCs w:val="24"/>
        </w:rPr>
      </w:pPr>
    </w:p>
    <w:p w14:paraId="63BBE149" w14:textId="77777777" w:rsidR="00FA1CCE" w:rsidRDefault="00FA1CCE">
      <w:pPr>
        <w:adjustRightInd w:val="0"/>
        <w:snapToGrid w:val="0"/>
        <w:spacing w:line="480" w:lineRule="auto"/>
        <w:jc w:val="center"/>
        <w:rPr>
          <w:rFonts w:ascii="Times New Roman" w:hAnsi="Times New Roman"/>
          <w:sz w:val="24"/>
          <w:szCs w:val="24"/>
        </w:rPr>
      </w:pPr>
    </w:p>
    <w:p w14:paraId="39BE8D21" w14:textId="77777777" w:rsidR="00FA1CCE" w:rsidRDefault="003135E7">
      <w:pPr>
        <w:widowControl/>
        <w:jc w:val="left"/>
      </w:pPr>
      <w:r>
        <w:br w:type="page"/>
      </w:r>
    </w:p>
    <w:p w14:paraId="5E38FC22" w14:textId="77777777" w:rsidR="00FA1CCE" w:rsidRDefault="003135E7">
      <w:pPr>
        <w:adjustRightInd w:val="0"/>
        <w:snapToGrid w:val="0"/>
        <w:spacing w:line="480" w:lineRule="auto"/>
        <w:rPr>
          <w:rFonts w:ascii="Times New Roman" w:eastAsiaTheme="minorEastAsia" w:hAnsi="Times New Roman" w:cstheme="minorBidi"/>
          <w:b/>
          <w:sz w:val="24"/>
          <w:szCs w:val="24"/>
        </w:rPr>
      </w:pPr>
      <w:bookmarkStart w:id="18" w:name="_Hlk59354049"/>
      <w:r>
        <w:rPr>
          <w:rFonts w:ascii="Times New Roman" w:hAnsi="Times New Roman"/>
          <w:b/>
          <w:sz w:val="24"/>
          <w:szCs w:val="24"/>
        </w:rPr>
        <w:lastRenderedPageBreak/>
        <w:t>Table S2</w:t>
      </w:r>
      <w:r>
        <w:rPr>
          <w:rFonts w:ascii="Times New Roman" w:hAnsi="Times New Roman" w:hint="eastAsia"/>
          <w:b/>
          <w:sz w:val="24"/>
          <w:szCs w:val="24"/>
        </w:rPr>
        <w:t xml:space="preserve"> </w:t>
      </w:r>
      <w:bookmarkStart w:id="19" w:name="_Hlk78823015"/>
      <w:r>
        <w:rPr>
          <w:rFonts w:ascii="Times New Roman" w:hAnsi="Times New Roman"/>
          <w:sz w:val="24"/>
          <w:szCs w:val="24"/>
        </w:rPr>
        <w:t>Previous reports about the degradation of ENR via different treatment process</w:t>
      </w:r>
      <w:bookmarkEnd w:id="19"/>
    </w:p>
    <w:tbl>
      <w:tblPr>
        <w:tblW w:w="8222" w:type="dxa"/>
        <w:tblInd w:w="-142" w:type="dxa"/>
        <w:tblBorders>
          <w:top w:val="single" w:sz="12" w:space="0" w:color="000000"/>
          <w:bottom w:val="single" w:sz="12" w:space="0" w:color="000000"/>
        </w:tblBorders>
        <w:tblLayout w:type="fixed"/>
        <w:tblLook w:val="04A0" w:firstRow="1" w:lastRow="0" w:firstColumn="1" w:lastColumn="0" w:noHBand="0" w:noVBand="1"/>
      </w:tblPr>
      <w:tblGrid>
        <w:gridCol w:w="2127"/>
        <w:gridCol w:w="1701"/>
        <w:gridCol w:w="1134"/>
        <w:gridCol w:w="2410"/>
        <w:gridCol w:w="850"/>
      </w:tblGrid>
      <w:tr w:rsidR="00FA1CCE" w14:paraId="600DAF08" w14:textId="77777777">
        <w:tc>
          <w:tcPr>
            <w:tcW w:w="2127" w:type="dxa"/>
            <w:tcBorders>
              <w:top w:val="single" w:sz="12" w:space="0" w:color="000000"/>
              <w:bottom w:val="single" w:sz="8" w:space="0" w:color="000000"/>
            </w:tcBorders>
            <w:shd w:val="clear" w:color="auto" w:fill="auto"/>
          </w:tcPr>
          <w:p w14:paraId="4B2D99B0"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Treatment process</w:t>
            </w:r>
          </w:p>
        </w:tc>
        <w:tc>
          <w:tcPr>
            <w:tcW w:w="1701" w:type="dxa"/>
            <w:tcBorders>
              <w:top w:val="single" w:sz="12" w:space="0" w:color="000000"/>
              <w:bottom w:val="single" w:sz="8" w:space="0" w:color="000000"/>
            </w:tcBorders>
            <w:shd w:val="clear" w:color="auto" w:fill="auto"/>
          </w:tcPr>
          <w:p w14:paraId="2F6DE003"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Catalyst</w:t>
            </w:r>
          </w:p>
        </w:tc>
        <w:tc>
          <w:tcPr>
            <w:tcW w:w="1134" w:type="dxa"/>
            <w:tcBorders>
              <w:top w:val="single" w:sz="12" w:space="0" w:color="000000"/>
              <w:bottom w:val="single" w:sz="8" w:space="0" w:color="000000"/>
            </w:tcBorders>
            <w:shd w:val="clear" w:color="auto" w:fill="auto"/>
          </w:tcPr>
          <w:p w14:paraId="25379C39"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Removal rate</w:t>
            </w:r>
          </w:p>
        </w:tc>
        <w:tc>
          <w:tcPr>
            <w:tcW w:w="2410" w:type="dxa"/>
            <w:tcBorders>
              <w:top w:val="single" w:sz="12" w:space="0" w:color="000000"/>
              <w:bottom w:val="single" w:sz="8" w:space="0" w:color="000000"/>
            </w:tcBorders>
            <w:shd w:val="clear" w:color="auto" w:fill="auto"/>
          </w:tcPr>
          <w:p w14:paraId="6170F4F9"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Reaction conditions</w:t>
            </w:r>
          </w:p>
        </w:tc>
        <w:tc>
          <w:tcPr>
            <w:tcW w:w="850" w:type="dxa"/>
            <w:tcBorders>
              <w:top w:val="single" w:sz="12" w:space="0" w:color="000000"/>
              <w:bottom w:val="single" w:sz="8" w:space="0" w:color="000000"/>
            </w:tcBorders>
          </w:tcPr>
          <w:p w14:paraId="4572CC20"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Ref.</w:t>
            </w:r>
          </w:p>
        </w:tc>
      </w:tr>
      <w:tr w:rsidR="00FA1CCE" w14:paraId="34080600" w14:textId="77777777">
        <w:tc>
          <w:tcPr>
            <w:tcW w:w="2127" w:type="dxa"/>
            <w:shd w:val="clear" w:color="auto" w:fill="auto"/>
          </w:tcPr>
          <w:p w14:paraId="0800A3B8"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P</w:t>
            </w:r>
            <w:r>
              <w:rPr>
                <w:rFonts w:ascii="Times New Roman" w:hAnsi="Times New Roman"/>
                <w:sz w:val="24"/>
                <w:szCs w:val="24"/>
              </w:rPr>
              <w:t>ersulfate</w:t>
            </w:r>
          </w:p>
        </w:tc>
        <w:tc>
          <w:tcPr>
            <w:tcW w:w="1701" w:type="dxa"/>
            <w:shd w:val="clear" w:color="auto" w:fill="auto"/>
          </w:tcPr>
          <w:p w14:paraId="1B958D35"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Fe</w:t>
            </w:r>
            <w:r>
              <w:rPr>
                <w:rFonts w:ascii="Times New Roman" w:hAnsi="Times New Roman"/>
                <w:sz w:val="24"/>
                <w:szCs w:val="24"/>
                <w:vertAlign w:val="subscript"/>
              </w:rPr>
              <w:t>3</w:t>
            </w:r>
            <w:r>
              <w:rPr>
                <w:rFonts w:ascii="Times New Roman" w:hAnsi="Times New Roman"/>
                <w:sz w:val="24"/>
                <w:szCs w:val="24"/>
              </w:rPr>
              <w:t>O</w:t>
            </w:r>
            <w:r>
              <w:rPr>
                <w:rFonts w:ascii="Times New Roman" w:hAnsi="Times New Roman"/>
                <w:sz w:val="24"/>
                <w:szCs w:val="24"/>
                <w:vertAlign w:val="subscript"/>
              </w:rPr>
              <w:t>4</w:t>
            </w:r>
            <w:r>
              <w:rPr>
                <w:rFonts w:ascii="Times New Roman" w:hAnsi="Times New Roman"/>
                <w:sz w:val="24"/>
                <w:szCs w:val="24"/>
              </w:rPr>
              <w:t>/MMT</w:t>
            </w:r>
          </w:p>
        </w:tc>
        <w:tc>
          <w:tcPr>
            <w:tcW w:w="1134" w:type="dxa"/>
            <w:shd w:val="clear" w:color="auto" w:fill="auto"/>
          </w:tcPr>
          <w:p w14:paraId="5356E90B"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90.86 %</w:t>
            </w:r>
          </w:p>
        </w:tc>
        <w:tc>
          <w:tcPr>
            <w:tcW w:w="2410" w:type="dxa"/>
            <w:shd w:val="clear" w:color="auto" w:fill="auto"/>
          </w:tcPr>
          <w:p w14:paraId="48372D14"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0</w:t>
            </w:r>
            <w:r>
              <w:rPr>
                <w:rFonts w:ascii="Times New Roman" w:hAnsi="Times New Roman"/>
                <w:sz w:val="24"/>
                <w:szCs w:val="24"/>
              </w:rPr>
              <w:t xml:space="preserve">] = 30mg/L </w:t>
            </w:r>
          </w:p>
          <w:p w14:paraId="07C92931"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ime=60min</w:t>
            </w:r>
          </w:p>
          <w:p w14:paraId="4B3DF6DF"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[catalyst] = 0.1 g·L</w:t>
            </w:r>
            <w:r>
              <w:rPr>
                <w:rFonts w:ascii="Times New Roman" w:hAnsi="Times New Roman"/>
                <w:sz w:val="24"/>
                <w:szCs w:val="24"/>
                <w:vertAlign w:val="superscript"/>
              </w:rPr>
              <w:t>-1</w:t>
            </w:r>
          </w:p>
        </w:tc>
        <w:tc>
          <w:tcPr>
            <w:tcW w:w="850" w:type="dxa"/>
          </w:tcPr>
          <w:p w14:paraId="23349A16" w14:textId="5FE1BE32"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fldChar w:fldCharType="begin"/>
            </w:r>
            <w:r w:rsidR="001E3600">
              <w:rPr>
                <w:rFonts w:ascii="Times New Roman" w:hAnsi="Times New Roman"/>
                <w:sz w:val="24"/>
                <w:szCs w:val="24"/>
              </w:rPr>
              <w:instrText xml:space="preserve"> ADDIN EN.CITE &lt;EndNote&gt;&lt;Cite&gt;&lt;Author&gt;Peng&lt;/Author&gt;&lt;Year&gt;2019&lt;/Year&gt;&lt;RecNum&gt;379&lt;/RecNum&gt;&lt;DisplayText&gt;(Peng et al. 2019)&lt;/DisplayText&gt;&lt;record&gt;&lt;rec-number&gt;379&lt;/rec-number&gt;&lt;foreign-keys&gt;&lt;key app="EN" db-id="9wts2dsf5tzww7eewv75wr52sfzaersdxf02"&gt;379&lt;/key&gt;&lt;/foreign-keys&gt;&lt;ref-type name="Journal Article"&gt;17&lt;/ref-type&gt;&lt;contributors&gt;&lt;authors&gt;&lt;author&gt;Peng, Guilong&lt;/author&gt;&lt;author&gt;Li, Tong&lt;/author&gt;&lt;author&gt;Ai, Boxuan&lt;/author&gt;&lt;author&gt;Yang, Shengge&lt;/author&gt;&lt;author&gt;Fu, Jiawen&lt;/author&gt;&lt;author&gt;He, Qiang&lt;/author&gt;&lt;author&gt;Yu, Gang&lt;/author&gt;&lt;author&gt;Deng, Shubo&lt;/author&gt;&lt;/authors&gt;&lt;/contributors&gt;&lt;titles&gt;&lt;title&gt;Highly efficient removal of enrofloxacin by magnetic montmorillonite via adsorption and persulfate oxidation&lt;/title&gt;&lt;secondary-title&gt;Chemical Engineering Journal&lt;/secondary-title&gt;&lt;/titles&gt;&lt;periodical&gt;&lt;full-title&gt;Chemical Engineering Journal&lt;/full-title&gt;&lt;/periodical&gt;&lt;pages&gt;1119-1127&lt;/pages&gt;&lt;volume&gt;360&lt;/volume&gt;&lt;keywords&gt;&lt;keyword&gt;Magnetic montmorillonite&lt;/keyword&gt;&lt;keyword&gt;Persulfate&lt;/keyword&gt;&lt;keyword&gt;Enrofloxacin&lt;/keyword&gt;&lt;keyword&gt;Degradation&lt;/keyword&gt;&lt;keyword&gt;Adsorption&lt;/keyword&gt;&lt;/keywords&gt;&lt;dates&gt;&lt;year&gt;2019&lt;/year&gt;&lt;pub-dates&gt;&lt;date&gt;2019/03/15/&lt;/date&gt;&lt;/pub-dates&gt;&lt;/dates&gt;&lt;isbn&gt;1385-8947&lt;/isbn&gt;&lt;urls&gt;&lt;related-urls&gt;&lt;url&gt;https://www.sciencedirect.com/science/article/pii/S138589471832151X&lt;/url&gt;&lt;/related-urls&gt;&lt;/urls&gt;&lt;electronic-resource-num&gt;https://doi.org/10.1016/j.cej.2018.10.190&lt;/electronic-resource-num&gt;&lt;/record&gt;&lt;/Cite&gt;&lt;/EndNote&gt;</w:instrText>
            </w:r>
            <w:r>
              <w:rPr>
                <w:rFonts w:ascii="Times New Roman" w:hAnsi="Times New Roman"/>
                <w:sz w:val="24"/>
                <w:szCs w:val="24"/>
              </w:rPr>
              <w:fldChar w:fldCharType="separate"/>
            </w:r>
            <w:r w:rsidR="001E3600">
              <w:rPr>
                <w:rFonts w:ascii="Times New Roman" w:hAnsi="Times New Roman"/>
                <w:noProof/>
                <w:sz w:val="24"/>
                <w:szCs w:val="24"/>
              </w:rPr>
              <w:t>(</w:t>
            </w:r>
            <w:hyperlink w:anchor="_ENREF_2" w:tooltip="Peng, 2019 #379" w:history="1">
              <w:r w:rsidR="001E3600">
                <w:rPr>
                  <w:rFonts w:ascii="Times New Roman" w:hAnsi="Times New Roman"/>
                  <w:noProof/>
                  <w:sz w:val="24"/>
                  <w:szCs w:val="24"/>
                </w:rPr>
                <w:t>Peng et al. 2019</w:t>
              </w:r>
            </w:hyperlink>
            <w:r w:rsidR="001E3600">
              <w:rPr>
                <w:rFonts w:ascii="Times New Roman" w:hAnsi="Times New Roman"/>
                <w:noProof/>
                <w:sz w:val="24"/>
                <w:szCs w:val="24"/>
              </w:rPr>
              <w:t>)</w:t>
            </w:r>
            <w:r>
              <w:rPr>
                <w:rFonts w:ascii="Times New Roman" w:hAnsi="Times New Roman"/>
                <w:sz w:val="24"/>
                <w:szCs w:val="24"/>
              </w:rPr>
              <w:fldChar w:fldCharType="end"/>
            </w:r>
          </w:p>
        </w:tc>
      </w:tr>
      <w:tr w:rsidR="00FA1CCE" w14:paraId="68EFB55E" w14:textId="77777777">
        <w:tc>
          <w:tcPr>
            <w:tcW w:w="2127" w:type="dxa"/>
            <w:shd w:val="clear" w:color="auto" w:fill="auto"/>
          </w:tcPr>
          <w:p w14:paraId="32DAF6D5" w14:textId="77777777" w:rsidR="00FA1CCE" w:rsidRDefault="003135E7">
            <w:pPr>
              <w:adjustRightInd w:val="0"/>
              <w:snapToGrid w:val="0"/>
              <w:spacing w:line="480" w:lineRule="auto"/>
              <w:jc w:val="center"/>
              <w:rPr>
                <w:rFonts w:ascii="Times New Roman" w:hAnsi="Times New Roman"/>
                <w:sz w:val="24"/>
                <w:szCs w:val="24"/>
              </w:rPr>
            </w:pPr>
            <w:bookmarkStart w:id="20" w:name="_Hlk100585289"/>
            <w:proofErr w:type="spellStart"/>
            <w:r>
              <w:rPr>
                <w:rFonts w:ascii="Times New Roman" w:hAnsi="Times New Roman"/>
                <w:sz w:val="24"/>
                <w:szCs w:val="24"/>
              </w:rPr>
              <w:t>Peroxymonosulfate</w:t>
            </w:r>
            <w:proofErr w:type="spellEnd"/>
          </w:p>
        </w:tc>
        <w:tc>
          <w:tcPr>
            <w:tcW w:w="1701" w:type="dxa"/>
            <w:shd w:val="clear" w:color="auto" w:fill="auto"/>
          </w:tcPr>
          <w:p w14:paraId="153C1223" w14:textId="77777777" w:rsidR="00FA1CCE" w:rsidRDefault="003135E7">
            <w:pPr>
              <w:adjustRightInd w:val="0"/>
              <w:snapToGrid w:val="0"/>
              <w:spacing w:line="480" w:lineRule="auto"/>
              <w:jc w:val="center"/>
              <w:rPr>
                <w:rFonts w:ascii="Times New Roman" w:hAnsi="Times New Roman"/>
                <w:sz w:val="24"/>
                <w:szCs w:val="24"/>
              </w:rPr>
            </w:pPr>
            <w:proofErr w:type="gramStart"/>
            <w:r>
              <w:rPr>
                <w:rFonts w:ascii="Times New Roman" w:hAnsi="Times New Roman"/>
                <w:sz w:val="24"/>
                <w:szCs w:val="24"/>
              </w:rPr>
              <w:t>Fe(</w:t>
            </w:r>
            <w:proofErr w:type="gramEnd"/>
            <w:r>
              <w:rPr>
                <w:rFonts w:ascii="Times New Roman" w:hAnsi="Times New Roman"/>
                <w:sz w:val="24"/>
                <w:szCs w:val="24"/>
              </w:rPr>
              <w:t>VI)</w:t>
            </w:r>
          </w:p>
        </w:tc>
        <w:tc>
          <w:tcPr>
            <w:tcW w:w="1134" w:type="dxa"/>
            <w:shd w:val="clear" w:color="auto" w:fill="auto"/>
          </w:tcPr>
          <w:p w14:paraId="3C908A81"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48 %</w:t>
            </w:r>
          </w:p>
        </w:tc>
        <w:tc>
          <w:tcPr>
            <w:tcW w:w="2410" w:type="dxa"/>
            <w:shd w:val="clear" w:color="auto" w:fill="auto"/>
          </w:tcPr>
          <w:p w14:paraId="101E3CC6"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0</w:t>
            </w:r>
            <w:r>
              <w:rPr>
                <w:rFonts w:ascii="Times New Roman" w:hAnsi="Times New Roman"/>
                <w:sz w:val="24"/>
                <w:szCs w:val="24"/>
              </w:rPr>
              <w:t xml:space="preserve">] = 30 </w:t>
            </w:r>
            <w:proofErr w:type="spellStart"/>
            <w:r>
              <w:rPr>
                <w:rFonts w:ascii="Times New Roman" w:hAnsi="Times New Roman"/>
                <w:sz w:val="24"/>
                <w:szCs w:val="24"/>
              </w:rPr>
              <w:t>μmol</w:t>
            </w:r>
            <w:proofErr w:type="spellEnd"/>
            <w:r>
              <w:rPr>
                <w:rFonts w:ascii="Times New Roman" w:hAnsi="Times New Roman"/>
                <w:sz w:val="24"/>
                <w:szCs w:val="24"/>
              </w:rPr>
              <w:t>/L</w:t>
            </w:r>
          </w:p>
          <w:p w14:paraId="730E3D76"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ime=30min</w:t>
            </w:r>
          </w:p>
          <w:p w14:paraId="0458C74A"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 xml:space="preserve">[catalyst] = 50 </w:t>
            </w:r>
            <w:r>
              <w:rPr>
                <w:rFonts w:ascii="Times New Roman" w:hAnsi="Times New Roman" w:hint="eastAsia"/>
                <w:sz w:val="24"/>
                <w:szCs w:val="24"/>
              </w:rPr>
              <w:t>m</w:t>
            </w:r>
            <w:r>
              <w:rPr>
                <w:rFonts w:ascii="Times New Roman" w:hAnsi="Times New Roman"/>
                <w:sz w:val="24"/>
                <w:szCs w:val="24"/>
              </w:rPr>
              <w:t>l·L</w:t>
            </w:r>
            <w:r>
              <w:rPr>
                <w:rFonts w:ascii="Times New Roman" w:hAnsi="Times New Roman"/>
                <w:sz w:val="24"/>
                <w:szCs w:val="24"/>
                <w:vertAlign w:val="superscript"/>
              </w:rPr>
              <w:t>-1</w:t>
            </w:r>
          </w:p>
        </w:tc>
        <w:tc>
          <w:tcPr>
            <w:tcW w:w="850" w:type="dxa"/>
          </w:tcPr>
          <w:p w14:paraId="5CE21941" w14:textId="7B28E412"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fldChar w:fldCharType="begin"/>
            </w:r>
            <w:r w:rsidR="001E3600">
              <w:rPr>
                <w:rFonts w:ascii="Times New Roman" w:hAnsi="Times New Roman"/>
                <w:sz w:val="24"/>
                <w:szCs w:val="24"/>
              </w:rPr>
              <w:instrText xml:space="preserve"> ADDIN EN.CITE &lt;EndNote&gt;&lt;Cite&gt;&lt;Author&gt;Feng&lt;/Author&gt;&lt;Year&gt;2017&lt;/Year&gt;&lt;RecNum&gt;380&lt;/RecNum&gt;&lt;DisplayText&gt;(Feng et al. 2017)&lt;/DisplayText&gt;&lt;record&gt;&lt;rec-number&gt;380&lt;/rec-number&gt;&lt;foreign-keys&gt;&lt;key app="EN" db-id="9wts2dsf5tzww7eewv75wr52sfzaersdxf02"&gt;380&lt;/key&gt;&lt;/foreign-keys&gt;&lt;ref-type name="Journal Article"&gt;17&lt;/ref-type&gt;&lt;contributors&gt;&lt;authors&gt;&lt;author&gt;Feng, Mingbao&lt;/author&gt;&lt;author&gt;Cizmas, Leslie&lt;/author&gt;&lt;author&gt;Wang, Zunyao&lt;/author&gt;&lt;author&gt;Sharma, Virender K.&lt;/author&gt;&lt;/authors&gt;&lt;/contributors&gt;&lt;titles&gt;&lt;title&gt;Synergistic effect of aqueous removal of fluoroquinolones by a combined use of peroxymonosulfate and ferrate(VI)&lt;/title&gt;&lt;secondary-title&gt;Chemosphere&lt;/secondary-title&gt;&lt;/titles&gt;&lt;periodical&gt;&lt;full-title&gt;Chemosphere&lt;/full-title&gt;&lt;/periodical&gt;&lt;pages&gt;144-148&lt;/pages&gt;&lt;volume&gt;177&lt;/volume&gt;&lt;keywords&gt;&lt;keyword&gt;Ferrate&lt;/keyword&gt;&lt;keyword&gt;Peroxymonosulfate&lt;/keyword&gt;&lt;keyword&gt;Fluoroquinolone antibiotics&lt;/keyword&gt;&lt;keyword&gt;Synergistic effect&lt;/keyword&gt;&lt;keyword&gt;Water treatment&lt;/keyword&gt;&lt;/keywords&gt;&lt;dates&gt;&lt;year&gt;2017&lt;/year&gt;&lt;pub-dates&gt;&lt;date&gt;2017/06/01/&lt;/date&gt;&lt;/pub-dates&gt;&lt;/dates&gt;&lt;isbn&gt;0045-6535&lt;/isbn&gt;&lt;urls&gt;&lt;related-urls&gt;&lt;url&gt;https://www.sciencedirect.com/science/article/pii/S0045653517303600&lt;/url&gt;&lt;/related-urls&gt;&lt;/urls&gt;&lt;electronic-resource-num&gt;https://doi.org/10.1016/j.chemosphere.2017.03.008&lt;/electronic-resource-num&gt;&lt;/record&gt;&lt;/Cite&gt;&lt;/EndNote&gt;</w:instrText>
            </w:r>
            <w:r>
              <w:rPr>
                <w:rFonts w:ascii="Times New Roman" w:hAnsi="Times New Roman"/>
                <w:sz w:val="24"/>
                <w:szCs w:val="24"/>
              </w:rPr>
              <w:fldChar w:fldCharType="separate"/>
            </w:r>
            <w:r w:rsidR="001E3600">
              <w:rPr>
                <w:rFonts w:ascii="Times New Roman" w:hAnsi="Times New Roman"/>
                <w:noProof/>
                <w:sz w:val="24"/>
                <w:szCs w:val="24"/>
              </w:rPr>
              <w:t>(</w:t>
            </w:r>
            <w:hyperlink w:anchor="_ENREF_1" w:tooltip="Feng, 2017 #380" w:history="1">
              <w:r w:rsidR="001E3600">
                <w:rPr>
                  <w:rFonts w:ascii="Times New Roman" w:hAnsi="Times New Roman"/>
                  <w:noProof/>
                  <w:sz w:val="24"/>
                  <w:szCs w:val="24"/>
                </w:rPr>
                <w:t>Feng et al. 2017</w:t>
              </w:r>
            </w:hyperlink>
            <w:r w:rsidR="001E3600">
              <w:rPr>
                <w:rFonts w:ascii="Times New Roman" w:hAnsi="Times New Roman"/>
                <w:noProof/>
                <w:sz w:val="24"/>
                <w:szCs w:val="24"/>
              </w:rPr>
              <w:t>)</w:t>
            </w:r>
            <w:r>
              <w:rPr>
                <w:rFonts w:ascii="Times New Roman" w:hAnsi="Times New Roman"/>
                <w:sz w:val="24"/>
                <w:szCs w:val="24"/>
              </w:rPr>
              <w:fldChar w:fldCharType="end"/>
            </w:r>
          </w:p>
        </w:tc>
      </w:tr>
      <w:bookmarkEnd w:id="20"/>
      <w:tr w:rsidR="00FA1CCE" w14:paraId="68115535" w14:textId="77777777">
        <w:tc>
          <w:tcPr>
            <w:tcW w:w="2127" w:type="dxa"/>
            <w:shd w:val="clear" w:color="auto" w:fill="auto"/>
          </w:tcPr>
          <w:p w14:paraId="4F0DC06C" w14:textId="77777777" w:rsidR="00FA1CCE" w:rsidRDefault="003135E7">
            <w:pPr>
              <w:adjustRightInd w:val="0"/>
              <w:snapToGrid w:val="0"/>
              <w:spacing w:line="480" w:lineRule="auto"/>
              <w:jc w:val="center"/>
              <w:rPr>
                <w:rFonts w:ascii="Times New Roman" w:hAnsi="Times New Roman"/>
                <w:sz w:val="24"/>
                <w:szCs w:val="24"/>
              </w:rPr>
            </w:pPr>
            <w:proofErr w:type="spellStart"/>
            <w:r>
              <w:rPr>
                <w:rFonts w:ascii="Times New Roman" w:hAnsi="Times New Roman"/>
                <w:sz w:val="24"/>
                <w:szCs w:val="24"/>
              </w:rPr>
              <w:t>Peroxymonosulfate</w:t>
            </w:r>
            <w:proofErr w:type="spellEnd"/>
          </w:p>
        </w:tc>
        <w:tc>
          <w:tcPr>
            <w:tcW w:w="1701" w:type="dxa"/>
            <w:shd w:val="clear" w:color="auto" w:fill="auto"/>
          </w:tcPr>
          <w:p w14:paraId="5D9BD0F0" w14:textId="77777777" w:rsidR="00FA1CCE" w:rsidRDefault="003135E7">
            <w:pPr>
              <w:adjustRightInd w:val="0"/>
              <w:snapToGrid w:val="0"/>
              <w:spacing w:line="480" w:lineRule="auto"/>
              <w:jc w:val="center"/>
              <w:rPr>
                <w:rFonts w:ascii="Times New Roman" w:hAnsi="Times New Roman"/>
                <w:sz w:val="24"/>
                <w:szCs w:val="24"/>
              </w:rPr>
            </w:pPr>
            <w:proofErr w:type="spellStart"/>
            <w:r>
              <w:rPr>
                <w:rFonts w:ascii="Times New Roman" w:hAnsi="Times New Roman"/>
                <w:sz w:val="24"/>
                <w:szCs w:val="24"/>
              </w:rPr>
              <w:t>Co</w:t>
            </w:r>
            <w:r>
              <w:rPr>
                <w:rFonts w:ascii="Times New Roman" w:hAnsi="Times New Roman"/>
                <w:sz w:val="24"/>
                <w:szCs w:val="24"/>
                <w:vertAlign w:val="subscript"/>
              </w:rPr>
              <w:t>m</w:t>
            </w:r>
            <w:r>
              <w:rPr>
                <w:rFonts w:ascii="Times New Roman" w:hAnsi="Times New Roman"/>
                <w:sz w:val="24"/>
                <w:szCs w:val="24"/>
              </w:rPr>
              <w:t>Fe</w:t>
            </w:r>
            <w:r>
              <w:rPr>
                <w:rFonts w:ascii="Times New Roman" w:hAnsi="Times New Roman"/>
                <w:sz w:val="24"/>
                <w:szCs w:val="24"/>
                <w:vertAlign w:val="subscript"/>
              </w:rPr>
              <w:t>n</w:t>
            </w:r>
            <w:proofErr w:type="spellEnd"/>
            <w:r>
              <w:rPr>
                <w:rFonts w:ascii="Times New Roman" w:hAnsi="Times New Roman"/>
                <w:sz w:val="24"/>
                <w:szCs w:val="24"/>
              </w:rPr>
              <w:t>-LDHs</w:t>
            </w:r>
          </w:p>
        </w:tc>
        <w:tc>
          <w:tcPr>
            <w:tcW w:w="1134" w:type="dxa"/>
            <w:shd w:val="clear" w:color="auto" w:fill="auto"/>
          </w:tcPr>
          <w:p w14:paraId="3DAB81FF"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83.9 %</w:t>
            </w:r>
          </w:p>
        </w:tc>
        <w:tc>
          <w:tcPr>
            <w:tcW w:w="2410" w:type="dxa"/>
            <w:shd w:val="clear" w:color="auto" w:fill="auto"/>
          </w:tcPr>
          <w:p w14:paraId="77A6E24F"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0</w:t>
            </w:r>
            <w:r>
              <w:rPr>
                <w:rFonts w:ascii="Times New Roman" w:hAnsi="Times New Roman"/>
                <w:sz w:val="24"/>
                <w:szCs w:val="24"/>
              </w:rPr>
              <w:t>] = 20 mg/L</w:t>
            </w:r>
          </w:p>
          <w:p w14:paraId="5844E643"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ime=12 min</w:t>
            </w:r>
          </w:p>
          <w:p w14:paraId="66427207"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[catalyst] = 0.5 g·L</w:t>
            </w:r>
            <w:r>
              <w:rPr>
                <w:rFonts w:ascii="Times New Roman" w:hAnsi="Times New Roman"/>
                <w:sz w:val="24"/>
                <w:szCs w:val="24"/>
                <w:vertAlign w:val="superscript"/>
              </w:rPr>
              <w:t>-1</w:t>
            </w:r>
          </w:p>
        </w:tc>
        <w:tc>
          <w:tcPr>
            <w:tcW w:w="850" w:type="dxa"/>
          </w:tcPr>
          <w:p w14:paraId="1E1D60A5" w14:textId="4BA24D10"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fldChar w:fldCharType="begin"/>
            </w:r>
            <w:r w:rsidR="001E3600">
              <w:rPr>
                <w:rFonts w:ascii="Times New Roman" w:hAnsi="Times New Roman"/>
                <w:sz w:val="24"/>
                <w:szCs w:val="24"/>
              </w:rPr>
              <w:instrText xml:space="preserve"> ADDIN EN.CITE &lt;EndNote&gt;&lt;Cite&gt;&lt;Author&gt;Yang&lt;/Author&gt;&lt;Year&gt;2021&lt;/Year&gt;&lt;RecNum&gt;198&lt;/RecNum&gt;&lt;DisplayText&gt;(Yang et al. 2021)&lt;/DisplayText&gt;&lt;record&gt;&lt;rec-number&gt;198&lt;/rec-number&gt;&lt;foreign-keys&gt;&lt;key app="EN" db-id="9wts2dsf5tzww7eewv75wr52sfzaersdxf02"&gt;198&lt;/key&gt;&lt;/foreign-keys&gt;&lt;ref-type name="Journal Article"&gt;17&lt;/ref-type&gt;&lt;contributors&gt;&lt;authors&gt;&lt;author&gt;Yang, Zhiyu&lt;/author&gt;&lt;author&gt;Li, Xin&lt;/author&gt;&lt;author&gt;Huang, Yizhe&lt;/author&gt;&lt;author&gt;Chen, Yuwen&lt;/author&gt;&lt;author&gt;Wang, Anqi&lt;/author&gt;&lt;author&gt;Wang, Yuchen&lt;/author&gt;&lt;author&gt;Li, Chuanhao&lt;/author&gt;&lt;author&gt;Hu, Zhuofeng&lt;/author&gt;&lt;author&gt;Yan, Kai&lt;/author&gt;&lt;/authors&gt;&lt;/contributors&gt;&lt;titles&gt;&lt;title&gt;Facile synthesis of cobalt-iron layered double hydroxides nanosheets for direct activation of peroxymonosulfate (PMS) during degradation of fluoroquinolones antibiotics&lt;/title&gt;&lt;secondary-title&gt;Journal of Cleaner Production&lt;/secondary-title&gt;&lt;/titles&gt;&lt;periodical&gt;&lt;full-title&gt;Journal of Cleaner Production&lt;/full-title&gt;&lt;/periodical&gt;&lt;pages&gt;127584&lt;/pages&gt;&lt;volume&gt;310&lt;/volume&gt;&lt;keywords&gt;&lt;keyword&gt;CoFe-LDHs nanosheets&lt;/keyword&gt;&lt;keyword&gt;Peroxymonosulfate&lt;/keyword&gt;&lt;keyword&gt;Ciprofloxacin degradation&lt;/keyword&gt;&lt;keyword&gt;Fenton-like system&lt;/keyword&gt;&lt;keyword&gt;Mechanism&lt;/keyword&gt;&lt;/keywords&gt;&lt;dates&gt;&lt;year&gt;2021&lt;/year&gt;&lt;pub-dates&gt;&lt;date&gt;2021/08/10/&lt;/date&gt;&lt;/pub-dates&gt;&lt;/dates&gt;&lt;isbn&gt;0959-6526&lt;/isbn&gt;&lt;urls&gt;&lt;related-urls&gt;&lt;url&gt;https://www.sciencedirect.com/science/article/pii/S0959652621018023&lt;/url&gt;&lt;/related-urls&gt;&lt;/urls&gt;&lt;electronic-resource-num&gt;https://doi.org/10.1016/j.jclepro.2021.127584&lt;/electronic-resource-num&gt;&lt;/record&gt;&lt;/Cite&gt;&lt;/EndNote&gt;</w:instrText>
            </w:r>
            <w:r>
              <w:rPr>
                <w:rFonts w:ascii="Times New Roman" w:hAnsi="Times New Roman"/>
                <w:sz w:val="24"/>
                <w:szCs w:val="24"/>
              </w:rPr>
              <w:fldChar w:fldCharType="separate"/>
            </w:r>
            <w:r w:rsidR="001E3600">
              <w:rPr>
                <w:rFonts w:ascii="Times New Roman" w:hAnsi="Times New Roman"/>
                <w:noProof/>
                <w:sz w:val="24"/>
                <w:szCs w:val="24"/>
              </w:rPr>
              <w:t>(</w:t>
            </w:r>
            <w:hyperlink w:anchor="_ENREF_3" w:tooltip="Yang, 2021 #198" w:history="1">
              <w:r w:rsidR="001E3600">
                <w:rPr>
                  <w:rFonts w:ascii="Times New Roman" w:hAnsi="Times New Roman"/>
                  <w:noProof/>
                  <w:sz w:val="24"/>
                  <w:szCs w:val="24"/>
                </w:rPr>
                <w:t>Yang et al. 2021</w:t>
              </w:r>
            </w:hyperlink>
            <w:r w:rsidR="001E3600">
              <w:rPr>
                <w:rFonts w:ascii="Times New Roman" w:hAnsi="Times New Roman"/>
                <w:noProof/>
                <w:sz w:val="24"/>
                <w:szCs w:val="24"/>
              </w:rPr>
              <w:t>)</w:t>
            </w:r>
            <w:r>
              <w:rPr>
                <w:rFonts w:ascii="Times New Roman" w:hAnsi="Times New Roman"/>
                <w:sz w:val="24"/>
                <w:szCs w:val="24"/>
              </w:rPr>
              <w:fldChar w:fldCharType="end"/>
            </w:r>
          </w:p>
        </w:tc>
      </w:tr>
      <w:tr w:rsidR="00FA1CCE" w14:paraId="0E3631F8" w14:textId="77777777">
        <w:tc>
          <w:tcPr>
            <w:tcW w:w="2127" w:type="dxa"/>
            <w:shd w:val="clear" w:color="auto" w:fill="auto"/>
          </w:tcPr>
          <w:p w14:paraId="7BFEC617" w14:textId="77777777" w:rsidR="00FA1CCE" w:rsidRDefault="003135E7">
            <w:pPr>
              <w:adjustRightInd w:val="0"/>
              <w:snapToGrid w:val="0"/>
              <w:spacing w:line="480" w:lineRule="auto"/>
              <w:jc w:val="center"/>
              <w:rPr>
                <w:rFonts w:ascii="Times New Roman" w:hAnsi="Times New Roman"/>
                <w:sz w:val="24"/>
                <w:szCs w:val="24"/>
              </w:rPr>
            </w:pPr>
            <w:proofErr w:type="spellStart"/>
            <w:r>
              <w:rPr>
                <w:rFonts w:ascii="Times New Roman" w:hAnsi="Times New Roman"/>
                <w:sz w:val="24"/>
                <w:szCs w:val="24"/>
              </w:rPr>
              <w:t>Peroxymonosulfate</w:t>
            </w:r>
            <w:proofErr w:type="spellEnd"/>
          </w:p>
        </w:tc>
        <w:tc>
          <w:tcPr>
            <w:tcW w:w="1701" w:type="dxa"/>
            <w:shd w:val="clear" w:color="auto" w:fill="auto"/>
          </w:tcPr>
          <w:p w14:paraId="78025983"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MC-1</w:t>
            </w:r>
          </w:p>
        </w:tc>
        <w:tc>
          <w:tcPr>
            <w:tcW w:w="1134" w:type="dxa"/>
            <w:shd w:val="clear" w:color="auto" w:fill="auto"/>
          </w:tcPr>
          <w:p w14:paraId="0D30EBDB"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91.6 %</w:t>
            </w:r>
          </w:p>
        </w:tc>
        <w:tc>
          <w:tcPr>
            <w:tcW w:w="2410" w:type="dxa"/>
            <w:shd w:val="clear" w:color="auto" w:fill="auto"/>
          </w:tcPr>
          <w:p w14:paraId="28D4EE60"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0</w:t>
            </w:r>
            <w:r>
              <w:rPr>
                <w:rFonts w:ascii="Times New Roman" w:hAnsi="Times New Roman"/>
                <w:sz w:val="24"/>
                <w:szCs w:val="24"/>
              </w:rPr>
              <w:t>] = 10 mg/L</w:t>
            </w:r>
          </w:p>
          <w:p w14:paraId="0BC9AD19"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ime=</w:t>
            </w:r>
            <w:r>
              <w:rPr>
                <w:rFonts w:ascii="Times New Roman" w:hAnsi="Times New Roman" w:hint="eastAsia"/>
                <w:sz w:val="24"/>
                <w:szCs w:val="24"/>
              </w:rPr>
              <w:t>20</w:t>
            </w:r>
            <w:r>
              <w:rPr>
                <w:rFonts w:ascii="Times New Roman" w:hAnsi="Times New Roman"/>
                <w:sz w:val="24"/>
                <w:szCs w:val="24"/>
              </w:rPr>
              <w:t xml:space="preserve"> min</w:t>
            </w:r>
          </w:p>
          <w:p w14:paraId="530251DA"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[catalyst] = 0.</w:t>
            </w:r>
            <w:r>
              <w:rPr>
                <w:rFonts w:ascii="Times New Roman" w:hAnsi="Times New Roman" w:hint="eastAsia"/>
                <w:sz w:val="24"/>
                <w:szCs w:val="24"/>
              </w:rPr>
              <w:t>6</w:t>
            </w:r>
            <w:r>
              <w:rPr>
                <w:rFonts w:ascii="Times New Roman" w:hAnsi="Times New Roman"/>
                <w:sz w:val="24"/>
                <w:szCs w:val="24"/>
              </w:rPr>
              <w:t xml:space="preserve"> g·L</w:t>
            </w:r>
            <w:r>
              <w:rPr>
                <w:rFonts w:ascii="Times New Roman" w:hAnsi="Times New Roman"/>
                <w:sz w:val="24"/>
                <w:szCs w:val="24"/>
                <w:vertAlign w:val="superscript"/>
              </w:rPr>
              <w:t>-1</w:t>
            </w:r>
          </w:p>
        </w:tc>
        <w:tc>
          <w:tcPr>
            <w:tcW w:w="850" w:type="dxa"/>
          </w:tcPr>
          <w:p w14:paraId="1B0AF3C3"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his study</w:t>
            </w:r>
          </w:p>
        </w:tc>
      </w:tr>
    </w:tbl>
    <w:p w14:paraId="5027BE6D" w14:textId="77777777" w:rsidR="00FA1CCE" w:rsidRDefault="00FA1CCE">
      <w:pPr>
        <w:rPr>
          <w:rFonts w:ascii="Times New Roman" w:hAnsi="Times New Roman"/>
          <w:sz w:val="24"/>
          <w:szCs w:val="24"/>
        </w:rPr>
        <w:sectPr w:rsidR="00FA1CCE">
          <w:pgSz w:w="11906" w:h="16838"/>
          <w:pgMar w:top="1440" w:right="1800" w:bottom="1440" w:left="1800" w:header="851" w:footer="992" w:gutter="0"/>
          <w:cols w:space="425"/>
          <w:docGrid w:type="lines" w:linePitch="312"/>
        </w:sectPr>
      </w:pPr>
      <w:bookmarkStart w:id="21" w:name="_Hlk43122460"/>
      <w:bookmarkEnd w:id="18"/>
    </w:p>
    <w:p w14:paraId="1FC13271" w14:textId="77777777" w:rsidR="00FA1CCE" w:rsidRDefault="003135E7">
      <w:pPr>
        <w:adjustRightInd w:val="0"/>
        <w:snapToGrid w:val="0"/>
        <w:spacing w:line="480" w:lineRule="auto"/>
        <w:jc w:val="center"/>
        <w:rPr>
          <w:rFonts w:ascii="Times New Roman" w:hAnsi="Times New Roman"/>
          <w:b/>
          <w:sz w:val="24"/>
          <w:szCs w:val="24"/>
        </w:rPr>
      </w:pPr>
      <w:bookmarkStart w:id="22" w:name="_Hlk69305319"/>
      <w:bookmarkEnd w:id="21"/>
      <w:r>
        <w:rPr>
          <w:rFonts w:ascii="Times New Roman" w:hAnsi="Times New Roman"/>
          <w:b/>
          <w:sz w:val="24"/>
          <w:szCs w:val="24"/>
        </w:rPr>
        <w:lastRenderedPageBreak/>
        <w:t>Table S3</w:t>
      </w:r>
      <w:r>
        <w:rPr>
          <w:rFonts w:ascii="Times New Roman" w:hAnsi="Times New Roman" w:hint="eastAsia"/>
          <w:b/>
          <w:sz w:val="24"/>
          <w:szCs w:val="24"/>
        </w:rPr>
        <w:t xml:space="preserve"> </w:t>
      </w:r>
      <w:bookmarkStart w:id="23" w:name="_Hlk59720889"/>
      <w:r>
        <w:rPr>
          <w:rFonts w:ascii="Times New Roman" w:hAnsi="Times New Roman"/>
          <w:sz w:val="24"/>
          <w:szCs w:val="24"/>
        </w:rPr>
        <w:t>Table of detected transformation products and related parameters.</w:t>
      </w:r>
    </w:p>
    <w:tbl>
      <w:tblPr>
        <w:tblW w:w="7462" w:type="dxa"/>
        <w:jc w:val="center"/>
        <w:tblBorders>
          <w:top w:val="single" w:sz="12" w:space="0" w:color="000000"/>
          <w:bottom w:val="single" w:sz="12" w:space="0" w:color="000000"/>
        </w:tblBorders>
        <w:tblLayout w:type="fixed"/>
        <w:tblLook w:val="04A0" w:firstRow="1" w:lastRow="0" w:firstColumn="1" w:lastColumn="0" w:noHBand="0" w:noVBand="1"/>
      </w:tblPr>
      <w:tblGrid>
        <w:gridCol w:w="1669"/>
        <w:gridCol w:w="1755"/>
        <w:gridCol w:w="1134"/>
        <w:gridCol w:w="2904"/>
      </w:tblGrid>
      <w:tr w:rsidR="00FA1CCE" w14:paraId="189E3970" w14:textId="77777777">
        <w:trPr>
          <w:trHeight w:val="851"/>
          <w:jc w:val="center"/>
        </w:trPr>
        <w:tc>
          <w:tcPr>
            <w:tcW w:w="1669" w:type="dxa"/>
            <w:tcBorders>
              <w:top w:val="single" w:sz="12" w:space="0" w:color="000000"/>
              <w:bottom w:val="single" w:sz="8" w:space="0" w:color="000000"/>
            </w:tcBorders>
            <w:shd w:val="clear" w:color="auto" w:fill="auto"/>
            <w:vAlign w:val="center"/>
          </w:tcPr>
          <w:bookmarkEnd w:id="23"/>
          <w:p w14:paraId="51B8E088"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Intermediate products</w:t>
            </w:r>
          </w:p>
        </w:tc>
        <w:tc>
          <w:tcPr>
            <w:tcW w:w="1755" w:type="dxa"/>
            <w:tcBorders>
              <w:top w:val="single" w:sz="12" w:space="0" w:color="000000"/>
              <w:bottom w:val="single" w:sz="8" w:space="0" w:color="000000"/>
            </w:tcBorders>
            <w:shd w:val="clear" w:color="auto" w:fill="auto"/>
            <w:vAlign w:val="center"/>
          </w:tcPr>
          <w:p w14:paraId="3C8AA62F"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Molecular formula</w:t>
            </w:r>
          </w:p>
        </w:tc>
        <w:tc>
          <w:tcPr>
            <w:tcW w:w="1134" w:type="dxa"/>
            <w:tcBorders>
              <w:top w:val="single" w:sz="12" w:space="0" w:color="000000"/>
              <w:bottom w:val="single" w:sz="8" w:space="0" w:color="000000"/>
            </w:tcBorders>
            <w:shd w:val="clear" w:color="auto" w:fill="auto"/>
            <w:vAlign w:val="center"/>
          </w:tcPr>
          <w:p w14:paraId="2E163EAE"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m/z</w:t>
            </w:r>
          </w:p>
        </w:tc>
        <w:tc>
          <w:tcPr>
            <w:tcW w:w="2904" w:type="dxa"/>
            <w:tcBorders>
              <w:top w:val="single" w:sz="12" w:space="0" w:color="000000"/>
              <w:bottom w:val="single" w:sz="8" w:space="0" w:color="000000"/>
            </w:tcBorders>
            <w:shd w:val="clear" w:color="auto" w:fill="auto"/>
            <w:vAlign w:val="center"/>
          </w:tcPr>
          <w:p w14:paraId="266F5861"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Structural formula</w:t>
            </w:r>
          </w:p>
        </w:tc>
      </w:tr>
      <w:tr w:rsidR="00FA1CCE" w14:paraId="7315B487" w14:textId="77777777">
        <w:trPr>
          <w:trHeight w:val="851"/>
          <w:jc w:val="center"/>
        </w:trPr>
        <w:tc>
          <w:tcPr>
            <w:tcW w:w="1669" w:type="dxa"/>
            <w:tcBorders>
              <w:top w:val="single" w:sz="8" w:space="0" w:color="000000"/>
              <w:bottom w:val="nil"/>
            </w:tcBorders>
            <w:shd w:val="clear" w:color="auto" w:fill="auto"/>
            <w:vAlign w:val="center"/>
          </w:tcPr>
          <w:p w14:paraId="090E3A02"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ENR</w:t>
            </w:r>
          </w:p>
        </w:tc>
        <w:tc>
          <w:tcPr>
            <w:tcW w:w="1755" w:type="dxa"/>
            <w:tcBorders>
              <w:top w:val="single" w:sz="8" w:space="0" w:color="000000"/>
              <w:bottom w:val="nil"/>
            </w:tcBorders>
            <w:shd w:val="clear" w:color="auto" w:fill="auto"/>
            <w:vAlign w:val="center"/>
          </w:tcPr>
          <w:p w14:paraId="01D41AAC"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19</w:t>
            </w:r>
            <w:r>
              <w:rPr>
                <w:rFonts w:ascii="Times New Roman" w:hAnsi="Times New Roman"/>
                <w:sz w:val="24"/>
                <w:szCs w:val="24"/>
              </w:rPr>
              <w:t>H</w:t>
            </w:r>
            <w:r>
              <w:rPr>
                <w:rFonts w:ascii="Times New Roman" w:hAnsi="Times New Roman"/>
                <w:sz w:val="24"/>
                <w:szCs w:val="24"/>
                <w:vertAlign w:val="subscript"/>
              </w:rPr>
              <w:t>22</w:t>
            </w:r>
            <w:r>
              <w:rPr>
                <w:rFonts w:ascii="Times New Roman" w:hAnsi="Times New Roman"/>
                <w:sz w:val="24"/>
                <w:szCs w:val="24"/>
              </w:rPr>
              <w:t>FN</w:t>
            </w:r>
            <w:r>
              <w:rPr>
                <w:rFonts w:ascii="Times New Roman" w:hAnsi="Times New Roman"/>
                <w:sz w:val="24"/>
                <w:szCs w:val="24"/>
                <w:vertAlign w:val="subscript"/>
              </w:rPr>
              <w:t>3</w:t>
            </w:r>
            <w:r>
              <w:rPr>
                <w:rFonts w:ascii="Times New Roman" w:hAnsi="Times New Roman"/>
                <w:sz w:val="24"/>
                <w:szCs w:val="24"/>
              </w:rPr>
              <w:t>O</w:t>
            </w:r>
            <w:r>
              <w:rPr>
                <w:rFonts w:ascii="Times New Roman" w:hAnsi="Times New Roman"/>
                <w:sz w:val="24"/>
                <w:szCs w:val="24"/>
                <w:vertAlign w:val="subscript"/>
              </w:rPr>
              <w:t>3</w:t>
            </w:r>
          </w:p>
        </w:tc>
        <w:tc>
          <w:tcPr>
            <w:tcW w:w="1134" w:type="dxa"/>
            <w:tcBorders>
              <w:top w:val="single" w:sz="8" w:space="0" w:color="000000"/>
              <w:bottom w:val="nil"/>
            </w:tcBorders>
            <w:shd w:val="clear" w:color="auto" w:fill="auto"/>
            <w:vAlign w:val="center"/>
          </w:tcPr>
          <w:p w14:paraId="410FF7F3"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360</w:t>
            </w:r>
          </w:p>
        </w:tc>
        <w:bookmarkStart w:id="24" w:name="OLE_LINK10"/>
        <w:tc>
          <w:tcPr>
            <w:tcW w:w="2904" w:type="dxa"/>
            <w:tcBorders>
              <w:top w:val="single" w:sz="8" w:space="0" w:color="000000"/>
              <w:bottom w:val="nil"/>
            </w:tcBorders>
            <w:shd w:val="clear" w:color="auto" w:fill="auto"/>
            <w:vAlign w:val="center"/>
          </w:tcPr>
          <w:p w14:paraId="1CA7F95A" w14:textId="77777777" w:rsidR="00FA1CCE" w:rsidRDefault="003135E7">
            <w:pPr>
              <w:adjustRightInd w:val="0"/>
              <w:snapToGrid w:val="0"/>
              <w:spacing w:line="480" w:lineRule="auto"/>
              <w:jc w:val="center"/>
              <w:rPr>
                <w:rFonts w:ascii="Times New Roman" w:hAnsi="Times New Roman"/>
                <w:sz w:val="24"/>
                <w:szCs w:val="24"/>
              </w:rPr>
            </w:pPr>
            <w:r>
              <w:object w:dxaOrig="2460" w:dyaOrig="1410" w14:anchorId="6823C632">
                <v:shape id="_x0000_i1035" type="#_x0000_t75" style="width:123pt;height:70.8pt" o:ole="">
                  <v:imagedata r:id="rId32" o:title=""/>
                </v:shape>
                <o:OLEObject Type="Embed" ProgID="Chem3D.Document.9" ShapeID="_x0000_i1035" DrawAspect="Content" ObjectID="_1752859791" r:id="rId33"/>
              </w:object>
            </w:r>
            <w:bookmarkEnd w:id="24"/>
          </w:p>
        </w:tc>
      </w:tr>
      <w:tr w:rsidR="00FA1CCE" w14:paraId="3ACA12C3" w14:textId="77777777">
        <w:trPr>
          <w:trHeight w:val="851"/>
          <w:jc w:val="center"/>
        </w:trPr>
        <w:tc>
          <w:tcPr>
            <w:tcW w:w="1669" w:type="dxa"/>
            <w:tcBorders>
              <w:top w:val="nil"/>
            </w:tcBorders>
            <w:shd w:val="clear" w:color="auto" w:fill="auto"/>
            <w:vAlign w:val="center"/>
          </w:tcPr>
          <w:p w14:paraId="22BBA026"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P1</w:t>
            </w:r>
          </w:p>
        </w:tc>
        <w:tc>
          <w:tcPr>
            <w:tcW w:w="1755" w:type="dxa"/>
            <w:tcBorders>
              <w:top w:val="nil"/>
            </w:tcBorders>
            <w:shd w:val="clear" w:color="auto" w:fill="auto"/>
            <w:vAlign w:val="center"/>
          </w:tcPr>
          <w:p w14:paraId="12FB8416"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13</w:t>
            </w:r>
            <w:r>
              <w:rPr>
                <w:rFonts w:ascii="Times New Roman" w:hAnsi="Times New Roman"/>
                <w:sz w:val="24"/>
                <w:szCs w:val="24"/>
              </w:rPr>
              <w:t>H</w:t>
            </w:r>
            <w:r>
              <w:rPr>
                <w:rFonts w:ascii="Times New Roman" w:hAnsi="Times New Roman"/>
                <w:sz w:val="24"/>
                <w:szCs w:val="24"/>
                <w:vertAlign w:val="subscript"/>
              </w:rPr>
              <w:t>11</w:t>
            </w:r>
            <w:r>
              <w:rPr>
                <w:rFonts w:ascii="Times New Roman" w:hAnsi="Times New Roman"/>
                <w:sz w:val="24"/>
                <w:szCs w:val="24"/>
              </w:rPr>
              <w:t>FN</w:t>
            </w:r>
            <w:r>
              <w:rPr>
                <w:rFonts w:ascii="Times New Roman" w:hAnsi="Times New Roman"/>
                <w:sz w:val="24"/>
                <w:szCs w:val="24"/>
                <w:vertAlign w:val="subscript"/>
              </w:rPr>
              <w:t>2</w:t>
            </w:r>
            <w:r>
              <w:rPr>
                <w:rFonts w:ascii="Times New Roman" w:hAnsi="Times New Roman"/>
                <w:sz w:val="24"/>
                <w:szCs w:val="24"/>
              </w:rPr>
              <w:t>O</w:t>
            </w:r>
            <w:r>
              <w:rPr>
                <w:rFonts w:ascii="Times New Roman" w:hAnsi="Times New Roman"/>
                <w:sz w:val="24"/>
                <w:szCs w:val="24"/>
                <w:vertAlign w:val="subscript"/>
              </w:rPr>
              <w:t>3</w:t>
            </w:r>
          </w:p>
        </w:tc>
        <w:tc>
          <w:tcPr>
            <w:tcW w:w="1134" w:type="dxa"/>
            <w:tcBorders>
              <w:top w:val="nil"/>
            </w:tcBorders>
            <w:shd w:val="clear" w:color="auto" w:fill="auto"/>
            <w:vAlign w:val="center"/>
          </w:tcPr>
          <w:p w14:paraId="5606EEE5"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262</w:t>
            </w:r>
          </w:p>
        </w:tc>
        <w:tc>
          <w:tcPr>
            <w:tcW w:w="2904" w:type="dxa"/>
            <w:tcBorders>
              <w:top w:val="nil"/>
            </w:tcBorders>
            <w:shd w:val="clear" w:color="auto" w:fill="auto"/>
            <w:vAlign w:val="center"/>
          </w:tcPr>
          <w:p w14:paraId="6307BC27" w14:textId="77777777" w:rsidR="00FA1CCE" w:rsidRDefault="003135E7">
            <w:pPr>
              <w:adjustRightInd w:val="0"/>
              <w:snapToGrid w:val="0"/>
              <w:spacing w:line="480" w:lineRule="auto"/>
              <w:jc w:val="center"/>
              <w:rPr>
                <w:rFonts w:ascii="Times New Roman" w:hAnsi="Times New Roman"/>
                <w:sz w:val="24"/>
                <w:szCs w:val="24"/>
              </w:rPr>
            </w:pPr>
            <w:r>
              <w:object w:dxaOrig="1820" w:dyaOrig="1220" w14:anchorId="3F77683F">
                <v:shape id="_x0000_i1036" type="#_x0000_t75" style="width:91.2pt;height:60.6pt" o:ole="">
                  <v:imagedata r:id="rId34" o:title=""/>
                </v:shape>
                <o:OLEObject Type="Embed" ProgID="Chem3D.Document.9" ShapeID="_x0000_i1036" DrawAspect="Content" ObjectID="_1752859792" r:id="rId35"/>
              </w:object>
            </w:r>
          </w:p>
        </w:tc>
      </w:tr>
      <w:tr w:rsidR="00FA1CCE" w14:paraId="7B77AD97" w14:textId="77777777">
        <w:trPr>
          <w:trHeight w:val="851"/>
          <w:jc w:val="center"/>
        </w:trPr>
        <w:tc>
          <w:tcPr>
            <w:tcW w:w="1669" w:type="dxa"/>
            <w:shd w:val="clear" w:color="auto" w:fill="auto"/>
            <w:vAlign w:val="center"/>
          </w:tcPr>
          <w:p w14:paraId="753EA092"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P2</w:t>
            </w:r>
          </w:p>
        </w:tc>
        <w:tc>
          <w:tcPr>
            <w:tcW w:w="1755" w:type="dxa"/>
            <w:shd w:val="clear" w:color="auto" w:fill="auto"/>
            <w:vAlign w:val="center"/>
          </w:tcPr>
          <w:p w14:paraId="7EA30A28"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12</w:t>
            </w:r>
            <w:r>
              <w:rPr>
                <w:rFonts w:ascii="Times New Roman" w:hAnsi="Times New Roman"/>
                <w:sz w:val="24"/>
                <w:szCs w:val="24"/>
              </w:rPr>
              <w:t>H</w:t>
            </w:r>
            <w:r>
              <w:rPr>
                <w:rFonts w:ascii="Times New Roman" w:hAnsi="Times New Roman"/>
                <w:sz w:val="24"/>
                <w:szCs w:val="24"/>
                <w:vertAlign w:val="subscript"/>
              </w:rPr>
              <w:t>15</w:t>
            </w:r>
            <w:r>
              <w:rPr>
                <w:rFonts w:ascii="Times New Roman" w:hAnsi="Times New Roman"/>
                <w:sz w:val="24"/>
                <w:szCs w:val="24"/>
              </w:rPr>
              <w:t>NO</w:t>
            </w:r>
            <w:r>
              <w:rPr>
                <w:rFonts w:ascii="Times New Roman" w:hAnsi="Times New Roman"/>
                <w:sz w:val="24"/>
                <w:szCs w:val="24"/>
                <w:vertAlign w:val="subscript"/>
              </w:rPr>
              <w:t>2</w:t>
            </w:r>
          </w:p>
        </w:tc>
        <w:tc>
          <w:tcPr>
            <w:tcW w:w="1134" w:type="dxa"/>
            <w:shd w:val="clear" w:color="auto" w:fill="auto"/>
            <w:vAlign w:val="center"/>
          </w:tcPr>
          <w:p w14:paraId="4FC989F4"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219</w:t>
            </w:r>
          </w:p>
        </w:tc>
        <w:tc>
          <w:tcPr>
            <w:tcW w:w="2904" w:type="dxa"/>
            <w:shd w:val="clear" w:color="auto" w:fill="auto"/>
            <w:vAlign w:val="center"/>
          </w:tcPr>
          <w:p w14:paraId="01BE455D" w14:textId="77777777" w:rsidR="00FA1CCE" w:rsidRDefault="003135E7">
            <w:pPr>
              <w:adjustRightInd w:val="0"/>
              <w:snapToGrid w:val="0"/>
              <w:spacing w:line="480" w:lineRule="auto"/>
              <w:jc w:val="center"/>
              <w:rPr>
                <w:rFonts w:ascii="Times New Roman" w:hAnsi="Times New Roman"/>
                <w:sz w:val="24"/>
                <w:szCs w:val="24"/>
              </w:rPr>
            </w:pPr>
            <w:r>
              <w:object w:dxaOrig="1470" w:dyaOrig="1270" w14:anchorId="62E70AEE">
                <v:shape id="_x0000_i1037" type="#_x0000_t75" style="width:73.2pt;height:63.6pt" o:ole="">
                  <v:imagedata r:id="rId36" o:title=""/>
                </v:shape>
                <o:OLEObject Type="Embed" ProgID="Chem3D.Document.9" ShapeID="_x0000_i1037" DrawAspect="Content" ObjectID="_1752859793" r:id="rId37"/>
              </w:object>
            </w:r>
          </w:p>
        </w:tc>
      </w:tr>
      <w:tr w:rsidR="00FA1CCE" w14:paraId="650FF69B" w14:textId="77777777">
        <w:trPr>
          <w:trHeight w:val="851"/>
          <w:jc w:val="center"/>
        </w:trPr>
        <w:tc>
          <w:tcPr>
            <w:tcW w:w="1669" w:type="dxa"/>
            <w:shd w:val="clear" w:color="auto" w:fill="auto"/>
            <w:vAlign w:val="center"/>
          </w:tcPr>
          <w:p w14:paraId="394B6B86"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P3</w:t>
            </w:r>
          </w:p>
        </w:tc>
        <w:tc>
          <w:tcPr>
            <w:tcW w:w="1755" w:type="dxa"/>
            <w:shd w:val="clear" w:color="auto" w:fill="auto"/>
            <w:vAlign w:val="center"/>
          </w:tcPr>
          <w:p w14:paraId="1D68D337"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5</w:t>
            </w:r>
            <w:r>
              <w:rPr>
                <w:rFonts w:ascii="Times New Roman" w:hAnsi="Times New Roman"/>
                <w:sz w:val="24"/>
                <w:szCs w:val="24"/>
              </w:rPr>
              <w:t>H</w:t>
            </w:r>
            <w:r>
              <w:rPr>
                <w:rFonts w:ascii="Times New Roman" w:hAnsi="Times New Roman"/>
                <w:sz w:val="24"/>
                <w:szCs w:val="24"/>
                <w:vertAlign w:val="subscript"/>
              </w:rPr>
              <w:t>9</w:t>
            </w:r>
            <w:r>
              <w:rPr>
                <w:rFonts w:ascii="Times New Roman" w:hAnsi="Times New Roman"/>
                <w:sz w:val="24"/>
                <w:szCs w:val="24"/>
              </w:rPr>
              <w:t>N</w:t>
            </w:r>
          </w:p>
        </w:tc>
        <w:tc>
          <w:tcPr>
            <w:tcW w:w="1134" w:type="dxa"/>
            <w:shd w:val="clear" w:color="auto" w:fill="auto"/>
            <w:vAlign w:val="center"/>
          </w:tcPr>
          <w:p w14:paraId="597BAF29"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83</w:t>
            </w:r>
          </w:p>
        </w:tc>
        <w:tc>
          <w:tcPr>
            <w:tcW w:w="2904" w:type="dxa"/>
            <w:shd w:val="clear" w:color="auto" w:fill="auto"/>
            <w:vAlign w:val="center"/>
          </w:tcPr>
          <w:p w14:paraId="78FB8AFD" w14:textId="77777777" w:rsidR="00FA1CCE" w:rsidRDefault="003135E7">
            <w:pPr>
              <w:adjustRightInd w:val="0"/>
              <w:snapToGrid w:val="0"/>
              <w:spacing w:line="480" w:lineRule="auto"/>
              <w:jc w:val="center"/>
              <w:rPr>
                <w:rFonts w:ascii="Times New Roman" w:hAnsi="Times New Roman"/>
                <w:sz w:val="24"/>
                <w:szCs w:val="24"/>
              </w:rPr>
            </w:pPr>
            <w:r>
              <w:object w:dxaOrig="1260" w:dyaOrig="770" w14:anchorId="549B48B1">
                <v:shape id="_x0000_i1038" type="#_x0000_t75" style="width:63pt;height:38.4pt" o:ole="">
                  <v:imagedata r:id="rId38" o:title=""/>
                </v:shape>
                <o:OLEObject Type="Embed" ProgID="Chem3D.Document.9" ShapeID="_x0000_i1038" DrawAspect="Content" ObjectID="_1752859794" r:id="rId39"/>
              </w:object>
            </w:r>
          </w:p>
        </w:tc>
      </w:tr>
      <w:tr w:rsidR="00FA1CCE" w14:paraId="242D8CC9" w14:textId="77777777">
        <w:trPr>
          <w:trHeight w:val="851"/>
          <w:jc w:val="center"/>
        </w:trPr>
        <w:tc>
          <w:tcPr>
            <w:tcW w:w="1669" w:type="dxa"/>
            <w:shd w:val="clear" w:color="auto" w:fill="auto"/>
            <w:vAlign w:val="center"/>
          </w:tcPr>
          <w:p w14:paraId="30748B53"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hint="eastAsia"/>
                <w:sz w:val="24"/>
                <w:szCs w:val="24"/>
              </w:rPr>
              <w:t>P</w:t>
            </w:r>
            <w:r>
              <w:rPr>
                <w:rFonts w:ascii="Times New Roman" w:hAnsi="Times New Roman"/>
                <w:sz w:val="24"/>
                <w:szCs w:val="24"/>
              </w:rPr>
              <w:t>4</w:t>
            </w:r>
          </w:p>
        </w:tc>
        <w:tc>
          <w:tcPr>
            <w:tcW w:w="1755" w:type="dxa"/>
            <w:shd w:val="clear" w:color="auto" w:fill="auto"/>
            <w:vAlign w:val="center"/>
          </w:tcPr>
          <w:p w14:paraId="0211C207"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19</w:t>
            </w:r>
            <w:r>
              <w:rPr>
                <w:rFonts w:ascii="Times New Roman" w:hAnsi="Times New Roman"/>
                <w:sz w:val="24"/>
                <w:szCs w:val="24"/>
              </w:rPr>
              <w:t>H</w:t>
            </w:r>
            <w:r>
              <w:rPr>
                <w:rFonts w:ascii="Times New Roman" w:hAnsi="Times New Roman"/>
                <w:sz w:val="24"/>
                <w:szCs w:val="24"/>
                <w:vertAlign w:val="subscript"/>
              </w:rPr>
              <w:t>22</w:t>
            </w:r>
            <w:r>
              <w:rPr>
                <w:rFonts w:ascii="Times New Roman" w:hAnsi="Times New Roman"/>
                <w:sz w:val="24"/>
                <w:szCs w:val="24"/>
              </w:rPr>
              <w:t>N</w:t>
            </w:r>
            <w:r>
              <w:rPr>
                <w:rFonts w:ascii="Times New Roman" w:hAnsi="Times New Roman"/>
                <w:sz w:val="24"/>
                <w:szCs w:val="24"/>
                <w:vertAlign w:val="subscript"/>
              </w:rPr>
              <w:t>3</w:t>
            </w:r>
            <w:r>
              <w:rPr>
                <w:rFonts w:ascii="Times New Roman" w:hAnsi="Times New Roman"/>
                <w:sz w:val="24"/>
                <w:szCs w:val="24"/>
              </w:rPr>
              <w:t>O</w:t>
            </w:r>
            <w:r>
              <w:rPr>
                <w:rFonts w:ascii="Times New Roman" w:hAnsi="Times New Roman"/>
                <w:sz w:val="24"/>
                <w:szCs w:val="24"/>
                <w:vertAlign w:val="subscript"/>
              </w:rPr>
              <w:t>5</w:t>
            </w:r>
            <w:r>
              <w:rPr>
                <w:rFonts w:ascii="Times New Roman" w:hAnsi="Times New Roman"/>
                <w:sz w:val="24"/>
                <w:szCs w:val="24"/>
              </w:rPr>
              <w:t>F</w:t>
            </w:r>
          </w:p>
        </w:tc>
        <w:tc>
          <w:tcPr>
            <w:tcW w:w="1134" w:type="dxa"/>
            <w:shd w:val="clear" w:color="auto" w:fill="auto"/>
            <w:vAlign w:val="center"/>
          </w:tcPr>
          <w:p w14:paraId="7E4D35F8"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392</w:t>
            </w:r>
          </w:p>
        </w:tc>
        <w:bookmarkStart w:id="25" w:name="_Hlk78658341"/>
        <w:tc>
          <w:tcPr>
            <w:tcW w:w="2904" w:type="dxa"/>
            <w:shd w:val="clear" w:color="auto" w:fill="auto"/>
            <w:vAlign w:val="center"/>
          </w:tcPr>
          <w:p w14:paraId="731C6A79" w14:textId="77777777" w:rsidR="00FA1CCE" w:rsidRDefault="003135E7">
            <w:pPr>
              <w:adjustRightInd w:val="0"/>
              <w:snapToGrid w:val="0"/>
              <w:spacing w:line="480" w:lineRule="auto"/>
              <w:jc w:val="center"/>
              <w:rPr>
                <w:rFonts w:ascii="Times New Roman" w:hAnsi="Times New Roman"/>
                <w:sz w:val="24"/>
                <w:szCs w:val="24"/>
              </w:rPr>
            </w:pPr>
            <w:r>
              <w:object w:dxaOrig="2430" w:dyaOrig="1340" w14:anchorId="64408E48">
                <v:shape id="_x0000_i1039" type="#_x0000_t75" style="width:121.8pt;height:66.6pt" o:ole="">
                  <v:imagedata r:id="rId40" o:title=""/>
                </v:shape>
                <o:OLEObject Type="Embed" ProgID="Chem3D.Document.9" ShapeID="_x0000_i1039" DrawAspect="Content" ObjectID="_1752859795" r:id="rId41"/>
              </w:object>
            </w:r>
            <w:bookmarkEnd w:id="25"/>
          </w:p>
        </w:tc>
      </w:tr>
      <w:tr w:rsidR="00FA1CCE" w14:paraId="2A7ACFD2" w14:textId="77777777">
        <w:trPr>
          <w:trHeight w:val="851"/>
          <w:jc w:val="center"/>
        </w:trPr>
        <w:tc>
          <w:tcPr>
            <w:tcW w:w="1669" w:type="dxa"/>
            <w:shd w:val="clear" w:color="auto" w:fill="auto"/>
            <w:vAlign w:val="center"/>
          </w:tcPr>
          <w:p w14:paraId="027EB2FF"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 xml:space="preserve">  P5</w:t>
            </w:r>
          </w:p>
        </w:tc>
        <w:tc>
          <w:tcPr>
            <w:tcW w:w="1755" w:type="dxa"/>
            <w:shd w:val="clear" w:color="auto" w:fill="auto"/>
            <w:vAlign w:val="center"/>
          </w:tcPr>
          <w:p w14:paraId="51A5880C"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19</w:t>
            </w:r>
            <w:r>
              <w:rPr>
                <w:rFonts w:ascii="Times New Roman" w:hAnsi="Times New Roman"/>
                <w:sz w:val="24"/>
                <w:szCs w:val="24"/>
              </w:rPr>
              <w:t>H</w:t>
            </w:r>
            <w:r>
              <w:rPr>
                <w:rFonts w:ascii="Times New Roman" w:hAnsi="Times New Roman"/>
                <w:sz w:val="24"/>
                <w:szCs w:val="24"/>
                <w:vertAlign w:val="subscript"/>
              </w:rPr>
              <w:t>23</w:t>
            </w:r>
            <w:r>
              <w:rPr>
                <w:rFonts w:ascii="Times New Roman" w:hAnsi="Times New Roman"/>
                <w:sz w:val="24"/>
                <w:szCs w:val="24"/>
              </w:rPr>
              <w:t>N</w:t>
            </w:r>
            <w:r>
              <w:rPr>
                <w:rFonts w:ascii="Times New Roman" w:hAnsi="Times New Roman"/>
                <w:sz w:val="24"/>
                <w:szCs w:val="24"/>
                <w:vertAlign w:val="subscript"/>
              </w:rPr>
              <w:t>3</w:t>
            </w:r>
            <w:r>
              <w:rPr>
                <w:rFonts w:ascii="Times New Roman" w:hAnsi="Times New Roman"/>
                <w:sz w:val="24"/>
                <w:szCs w:val="24"/>
              </w:rPr>
              <w:t>O</w:t>
            </w:r>
            <w:r>
              <w:rPr>
                <w:rFonts w:ascii="Times New Roman" w:hAnsi="Times New Roman"/>
                <w:sz w:val="24"/>
                <w:szCs w:val="24"/>
                <w:vertAlign w:val="subscript"/>
              </w:rPr>
              <w:t>4</w:t>
            </w:r>
          </w:p>
        </w:tc>
        <w:tc>
          <w:tcPr>
            <w:tcW w:w="1134" w:type="dxa"/>
            <w:shd w:val="clear" w:color="auto" w:fill="auto"/>
            <w:vAlign w:val="center"/>
          </w:tcPr>
          <w:p w14:paraId="56612308"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356</w:t>
            </w:r>
          </w:p>
        </w:tc>
        <w:tc>
          <w:tcPr>
            <w:tcW w:w="2904" w:type="dxa"/>
            <w:shd w:val="clear" w:color="auto" w:fill="auto"/>
            <w:vAlign w:val="center"/>
          </w:tcPr>
          <w:p w14:paraId="6789BF3F" w14:textId="77777777" w:rsidR="00FA1CCE" w:rsidRDefault="003135E7">
            <w:pPr>
              <w:adjustRightInd w:val="0"/>
              <w:snapToGrid w:val="0"/>
              <w:spacing w:line="480" w:lineRule="auto"/>
              <w:jc w:val="center"/>
              <w:rPr>
                <w:rFonts w:ascii="Times New Roman" w:hAnsi="Times New Roman"/>
                <w:sz w:val="24"/>
                <w:szCs w:val="24"/>
              </w:rPr>
            </w:pPr>
            <w:r>
              <w:object w:dxaOrig="1870" w:dyaOrig="1630" w14:anchorId="1B9F5426">
                <v:shape id="_x0000_i1040" type="#_x0000_t75" style="width:93.6pt;height:81pt" o:ole="">
                  <v:imagedata r:id="rId42" o:title=""/>
                </v:shape>
                <o:OLEObject Type="Embed" ProgID="Chem3D.Document.9" ShapeID="_x0000_i1040" DrawAspect="Content" ObjectID="_1752859796" r:id="rId43"/>
              </w:object>
            </w:r>
          </w:p>
        </w:tc>
      </w:tr>
      <w:tr w:rsidR="00FA1CCE" w14:paraId="44B05818" w14:textId="77777777">
        <w:trPr>
          <w:trHeight w:val="851"/>
          <w:jc w:val="center"/>
        </w:trPr>
        <w:tc>
          <w:tcPr>
            <w:tcW w:w="1669" w:type="dxa"/>
            <w:shd w:val="clear" w:color="auto" w:fill="auto"/>
            <w:vAlign w:val="center"/>
          </w:tcPr>
          <w:p w14:paraId="44836F66"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P6</w:t>
            </w:r>
          </w:p>
        </w:tc>
        <w:tc>
          <w:tcPr>
            <w:tcW w:w="1755" w:type="dxa"/>
            <w:shd w:val="clear" w:color="auto" w:fill="auto"/>
            <w:vAlign w:val="center"/>
          </w:tcPr>
          <w:p w14:paraId="01557A2B"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C</w:t>
            </w:r>
            <w:r>
              <w:rPr>
                <w:rFonts w:ascii="Times New Roman" w:hAnsi="Times New Roman"/>
                <w:sz w:val="24"/>
                <w:szCs w:val="24"/>
                <w:vertAlign w:val="subscript"/>
              </w:rPr>
              <w:t>12</w:t>
            </w:r>
            <w:r>
              <w:rPr>
                <w:rFonts w:ascii="Times New Roman" w:hAnsi="Times New Roman"/>
                <w:sz w:val="24"/>
                <w:szCs w:val="24"/>
              </w:rPr>
              <w:t>H</w:t>
            </w:r>
            <w:r>
              <w:rPr>
                <w:rFonts w:ascii="Times New Roman" w:hAnsi="Times New Roman"/>
                <w:sz w:val="24"/>
                <w:szCs w:val="24"/>
                <w:vertAlign w:val="subscript"/>
              </w:rPr>
              <w:t>11</w:t>
            </w:r>
            <w:r>
              <w:rPr>
                <w:rFonts w:ascii="Times New Roman" w:hAnsi="Times New Roman"/>
                <w:sz w:val="24"/>
                <w:szCs w:val="24"/>
              </w:rPr>
              <w:t>N</w:t>
            </w:r>
            <w:r>
              <w:rPr>
                <w:rFonts w:ascii="Times New Roman" w:hAnsi="Times New Roman"/>
                <w:sz w:val="24"/>
                <w:szCs w:val="24"/>
                <w:vertAlign w:val="subscript"/>
              </w:rPr>
              <w:t>2</w:t>
            </w:r>
            <w:r>
              <w:rPr>
                <w:rFonts w:ascii="Times New Roman" w:hAnsi="Times New Roman"/>
                <w:sz w:val="24"/>
                <w:szCs w:val="24"/>
              </w:rPr>
              <w:t>OF</w:t>
            </w:r>
          </w:p>
        </w:tc>
        <w:tc>
          <w:tcPr>
            <w:tcW w:w="1134" w:type="dxa"/>
            <w:shd w:val="clear" w:color="auto" w:fill="auto"/>
            <w:vAlign w:val="center"/>
          </w:tcPr>
          <w:p w14:paraId="473C7C7E" w14:textId="77777777" w:rsidR="00FA1CCE" w:rsidRDefault="003135E7">
            <w:pPr>
              <w:adjustRightInd w:val="0"/>
              <w:snapToGrid w:val="0"/>
              <w:spacing w:line="480" w:lineRule="auto"/>
              <w:jc w:val="center"/>
              <w:rPr>
                <w:rFonts w:ascii="Times New Roman" w:hAnsi="Times New Roman"/>
                <w:sz w:val="24"/>
                <w:szCs w:val="24"/>
              </w:rPr>
            </w:pPr>
            <w:r>
              <w:rPr>
                <w:rFonts w:ascii="Times New Roman" w:hAnsi="Times New Roman"/>
                <w:sz w:val="24"/>
                <w:szCs w:val="24"/>
              </w:rPr>
              <w:t>143</w:t>
            </w:r>
          </w:p>
        </w:tc>
        <w:bookmarkStart w:id="26" w:name="_Hlk78658823"/>
        <w:tc>
          <w:tcPr>
            <w:tcW w:w="2904" w:type="dxa"/>
            <w:shd w:val="clear" w:color="auto" w:fill="auto"/>
            <w:vAlign w:val="center"/>
          </w:tcPr>
          <w:p w14:paraId="7680C271" w14:textId="77777777" w:rsidR="00FA1CCE" w:rsidRDefault="003135E7">
            <w:pPr>
              <w:adjustRightInd w:val="0"/>
              <w:snapToGrid w:val="0"/>
              <w:spacing w:line="480" w:lineRule="auto"/>
              <w:jc w:val="center"/>
              <w:rPr>
                <w:rFonts w:ascii="Times New Roman" w:hAnsi="Times New Roman"/>
                <w:sz w:val="24"/>
                <w:szCs w:val="24"/>
              </w:rPr>
            </w:pPr>
            <w:r>
              <w:object w:dxaOrig="1560" w:dyaOrig="1450" w14:anchorId="4A6BF02C">
                <v:shape id="_x0000_i1041" type="#_x0000_t75" style="width:78pt;height:72.6pt" o:ole="">
                  <v:imagedata r:id="rId44" o:title=""/>
                </v:shape>
                <o:OLEObject Type="Embed" ProgID="Chem3D.Document.9" ShapeID="_x0000_i1041" DrawAspect="Content" ObjectID="_1752859797" r:id="rId45"/>
              </w:object>
            </w:r>
            <w:bookmarkEnd w:id="26"/>
          </w:p>
        </w:tc>
      </w:tr>
    </w:tbl>
    <w:bookmarkEnd w:id="22"/>
    <w:p w14:paraId="3C30720D" w14:textId="77777777" w:rsidR="00FA1CCE" w:rsidRDefault="003135E7">
      <w:pPr>
        <w:adjustRightInd w:val="0"/>
        <w:snapToGrid w:val="0"/>
        <w:spacing w:line="480" w:lineRule="auto"/>
        <w:rPr>
          <w:rFonts w:ascii="Times New Roman" w:eastAsia="宋体" w:hAnsi="Times New Roman"/>
          <w:sz w:val="24"/>
          <w:szCs w:val="24"/>
        </w:rPr>
      </w:pPr>
      <w:r>
        <w:rPr>
          <w:rFonts w:ascii="Times New Roman" w:eastAsia="宋体" w:hAnsi="Times New Roman"/>
          <w:sz w:val="24"/>
          <w:szCs w:val="24"/>
        </w:rPr>
        <w:fldChar w:fldCharType="begin"/>
      </w:r>
      <w:r>
        <w:rPr>
          <w:rFonts w:ascii="Times New Roman" w:eastAsia="宋体" w:hAnsi="Times New Roman"/>
          <w:sz w:val="24"/>
          <w:szCs w:val="24"/>
        </w:rPr>
        <w:instrText xml:space="preserve"> ADDIN </w:instrText>
      </w:r>
      <w:r>
        <w:rPr>
          <w:rFonts w:ascii="Times New Roman" w:eastAsia="宋体" w:hAnsi="Times New Roman"/>
          <w:sz w:val="24"/>
          <w:szCs w:val="24"/>
        </w:rPr>
        <w:fldChar w:fldCharType="end"/>
      </w:r>
    </w:p>
    <w:p w14:paraId="299434B1" w14:textId="77777777" w:rsidR="00FA1CCE" w:rsidRDefault="003135E7">
      <w:pPr>
        <w:widowControl/>
        <w:jc w:val="left"/>
        <w:rPr>
          <w:rFonts w:ascii="Times New Roman" w:hAnsi="Times New Roman"/>
          <w:b/>
          <w:bCs/>
          <w:sz w:val="24"/>
          <w:szCs w:val="24"/>
        </w:rPr>
      </w:pPr>
      <w:r>
        <w:rPr>
          <w:rFonts w:ascii="Times New Roman" w:hAnsi="Times New Roman"/>
          <w:b/>
          <w:bCs/>
          <w:sz w:val="24"/>
          <w:szCs w:val="24"/>
        </w:rPr>
        <w:br w:type="page"/>
      </w:r>
    </w:p>
    <w:p w14:paraId="35B62738" w14:textId="77777777" w:rsidR="00FA1CCE" w:rsidRDefault="003135E7">
      <w:pPr>
        <w:pStyle w:val="EndNoteBibliography"/>
        <w:adjustRightInd w:val="0"/>
        <w:snapToGrid w:val="0"/>
        <w:spacing w:line="480" w:lineRule="auto"/>
        <w:rPr>
          <w:rFonts w:ascii="Times New Roman" w:hAnsi="Times New Roman"/>
          <w:b/>
          <w:bCs/>
          <w:sz w:val="24"/>
          <w:szCs w:val="24"/>
        </w:rPr>
      </w:pPr>
      <w:r>
        <w:rPr>
          <w:rFonts w:ascii="Times New Roman" w:hAnsi="Times New Roman"/>
          <w:b/>
          <w:bCs/>
          <w:sz w:val="24"/>
          <w:szCs w:val="24"/>
        </w:rPr>
        <w:lastRenderedPageBreak/>
        <w:t>References</w:t>
      </w:r>
    </w:p>
    <w:p w14:paraId="5A301B31" w14:textId="77777777" w:rsidR="001E3600" w:rsidRPr="001E3600" w:rsidRDefault="003135E7" w:rsidP="001E3600">
      <w:pPr>
        <w:pStyle w:val="EndNoteBibliography"/>
        <w:spacing w:line="480" w:lineRule="auto"/>
        <w:ind w:left="720" w:hanging="720"/>
        <w:rPr>
          <w:rFonts w:ascii="Times New Roman" w:hAnsi="Times New Roman"/>
          <w:noProof/>
          <w:sz w:val="24"/>
          <w:szCs w:val="24"/>
        </w:rPr>
      </w:pPr>
      <w:r w:rsidRPr="001E3600">
        <w:rPr>
          <w:rFonts w:ascii="Times New Roman" w:hAnsi="Times New Roman"/>
          <w:sz w:val="24"/>
          <w:szCs w:val="24"/>
        </w:rPr>
        <w:fldChar w:fldCharType="begin"/>
      </w:r>
      <w:r w:rsidRPr="001E3600">
        <w:rPr>
          <w:rFonts w:ascii="Times New Roman" w:hAnsi="Times New Roman"/>
          <w:sz w:val="24"/>
          <w:szCs w:val="24"/>
        </w:rPr>
        <w:instrText xml:space="preserve"> ADDIN EN.REFLIST </w:instrText>
      </w:r>
      <w:r w:rsidRPr="001E3600">
        <w:rPr>
          <w:rFonts w:ascii="Times New Roman" w:hAnsi="Times New Roman"/>
          <w:sz w:val="24"/>
          <w:szCs w:val="24"/>
        </w:rPr>
        <w:fldChar w:fldCharType="separate"/>
      </w:r>
      <w:bookmarkStart w:id="27" w:name="_ENREF_1"/>
      <w:r w:rsidR="001E3600" w:rsidRPr="001E3600">
        <w:rPr>
          <w:rFonts w:ascii="Times New Roman" w:hAnsi="Times New Roman"/>
          <w:noProof/>
          <w:sz w:val="24"/>
          <w:szCs w:val="24"/>
        </w:rPr>
        <w:t xml:space="preserve">Feng, M., L. Cizmas, Z. Wang, and V. K. Sharma. 2017. Synergistic effect of aqueous removal of fluoroquinolones by a combined use of peroxymonosulfate and ferrate(VI). Chemosphere </w:t>
      </w:r>
      <w:r w:rsidR="001E3600" w:rsidRPr="001E3600">
        <w:rPr>
          <w:rFonts w:ascii="Times New Roman" w:hAnsi="Times New Roman"/>
          <w:b/>
          <w:noProof/>
          <w:sz w:val="24"/>
          <w:szCs w:val="24"/>
        </w:rPr>
        <w:t>177</w:t>
      </w:r>
      <w:r w:rsidR="001E3600" w:rsidRPr="001E3600">
        <w:rPr>
          <w:rFonts w:ascii="Times New Roman" w:hAnsi="Times New Roman"/>
          <w:noProof/>
          <w:sz w:val="24"/>
          <w:szCs w:val="24"/>
        </w:rPr>
        <w:t>:144-148.</w:t>
      </w:r>
      <w:bookmarkEnd w:id="27"/>
    </w:p>
    <w:p w14:paraId="59A105B4" w14:textId="77777777" w:rsidR="001E3600" w:rsidRPr="001E3600" w:rsidRDefault="001E3600" w:rsidP="001E3600">
      <w:pPr>
        <w:pStyle w:val="EndNoteBibliography"/>
        <w:spacing w:line="480" w:lineRule="auto"/>
        <w:ind w:left="720" w:hanging="720"/>
        <w:rPr>
          <w:rFonts w:ascii="Times New Roman" w:hAnsi="Times New Roman"/>
          <w:noProof/>
          <w:sz w:val="24"/>
          <w:szCs w:val="24"/>
        </w:rPr>
      </w:pPr>
      <w:bookmarkStart w:id="28" w:name="_ENREF_2"/>
      <w:r w:rsidRPr="001E3600">
        <w:rPr>
          <w:rFonts w:ascii="Times New Roman" w:hAnsi="Times New Roman"/>
          <w:noProof/>
          <w:sz w:val="24"/>
          <w:szCs w:val="24"/>
        </w:rPr>
        <w:t xml:space="preserve">Peng, G., T. Li, B. Ai, S. Yang, J. Fu, Q. He, G. Yu, and S. Deng. 2019. Highly efficient removal of enrofloxacin by magnetic montmorillonite via adsorption and persulfate oxidation. Chemical Engineering Journal </w:t>
      </w:r>
      <w:r w:rsidRPr="001E3600">
        <w:rPr>
          <w:rFonts w:ascii="Times New Roman" w:hAnsi="Times New Roman"/>
          <w:b/>
          <w:noProof/>
          <w:sz w:val="24"/>
          <w:szCs w:val="24"/>
        </w:rPr>
        <w:t>360</w:t>
      </w:r>
      <w:r w:rsidRPr="001E3600">
        <w:rPr>
          <w:rFonts w:ascii="Times New Roman" w:hAnsi="Times New Roman"/>
          <w:noProof/>
          <w:sz w:val="24"/>
          <w:szCs w:val="24"/>
        </w:rPr>
        <w:t>:1119-1127.</w:t>
      </w:r>
      <w:bookmarkEnd w:id="28"/>
    </w:p>
    <w:p w14:paraId="7D6F61E5" w14:textId="77777777" w:rsidR="001E3600" w:rsidRPr="001E3600" w:rsidRDefault="001E3600" w:rsidP="001E3600">
      <w:pPr>
        <w:pStyle w:val="EndNoteBibliography"/>
        <w:spacing w:line="480" w:lineRule="auto"/>
        <w:ind w:left="720" w:hanging="720"/>
        <w:rPr>
          <w:rFonts w:ascii="Times New Roman" w:hAnsi="Times New Roman"/>
          <w:noProof/>
          <w:sz w:val="24"/>
          <w:szCs w:val="24"/>
        </w:rPr>
      </w:pPr>
      <w:bookmarkStart w:id="29" w:name="_ENREF_3"/>
      <w:r w:rsidRPr="001E3600">
        <w:rPr>
          <w:rFonts w:ascii="Times New Roman" w:hAnsi="Times New Roman"/>
          <w:noProof/>
          <w:sz w:val="24"/>
          <w:szCs w:val="24"/>
        </w:rPr>
        <w:t xml:space="preserve">Yang, Z., X. Li, Y. Huang, Y. Chen, A. Wang, Y. Wang, C. Li, Z. Hu, and K. Yan. 2021. Facile synthesis of cobalt-iron layered double hydroxides nanosheets for direct activation of peroxymonosulfate (PMS) during degradation of fluoroquinolones antibiotics. Journal of Cleaner Production </w:t>
      </w:r>
      <w:r w:rsidRPr="001E3600">
        <w:rPr>
          <w:rFonts w:ascii="Times New Roman" w:hAnsi="Times New Roman"/>
          <w:b/>
          <w:noProof/>
          <w:sz w:val="24"/>
          <w:szCs w:val="24"/>
        </w:rPr>
        <w:t>310</w:t>
      </w:r>
      <w:r w:rsidRPr="001E3600">
        <w:rPr>
          <w:rFonts w:ascii="Times New Roman" w:hAnsi="Times New Roman"/>
          <w:noProof/>
          <w:sz w:val="24"/>
          <w:szCs w:val="24"/>
        </w:rPr>
        <w:t>:127584.</w:t>
      </w:r>
      <w:bookmarkEnd w:id="29"/>
    </w:p>
    <w:p w14:paraId="4787AFA8" w14:textId="60B7922B" w:rsidR="00FA1CCE" w:rsidRDefault="003135E7" w:rsidP="001E3600">
      <w:pPr>
        <w:spacing w:line="480" w:lineRule="auto"/>
        <w:rPr>
          <w:rFonts w:ascii="Times New Roman" w:hAnsi="Times New Roman"/>
          <w:sz w:val="24"/>
          <w:szCs w:val="24"/>
        </w:rPr>
      </w:pPr>
      <w:r w:rsidRPr="001E3600">
        <w:rPr>
          <w:rFonts w:ascii="Times New Roman" w:hAnsi="Times New Roman"/>
          <w:sz w:val="24"/>
          <w:szCs w:val="24"/>
        </w:rPr>
        <w:fldChar w:fldCharType="end"/>
      </w:r>
    </w:p>
    <w:sectPr w:rsidR="00FA1CC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TkyZTQzZTY3MTE4ZjQwOWY0YzVlNTY0MWQxYWQxYzgifQ=="/>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97300D"/>
    <w:rsid w:val="00036223"/>
    <w:rsid w:val="000542E5"/>
    <w:rsid w:val="00056FC2"/>
    <w:rsid w:val="00083258"/>
    <w:rsid w:val="000864A0"/>
    <w:rsid w:val="000C1FC0"/>
    <w:rsid w:val="000D1600"/>
    <w:rsid w:val="001116DE"/>
    <w:rsid w:val="00154D6F"/>
    <w:rsid w:val="001723D5"/>
    <w:rsid w:val="001A7666"/>
    <w:rsid w:val="001E3600"/>
    <w:rsid w:val="00202A02"/>
    <w:rsid w:val="00222BED"/>
    <w:rsid w:val="00244CAD"/>
    <w:rsid w:val="00265D8E"/>
    <w:rsid w:val="00271F38"/>
    <w:rsid w:val="002864FA"/>
    <w:rsid w:val="002C7896"/>
    <w:rsid w:val="002C7F34"/>
    <w:rsid w:val="002F67AA"/>
    <w:rsid w:val="003135E7"/>
    <w:rsid w:val="003468D4"/>
    <w:rsid w:val="00365551"/>
    <w:rsid w:val="0037288E"/>
    <w:rsid w:val="00372AF7"/>
    <w:rsid w:val="00380A52"/>
    <w:rsid w:val="003C49A5"/>
    <w:rsid w:val="003D1059"/>
    <w:rsid w:val="003E3FF5"/>
    <w:rsid w:val="003F0362"/>
    <w:rsid w:val="003F3565"/>
    <w:rsid w:val="003F5EE3"/>
    <w:rsid w:val="00401419"/>
    <w:rsid w:val="00414D1B"/>
    <w:rsid w:val="004325B0"/>
    <w:rsid w:val="00465746"/>
    <w:rsid w:val="00480705"/>
    <w:rsid w:val="00491DC7"/>
    <w:rsid w:val="004A4214"/>
    <w:rsid w:val="004A798F"/>
    <w:rsid w:val="004B7C71"/>
    <w:rsid w:val="004E2FAA"/>
    <w:rsid w:val="004E3056"/>
    <w:rsid w:val="00505C7D"/>
    <w:rsid w:val="00507251"/>
    <w:rsid w:val="00510A79"/>
    <w:rsid w:val="005142D6"/>
    <w:rsid w:val="0051742C"/>
    <w:rsid w:val="0054564A"/>
    <w:rsid w:val="00562270"/>
    <w:rsid w:val="005641A9"/>
    <w:rsid w:val="00572666"/>
    <w:rsid w:val="0057796C"/>
    <w:rsid w:val="00580B07"/>
    <w:rsid w:val="0059600E"/>
    <w:rsid w:val="005D1832"/>
    <w:rsid w:val="005E2A56"/>
    <w:rsid w:val="005F0E3A"/>
    <w:rsid w:val="0060403D"/>
    <w:rsid w:val="00605D2B"/>
    <w:rsid w:val="006108C6"/>
    <w:rsid w:val="00625CB1"/>
    <w:rsid w:val="0063182C"/>
    <w:rsid w:val="006478B5"/>
    <w:rsid w:val="00672B6E"/>
    <w:rsid w:val="00684134"/>
    <w:rsid w:val="00691137"/>
    <w:rsid w:val="006915FA"/>
    <w:rsid w:val="006921AF"/>
    <w:rsid w:val="00693778"/>
    <w:rsid w:val="006A5BCB"/>
    <w:rsid w:val="006B6B29"/>
    <w:rsid w:val="006E28B5"/>
    <w:rsid w:val="006E4BFB"/>
    <w:rsid w:val="0070366F"/>
    <w:rsid w:val="007058D1"/>
    <w:rsid w:val="0071512B"/>
    <w:rsid w:val="00726592"/>
    <w:rsid w:val="00731517"/>
    <w:rsid w:val="00755C96"/>
    <w:rsid w:val="00770C09"/>
    <w:rsid w:val="007A3922"/>
    <w:rsid w:val="007B3C0E"/>
    <w:rsid w:val="007F2CFB"/>
    <w:rsid w:val="007F71DB"/>
    <w:rsid w:val="00810EBB"/>
    <w:rsid w:val="00823515"/>
    <w:rsid w:val="00824D24"/>
    <w:rsid w:val="00853451"/>
    <w:rsid w:val="00867F91"/>
    <w:rsid w:val="008833BF"/>
    <w:rsid w:val="00895C54"/>
    <w:rsid w:val="008C08DA"/>
    <w:rsid w:val="008D1CFC"/>
    <w:rsid w:val="008E1745"/>
    <w:rsid w:val="008E6F3D"/>
    <w:rsid w:val="008F17CE"/>
    <w:rsid w:val="008F780A"/>
    <w:rsid w:val="009065A9"/>
    <w:rsid w:val="00920DEB"/>
    <w:rsid w:val="009212F6"/>
    <w:rsid w:val="009232B7"/>
    <w:rsid w:val="009301F3"/>
    <w:rsid w:val="009329A9"/>
    <w:rsid w:val="00933D88"/>
    <w:rsid w:val="00936B30"/>
    <w:rsid w:val="00951FBF"/>
    <w:rsid w:val="00956221"/>
    <w:rsid w:val="0097300D"/>
    <w:rsid w:val="00974C66"/>
    <w:rsid w:val="00997E7B"/>
    <w:rsid w:val="009C09F2"/>
    <w:rsid w:val="009C7B05"/>
    <w:rsid w:val="009E05BC"/>
    <w:rsid w:val="009E44C2"/>
    <w:rsid w:val="009F3070"/>
    <w:rsid w:val="00A04D49"/>
    <w:rsid w:val="00A20C39"/>
    <w:rsid w:val="00A27B1D"/>
    <w:rsid w:val="00A376E0"/>
    <w:rsid w:val="00A411C5"/>
    <w:rsid w:val="00A524CB"/>
    <w:rsid w:val="00A564C6"/>
    <w:rsid w:val="00A60C47"/>
    <w:rsid w:val="00A74B53"/>
    <w:rsid w:val="00A853E6"/>
    <w:rsid w:val="00A958F8"/>
    <w:rsid w:val="00AA5948"/>
    <w:rsid w:val="00AB17B8"/>
    <w:rsid w:val="00AC6591"/>
    <w:rsid w:val="00B23833"/>
    <w:rsid w:val="00B256FC"/>
    <w:rsid w:val="00B27EDE"/>
    <w:rsid w:val="00B300A9"/>
    <w:rsid w:val="00B61B7A"/>
    <w:rsid w:val="00B67B7C"/>
    <w:rsid w:val="00BA42A4"/>
    <w:rsid w:val="00BA5E17"/>
    <w:rsid w:val="00BB2B4F"/>
    <w:rsid w:val="00BD6DD4"/>
    <w:rsid w:val="00BD7D09"/>
    <w:rsid w:val="00BE03CD"/>
    <w:rsid w:val="00BE0706"/>
    <w:rsid w:val="00BE5498"/>
    <w:rsid w:val="00C212EB"/>
    <w:rsid w:val="00C30082"/>
    <w:rsid w:val="00C35DE2"/>
    <w:rsid w:val="00C56FA0"/>
    <w:rsid w:val="00C57293"/>
    <w:rsid w:val="00C707D4"/>
    <w:rsid w:val="00C81C67"/>
    <w:rsid w:val="00C903DC"/>
    <w:rsid w:val="00CB4B3C"/>
    <w:rsid w:val="00CD1ADB"/>
    <w:rsid w:val="00CD25CA"/>
    <w:rsid w:val="00CE219A"/>
    <w:rsid w:val="00D02679"/>
    <w:rsid w:val="00D147EC"/>
    <w:rsid w:val="00D5538C"/>
    <w:rsid w:val="00D57F3D"/>
    <w:rsid w:val="00D6241B"/>
    <w:rsid w:val="00D7629D"/>
    <w:rsid w:val="00D84742"/>
    <w:rsid w:val="00DA1E11"/>
    <w:rsid w:val="00DB25FE"/>
    <w:rsid w:val="00DB6F7E"/>
    <w:rsid w:val="00DE1A78"/>
    <w:rsid w:val="00DE2933"/>
    <w:rsid w:val="00DE7E3E"/>
    <w:rsid w:val="00DF4B7E"/>
    <w:rsid w:val="00DF6DAE"/>
    <w:rsid w:val="00DF73E3"/>
    <w:rsid w:val="00E076C6"/>
    <w:rsid w:val="00E445A5"/>
    <w:rsid w:val="00E50F70"/>
    <w:rsid w:val="00E53413"/>
    <w:rsid w:val="00E66591"/>
    <w:rsid w:val="00E85F65"/>
    <w:rsid w:val="00E92CC1"/>
    <w:rsid w:val="00E95075"/>
    <w:rsid w:val="00EB17EA"/>
    <w:rsid w:val="00EC3BD9"/>
    <w:rsid w:val="00EC52BD"/>
    <w:rsid w:val="00ED4FA7"/>
    <w:rsid w:val="00F04CCC"/>
    <w:rsid w:val="00F5266C"/>
    <w:rsid w:val="00F55780"/>
    <w:rsid w:val="00F55BFA"/>
    <w:rsid w:val="00FA1CCE"/>
    <w:rsid w:val="00FA7EBE"/>
    <w:rsid w:val="00FC4A15"/>
    <w:rsid w:val="00FD12AE"/>
    <w:rsid w:val="00FE685D"/>
    <w:rsid w:val="00FE7C22"/>
    <w:rsid w:val="00FF7100"/>
    <w:rsid w:val="13DF777F"/>
    <w:rsid w:val="4CCD6F12"/>
    <w:rsid w:val="4FD7058D"/>
    <w:rsid w:val="50DA1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5CEEC5A"/>
  <w15:docId w15:val="{BBFC3D54-A1E3-40D0-9E0E-CC9E0BCE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等线" w:eastAsia="等线" w:hAnsi="等线" w:cs="Times New Roman"/>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563C1" w:themeColor="hyperlink"/>
      <w:u w:val="single"/>
    </w:rPr>
  </w:style>
  <w:style w:type="paragraph" w:customStyle="1" w:styleId="EndNoteBibliography">
    <w:name w:val="EndNote Bibliography"/>
    <w:basedOn w:val="a"/>
    <w:link w:val="EndNoteBibliography0"/>
    <w:qFormat/>
    <w:rPr>
      <w:sz w:val="20"/>
    </w:rPr>
  </w:style>
  <w:style w:type="character" w:customStyle="1" w:styleId="EndNoteBibliography0">
    <w:name w:val="EndNote Bibliography 字符"/>
    <w:link w:val="EndNoteBibliography"/>
    <w:qFormat/>
    <w:rPr>
      <w:rFonts w:ascii="等线" w:eastAsia="等线" w:hAnsi="等线" w:cs="Times New Roman"/>
      <w:kern w:val="2"/>
      <w:szCs w:val="22"/>
    </w:rPr>
  </w:style>
  <w:style w:type="character" w:customStyle="1" w:styleId="a4">
    <w:name w:val="批注框文本 字符"/>
    <w:basedOn w:val="a0"/>
    <w:link w:val="a3"/>
    <w:uiPriority w:val="99"/>
    <w:semiHidden/>
    <w:qFormat/>
    <w:rPr>
      <w:rFonts w:ascii="等线" w:eastAsia="等线" w:hAnsi="等线" w:cs="Times New Roman"/>
      <w:sz w:val="18"/>
      <w:szCs w:val="18"/>
    </w:rPr>
  </w:style>
  <w:style w:type="character" w:customStyle="1" w:styleId="a8">
    <w:name w:val="页眉 字符"/>
    <w:basedOn w:val="a0"/>
    <w:link w:val="a7"/>
    <w:uiPriority w:val="99"/>
    <w:qFormat/>
    <w:rPr>
      <w:rFonts w:ascii="等线" w:eastAsia="等线" w:hAnsi="等线" w:cs="Times New Roman"/>
      <w:sz w:val="18"/>
      <w:szCs w:val="18"/>
    </w:rPr>
  </w:style>
  <w:style w:type="character" w:customStyle="1" w:styleId="a6">
    <w:name w:val="页脚 字符"/>
    <w:basedOn w:val="a0"/>
    <w:link w:val="a5"/>
    <w:uiPriority w:val="99"/>
    <w:qFormat/>
    <w:rPr>
      <w:rFonts w:ascii="等线" w:eastAsia="等线" w:hAnsi="等线" w:cs="Times New Roman"/>
      <w:sz w:val="18"/>
      <w:szCs w:val="18"/>
    </w:rPr>
  </w:style>
  <w:style w:type="paragraph" w:customStyle="1" w:styleId="EndNoteBibliographyTitle">
    <w:name w:val="EndNote Bibliography Title"/>
    <w:basedOn w:val="a"/>
    <w:link w:val="EndNoteBibliographyTitle0"/>
    <w:qFormat/>
    <w:pPr>
      <w:jc w:val="center"/>
    </w:pPr>
    <w:rPr>
      <w:sz w:val="20"/>
    </w:rPr>
  </w:style>
  <w:style w:type="character" w:customStyle="1" w:styleId="EndNoteBibliographyTitle0">
    <w:name w:val="EndNote Bibliography Title 字符"/>
    <w:basedOn w:val="a0"/>
    <w:link w:val="EndNoteBibliographyTitle"/>
    <w:qFormat/>
    <w:rPr>
      <w:rFonts w:ascii="等线" w:eastAsia="等线" w:hAnsi="等线" w:cs="Times New Roman"/>
      <w:kern w:val="2"/>
      <w:szCs w:val="22"/>
    </w:rPr>
  </w:style>
  <w:style w:type="character" w:customStyle="1" w:styleId="1">
    <w:name w:val="未处理的提及1"/>
    <w:basedOn w:val="a0"/>
    <w:uiPriority w:val="99"/>
    <w:semiHidden/>
    <w:unhideWhenUsed/>
    <w:qFormat/>
    <w:rPr>
      <w:color w:val="605E5C"/>
      <w:shd w:val="clear" w:color="auto" w:fill="E1DFDD"/>
    </w:rPr>
  </w:style>
  <w:style w:type="character" w:styleId="ab">
    <w:name w:val="Unresolved Mention"/>
    <w:basedOn w:val="a0"/>
    <w:uiPriority w:val="99"/>
    <w:semiHidden/>
    <w:unhideWhenUsed/>
    <w:rsid w:val="001E3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oleObject" Target="embeddings/oleObject14.bin"/><Relationship Id="rId21" Type="http://schemas.openxmlformats.org/officeDocument/2006/relationships/oleObject" Target="embeddings/oleObject7.bin"/><Relationship Id="rId34" Type="http://schemas.openxmlformats.org/officeDocument/2006/relationships/image" Target="media/image17.emf"/><Relationship Id="rId42" Type="http://schemas.openxmlformats.org/officeDocument/2006/relationships/image" Target="media/image21.emf"/><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mailto:chengxw@lzu.edu.cn%20(X" TargetMode="External"/><Relationship Id="rId11" Type="http://schemas.openxmlformats.org/officeDocument/2006/relationships/oleObject" Target="embeddings/oleObject2.bin"/><Relationship Id="rId24" Type="http://schemas.openxmlformats.org/officeDocument/2006/relationships/image" Target="media/image10.emf"/><Relationship Id="rId32" Type="http://schemas.openxmlformats.org/officeDocument/2006/relationships/image" Target="media/image16.emf"/><Relationship Id="rId37" Type="http://schemas.openxmlformats.org/officeDocument/2006/relationships/oleObject" Target="embeddings/oleObject13.bin"/><Relationship Id="rId40" Type="http://schemas.openxmlformats.org/officeDocument/2006/relationships/image" Target="media/image20.emf"/><Relationship Id="rId45" Type="http://schemas.openxmlformats.org/officeDocument/2006/relationships/oleObject" Target="embeddings/oleObject17.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png"/><Relationship Id="rId36" Type="http://schemas.openxmlformats.org/officeDocument/2006/relationships/image" Target="media/image18.emf"/><Relationship Id="rId10" Type="http://schemas.openxmlformats.org/officeDocument/2006/relationships/image" Target="media/image3.emf"/><Relationship Id="rId19" Type="http://schemas.openxmlformats.org/officeDocument/2006/relationships/oleObject" Target="embeddings/oleObject6.bin"/><Relationship Id="rId31" Type="http://schemas.openxmlformats.org/officeDocument/2006/relationships/image" Target="media/image15.png"/><Relationship Id="rId44" Type="http://schemas.openxmlformats.org/officeDocument/2006/relationships/image" Target="media/image2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10.bin"/><Relationship Id="rId30" Type="http://schemas.openxmlformats.org/officeDocument/2006/relationships/image" Target="media/image14.png"/><Relationship Id="rId35" Type="http://schemas.openxmlformats.org/officeDocument/2006/relationships/oleObject" Target="embeddings/oleObject12.bin"/><Relationship Id="rId43" Type="http://schemas.openxmlformats.org/officeDocument/2006/relationships/oleObject" Target="embeddings/oleObject16.bin"/><Relationship Id="rId8" Type="http://schemas.openxmlformats.org/officeDocument/2006/relationships/image" Target="media/image2.emf"/><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1.bin"/><Relationship Id="rId38" Type="http://schemas.openxmlformats.org/officeDocument/2006/relationships/image" Target="media/image19.emf"/><Relationship Id="rId46" Type="http://schemas.openxmlformats.org/officeDocument/2006/relationships/fontTable" Target="fontTable.xml"/><Relationship Id="rId20" Type="http://schemas.openxmlformats.org/officeDocument/2006/relationships/image" Target="media/image8.emf"/><Relationship Id="rId41" Type="http://schemas.openxmlformats.org/officeDocument/2006/relationships/oleObject" Target="embeddings/oleObject15.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F333BEE-B831-4781-A661-38046C1B14F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1680</Words>
  <Characters>9576</Characters>
  <Application>Microsoft Office Word</Application>
  <DocSecurity>0</DocSecurity>
  <Lines>79</Lines>
  <Paragraphs>22</Paragraphs>
  <ScaleCrop>false</ScaleCrop>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815460183@qq.com</dc:creator>
  <cp:lastModifiedBy>2502544541@qq.com</cp:lastModifiedBy>
  <cp:revision>38</cp:revision>
  <dcterms:created xsi:type="dcterms:W3CDTF">2021-08-02T10:02:00Z</dcterms:created>
  <dcterms:modified xsi:type="dcterms:W3CDTF">2023-08-06T12:43:00Z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E2E15F19D6F64F00B470EA32A084B7CB</vt:lpwstr>
  </property>
</Properties>
</file>