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59CAB" w14:textId="49F8086D" w:rsidR="00F5482F" w:rsidRPr="00F5482F" w:rsidRDefault="00F5482F" w:rsidP="00F5482F">
      <w:pPr>
        <w:jc w:val="center"/>
        <w:rPr>
          <w:b/>
          <w:bCs/>
          <w:sz w:val="28"/>
          <w:szCs w:val="28"/>
        </w:rPr>
      </w:pPr>
      <w:r w:rsidRPr="00F5482F">
        <w:rPr>
          <w:b/>
          <w:bCs/>
          <w:sz w:val="28"/>
          <w:szCs w:val="28"/>
        </w:rPr>
        <w:t xml:space="preserve">Supplementary </w:t>
      </w:r>
      <w:r w:rsidRPr="00F5482F">
        <w:rPr>
          <w:b/>
          <w:bCs/>
          <w:sz w:val="28"/>
          <w:szCs w:val="28"/>
        </w:rPr>
        <w:t>Information</w:t>
      </w:r>
    </w:p>
    <w:p w14:paraId="586F2AB7" w14:textId="77777777" w:rsidR="00F5482F" w:rsidRPr="00F5482F" w:rsidRDefault="00F5482F" w:rsidP="00F5482F">
      <w:pPr>
        <w:spacing w:line="480" w:lineRule="auto"/>
        <w:jc w:val="left"/>
      </w:pPr>
      <w:r>
        <w:t>Title</w:t>
      </w:r>
      <w:r w:rsidRPr="00F5482F">
        <w:t xml:space="preserve">: </w:t>
      </w:r>
      <w:r w:rsidRPr="00F5482F">
        <w:t>Enhancing native seedling establishment on degraded agricultural land with topsoil pellets</w:t>
      </w:r>
    </w:p>
    <w:p w14:paraId="304EBCE7" w14:textId="6B9141B3" w:rsidR="00F5482F" w:rsidRPr="00F5482F" w:rsidRDefault="00F5482F" w:rsidP="00F5482F">
      <w:r w:rsidRPr="00F5482F">
        <w:t xml:space="preserve">Journal: Plant and Soil </w:t>
      </w:r>
    </w:p>
    <w:p w14:paraId="4550B5DD" w14:textId="2A4F8EC3" w:rsidR="00F5482F" w:rsidRPr="00F5482F" w:rsidRDefault="00F5482F" w:rsidP="00F5482F">
      <w:pPr>
        <w:spacing w:line="480" w:lineRule="auto"/>
        <w:jc w:val="left"/>
        <w:rPr>
          <w:rFonts w:cstheme="minorHAnsi"/>
        </w:rPr>
      </w:pPr>
      <w:r w:rsidRPr="00F5482F">
        <w:t xml:space="preserve">Authors: </w:t>
      </w:r>
      <w:r w:rsidRPr="00F5482F">
        <w:rPr>
          <w:rFonts w:cstheme="minorHAnsi"/>
        </w:rPr>
        <w:t>Thomas P. Munro, Todd E. Erickson, Dale G. Nimmo, Frederick A. Dadzie, Miriam Muñoz- Rojas,  Jodi N. Price</w:t>
      </w:r>
    </w:p>
    <w:p w14:paraId="22B41E5A" w14:textId="02CCD068" w:rsidR="00F5482F" w:rsidRDefault="00F5482F" w:rsidP="00F5482F">
      <w:pPr>
        <w:spacing w:line="480" w:lineRule="auto"/>
        <w:rPr>
          <w:rFonts w:eastAsia="Times New Roman" w:cstheme="minorHAnsi"/>
          <w:color w:val="000000"/>
          <w:lang w:eastAsia="en-AU"/>
        </w:rPr>
      </w:pPr>
      <w:r w:rsidRPr="00F5482F">
        <w:t xml:space="preserve">* Corresponding author: tmunro@csu.edu.au, </w:t>
      </w:r>
      <w:r w:rsidRPr="00F5482F">
        <w:rPr>
          <w:rFonts w:eastAsia="Times New Roman" w:cstheme="minorHAnsi"/>
          <w:color w:val="000000"/>
          <w:lang w:eastAsia="en-AU"/>
        </w:rPr>
        <w:t xml:space="preserve">Gulbali Institute, Charles Sturt University, Albury, </w:t>
      </w:r>
      <w:r w:rsidRPr="00F5482F">
        <w:rPr>
          <w:rFonts w:cstheme="minorHAnsi"/>
        </w:rPr>
        <w:t>New South Wales</w:t>
      </w:r>
      <w:r w:rsidRPr="00F5482F">
        <w:rPr>
          <w:rFonts w:eastAsia="Times New Roman" w:cstheme="minorHAnsi"/>
          <w:color w:val="000000"/>
          <w:lang w:eastAsia="en-AU"/>
        </w:rPr>
        <w:t>, Australia.</w:t>
      </w:r>
    </w:p>
    <w:p w14:paraId="0663E95F" w14:textId="490FF5E9" w:rsidR="00F5482F" w:rsidRDefault="00F5482F" w:rsidP="00F5482F">
      <w:pPr>
        <w:spacing w:line="480" w:lineRule="auto"/>
        <w:rPr>
          <w:rFonts w:eastAsia="Times New Roman" w:cstheme="minorHAnsi"/>
          <w:color w:val="000000"/>
          <w:lang w:eastAsia="en-AU"/>
        </w:rPr>
      </w:pPr>
    </w:p>
    <w:p w14:paraId="0459C38A" w14:textId="7ED8DA23" w:rsidR="00F5482F" w:rsidRDefault="00F5482F" w:rsidP="00F5482F">
      <w:pPr>
        <w:spacing w:line="480" w:lineRule="auto"/>
        <w:rPr>
          <w:rFonts w:eastAsia="Times New Roman" w:cstheme="minorHAnsi"/>
          <w:color w:val="000000"/>
          <w:lang w:eastAsia="en-AU"/>
        </w:rPr>
      </w:pPr>
    </w:p>
    <w:p w14:paraId="603563F4" w14:textId="1E7E4909" w:rsidR="00F5482F" w:rsidRDefault="00F5482F" w:rsidP="00F5482F">
      <w:pPr>
        <w:spacing w:line="480" w:lineRule="auto"/>
        <w:rPr>
          <w:rFonts w:eastAsia="Times New Roman" w:cstheme="minorHAnsi"/>
          <w:color w:val="000000"/>
          <w:lang w:eastAsia="en-AU"/>
        </w:rPr>
      </w:pPr>
    </w:p>
    <w:p w14:paraId="6DC4A4D9" w14:textId="26F7B2A8" w:rsidR="00F5482F" w:rsidRDefault="00F5482F" w:rsidP="00F5482F">
      <w:pPr>
        <w:spacing w:line="480" w:lineRule="auto"/>
        <w:rPr>
          <w:rFonts w:eastAsia="Times New Roman" w:cstheme="minorHAnsi"/>
          <w:color w:val="000000"/>
          <w:lang w:eastAsia="en-AU"/>
        </w:rPr>
      </w:pPr>
    </w:p>
    <w:p w14:paraId="078D9560" w14:textId="75648CCA" w:rsidR="00F5482F" w:rsidRDefault="00F5482F" w:rsidP="00F5482F">
      <w:pPr>
        <w:spacing w:line="480" w:lineRule="auto"/>
        <w:rPr>
          <w:rFonts w:eastAsia="Times New Roman" w:cstheme="minorHAnsi"/>
          <w:color w:val="000000"/>
          <w:lang w:eastAsia="en-AU"/>
        </w:rPr>
      </w:pPr>
    </w:p>
    <w:p w14:paraId="2D7A0557" w14:textId="00B45BE3" w:rsidR="00F5482F" w:rsidRDefault="00F5482F" w:rsidP="00F5482F">
      <w:pPr>
        <w:spacing w:line="480" w:lineRule="auto"/>
        <w:rPr>
          <w:rFonts w:eastAsia="Times New Roman" w:cstheme="minorHAnsi"/>
          <w:color w:val="000000"/>
          <w:lang w:eastAsia="en-AU"/>
        </w:rPr>
      </w:pPr>
    </w:p>
    <w:p w14:paraId="2235BB7B" w14:textId="68A2B0E4" w:rsidR="00F5482F" w:rsidRDefault="00F5482F" w:rsidP="00F5482F">
      <w:pPr>
        <w:spacing w:line="480" w:lineRule="auto"/>
        <w:rPr>
          <w:rFonts w:eastAsia="Times New Roman" w:cstheme="minorHAnsi"/>
          <w:color w:val="000000"/>
          <w:lang w:eastAsia="en-AU"/>
        </w:rPr>
      </w:pPr>
    </w:p>
    <w:p w14:paraId="4468FDA9" w14:textId="6D5D6815" w:rsidR="00F5482F" w:rsidRDefault="00F5482F" w:rsidP="00F5482F">
      <w:pPr>
        <w:spacing w:line="480" w:lineRule="auto"/>
        <w:rPr>
          <w:rFonts w:eastAsia="Times New Roman" w:cstheme="minorHAnsi"/>
          <w:color w:val="000000"/>
          <w:lang w:eastAsia="en-AU"/>
        </w:rPr>
      </w:pPr>
    </w:p>
    <w:p w14:paraId="336EEF7B" w14:textId="77777777" w:rsidR="00F5482F" w:rsidRPr="00F5482F" w:rsidRDefault="00F5482F" w:rsidP="00F5482F">
      <w:pPr>
        <w:spacing w:line="480" w:lineRule="auto"/>
        <w:rPr>
          <w:rFonts w:eastAsia="Times New Roman" w:cstheme="minorHAnsi"/>
          <w:lang w:eastAsia="en-AU"/>
        </w:rPr>
      </w:pPr>
    </w:p>
    <w:p w14:paraId="29881E52" w14:textId="77777777" w:rsidR="00F5482F" w:rsidRDefault="00F5482F" w:rsidP="00F5482F">
      <w:r w:rsidRPr="00A56553">
        <w:rPr>
          <w:rFonts w:cstheme="minorHAnsi"/>
          <w:noProof/>
        </w:rPr>
        <w:lastRenderedPageBreak/>
        <w:drawing>
          <wp:anchor distT="0" distB="0" distL="114300" distR="114300" simplePos="0" relativeHeight="251659264" behindDoc="0" locked="0" layoutInCell="1" allowOverlap="1" wp14:anchorId="259A940F" wp14:editId="362EBC52">
            <wp:simplePos x="0" y="0"/>
            <wp:positionH relativeFrom="column">
              <wp:posOffset>798830</wp:posOffset>
            </wp:positionH>
            <wp:positionV relativeFrom="paragraph">
              <wp:posOffset>17145</wp:posOffset>
            </wp:positionV>
            <wp:extent cx="4232910" cy="4744085"/>
            <wp:effectExtent l="0" t="7938" r="7303" b="7302"/>
            <wp:wrapTopAndBottom/>
            <wp:docPr id="1" name="Picture 1" descr="Tab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able&#10;&#10;Description automatically generated with medium confidence"/>
                    <pic:cNvPicPr/>
                  </pic:nvPicPr>
                  <pic:blipFill rotWithShape="1">
                    <a:blip r:embed="rId7">
                      <a:extLst>
                        <a:ext uri="{28A0092B-C50C-407E-A947-70E740481C1C}">
                          <a14:useLocalDpi xmlns:a14="http://schemas.microsoft.com/office/drawing/2010/main" val="0"/>
                        </a:ext>
                      </a:extLst>
                    </a:blip>
                    <a:srcRect l="4124"/>
                    <a:stretch/>
                  </pic:blipFill>
                  <pic:spPr bwMode="auto">
                    <a:xfrm rot="16200000">
                      <a:off x="0" y="0"/>
                      <a:ext cx="4232910" cy="47440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5FFED3A" w14:textId="77777777" w:rsidR="00F5482F" w:rsidRDefault="00F5482F" w:rsidP="00F5482F">
      <w:pPr>
        <w:widowControl w:val="0"/>
        <w:rPr>
          <w:rFonts w:cstheme="minorHAnsi"/>
        </w:rPr>
      </w:pPr>
    </w:p>
    <w:p w14:paraId="263CC82D" w14:textId="77777777" w:rsidR="00F5482F" w:rsidRDefault="00F5482F" w:rsidP="00F5482F">
      <w:pPr>
        <w:widowControl w:val="0"/>
        <w:spacing w:line="480" w:lineRule="auto"/>
        <w:rPr>
          <w:rFonts w:cstheme="minorHAnsi"/>
        </w:rPr>
      </w:pPr>
      <w:r w:rsidRPr="00E608E5">
        <w:rPr>
          <w:rFonts w:cstheme="minorHAnsi"/>
          <w:b/>
          <w:bCs/>
        </w:rPr>
        <w:t>Fig</w:t>
      </w:r>
      <w:r>
        <w:rPr>
          <w:rFonts w:cstheme="minorHAnsi"/>
          <w:b/>
          <w:bCs/>
        </w:rPr>
        <w:t>. S1</w:t>
      </w:r>
      <w:r w:rsidRPr="00E608E5">
        <w:rPr>
          <w:rFonts w:cstheme="minorHAnsi"/>
          <w:b/>
          <w:bCs/>
        </w:rPr>
        <w:t>.</w:t>
      </w:r>
      <w:r w:rsidRPr="00811269">
        <w:rPr>
          <w:rFonts w:cstheme="minorHAnsi"/>
        </w:rPr>
        <w:t xml:space="preserve"> Experimental design showing one replicate block with</w:t>
      </w:r>
      <w:r>
        <w:rPr>
          <w:rFonts w:cstheme="minorHAnsi"/>
        </w:rPr>
        <w:t xml:space="preserve"> five</w:t>
      </w:r>
      <w:r w:rsidRPr="00811269">
        <w:rPr>
          <w:rFonts w:cstheme="minorHAnsi"/>
        </w:rPr>
        <w:t xml:space="preserve"> seed enhancement treatments</w:t>
      </w:r>
      <w:r>
        <w:rPr>
          <w:rFonts w:cstheme="minorHAnsi"/>
        </w:rPr>
        <w:t xml:space="preserve">: </w:t>
      </w:r>
      <w:r w:rsidRPr="00811269">
        <w:rPr>
          <w:rFonts w:cstheme="minorHAnsi"/>
        </w:rPr>
        <w:t>control (non-enhanced seed), base pellet</w:t>
      </w:r>
      <w:r>
        <w:rPr>
          <w:rFonts w:cstheme="minorHAnsi"/>
        </w:rPr>
        <w:t xml:space="preserve"> and three topsoil pellets and  six</w:t>
      </w:r>
      <w:r w:rsidRPr="00811269">
        <w:rPr>
          <w:rFonts w:cstheme="minorHAnsi"/>
        </w:rPr>
        <w:t xml:space="preserve"> native </w:t>
      </w:r>
      <w:r>
        <w:rPr>
          <w:rFonts w:cstheme="minorHAnsi"/>
        </w:rPr>
        <w:t xml:space="preserve">plant </w:t>
      </w:r>
      <w:r w:rsidRPr="00811269">
        <w:rPr>
          <w:rFonts w:cstheme="minorHAnsi"/>
        </w:rPr>
        <w:t>species</w:t>
      </w:r>
      <w:r>
        <w:rPr>
          <w:rFonts w:cstheme="minorHAnsi"/>
        </w:rPr>
        <w:t xml:space="preserve"> (S1-S6) randomly arranged. The block (4 x 3.3 m) is divided into 30 nested sub-plots (five treatments x six species).</w:t>
      </w:r>
      <w:r w:rsidRPr="00811269">
        <w:rPr>
          <w:rFonts w:cstheme="minorHAnsi"/>
        </w:rPr>
        <w:t xml:space="preserve"> </w:t>
      </w:r>
      <w:r>
        <w:rPr>
          <w:rFonts w:cstheme="minorHAnsi"/>
        </w:rPr>
        <w:t>The treatment sub-plots were 0.</w:t>
      </w:r>
      <w:r w:rsidRPr="00811269">
        <w:rPr>
          <w:rFonts w:cstheme="minorHAnsi"/>
        </w:rPr>
        <w:t>5</w:t>
      </w:r>
      <w:r>
        <w:rPr>
          <w:rFonts w:cstheme="minorHAnsi"/>
        </w:rPr>
        <w:t xml:space="preserve"> x 0.5 m (with a 0.2</w:t>
      </w:r>
      <w:r w:rsidRPr="00811269">
        <w:rPr>
          <w:rFonts w:cstheme="minorHAnsi"/>
        </w:rPr>
        <w:t xml:space="preserve"> x 0.</w:t>
      </w:r>
      <w:r>
        <w:rPr>
          <w:rFonts w:cstheme="minorHAnsi"/>
        </w:rPr>
        <w:t xml:space="preserve">2 </w:t>
      </w:r>
      <w:r w:rsidRPr="00811269">
        <w:rPr>
          <w:rFonts w:cstheme="minorHAnsi"/>
        </w:rPr>
        <w:t>m buffer between each sub-plot)</w:t>
      </w:r>
      <w:r>
        <w:rPr>
          <w:rFonts w:cstheme="minorHAnsi"/>
        </w:rPr>
        <w:t>,</w:t>
      </w:r>
      <w:r w:rsidRPr="00811269">
        <w:rPr>
          <w:rFonts w:cstheme="minorHAnsi"/>
        </w:rPr>
        <w:t xml:space="preserve"> </w:t>
      </w:r>
      <w:r>
        <w:rPr>
          <w:rFonts w:cstheme="minorHAnsi"/>
        </w:rPr>
        <w:t xml:space="preserve">within each treatment sub-plot, there were 20 units (pellets or non-enhanced seed clustered to mimic the pellet seed density). The blocks were replicated 8 times, giving a total of 240 units/species/treatment  </w:t>
      </w:r>
    </w:p>
    <w:p w14:paraId="04D834BA" w14:textId="77777777" w:rsidR="00F5482F" w:rsidRDefault="00F5482F" w:rsidP="00F5482F">
      <w:pPr>
        <w:pStyle w:val="Caption"/>
        <w:keepNext/>
        <w:spacing w:line="480" w:lineRule="auto"/>
        <w:rPr>
          <w:noProof/>
        </w:rPr>
      </w:pPr>
      <w:r>
        <w:rPr>
          <w:noProof/>
        </w:rPr>
        <w:lastRenderedPageBreak/>
        <w:drawing>
          <wp:anchor distT="0" distB="0" distL="114300" distR="114300" simplePos="0" relativeHeight="251660288" behindDoc="0" locked="0" layoutInCell="1" allowOverlap="1" wp14:anchorId="39FB6A75" wp14:editId="7D2FEE15">
            <wp:simplePos x="0" y="0"/>
            <wp:positionH relativeFrom="column">
              <wp:posOffset>417508</wp:posOffset>
            </wp:positionH>
            <wp:positionV relativeFrom="paragraph">
              <wp:posOffset>161</wp:posOffset>
            </wp:positionV>
            <wp:extent cx="5025224" cy="4101669"/>
            <wp:effectExtent l="0" t="0" r="4445" b="0"/>
            <wp:wrapSquare wrapText="bothSides"/>
            <wp:docPr id="16" name="Picture 16" descr="A picture containing text, diagram, parallel, 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diagram, parallel, line&#10;&#10;Description automatically generated"/>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5025224" cy="4101669"/>
                    </a:xfrm>
                    <a:prstGeom prst="rect">
                      <a:avLst/>
                    </a:prstGeom>
                  </pic:spPr>
                </pic:pic>
              </a:graphicData>
            </a:graphic>
          </wp:anchor>
        </w:drawing>
      </w:r>
    </w:p>
    <w:p w14:paraId="756B76E5" w14:textId="77777777" w:rsidR="00F5482F" w:rsidRDefault="00F5482F" w:rsidP="00F5482F">
      <w:pPr>
        <w:pStyle w:val="Caption"/>
        <w:keepNext/>
        <w:spacing w:line="480" w:lineRule="auto"/>
        <w:rPr>
          <w:rFonts w:cstheme="minorHAnsi"/>
          <w:b/>
          <w:bCs/>
          <w:i w:val="0"/>
          <w:iCs w:val="0"/>
          <w:color w:val="auto"/>
          <w:sz w:val="22"/>
          <w:szCs w:val="22"/>
        </w:rPr>
      </w:pPr>
      <w:r w:rsidRPr="00022342">
        <w:rPr>
          <w:rFonts w:cstheme="minorHAnsi"/>
          <w:b/>
          <w:bCs/>
          <w:i w:val="0"/>
          <w:iCs w:val="0"/>
          <w:color w:val="auto"/>
          <w:sz w:val="22"/>
          <w:szCs w:val="22"/>
        </w:rPr>
        <w:t xml:space="preserve"> </w:t>
      </w:r>
    </w:p>
    <w:p w14:paraId="36BD194A" w14:textId="77777777" w:rsidR="00F5482F" w:rsidRDefault="00F5482F" w:rsidP="00F5482F">
      <w:pPr>
        <w:pStyle w:val="Caption"/>
        <w:keepNext/>
        <w:spacing w:line="480" w:lineRule="auto"/>
        <w:rPr>
          <w:rFonts w:cstheme="minorHAnsi"/>
          <w:b/>
          <w:bCs/>
          <w:i w:val="0"/>
          <w:iCs w:val="0"/>
          <w:color w:val="auto"/>
          <w:sz w:val="22"/>
          <w:szCs w:val="22"/>
        </w:rPr>
      </w:pPr>
    </w:p>
    <w:p w14:paraId="0F800D85" w14:textId="77777777" w:rsidR="00F5482F" w:rsidRDefault="00F5482F" w:rsidP="00F5482F">
      <w:pPr>
        <w:pStyle w:val="Caption"/>
        <w:keepNext/>
        <w:spacing w:line="480" w:lineRule="auto"/>
        <w:rPr>
          <w:rFonts w:cstheme="minorHAnsi"/>
          <w:b/>
          <w:bCs/>
          <w:i w:val="0"/>
          <w:iCs w:val="0"/>
          <w:color w:val="auto"/>
          <w:sz w:val="22"/>
          <w:szCs w:val="22"/>
        </w:rPr>
      </w:pPr>
    </w:p>
    <w:p w14:paraId="3E934E6E" w14:textId="77777777" w:rsidR="00F5482F" w:rsidRDefault="00F5482F" w:rsidP="00F5482F">
      <w:pPr>
        <w:pStyle w:val="Caption"/>
        <w:keepNext/>
        <w:spacing w:line="480" w:lineRule="auto"/>
        <w:rPr>
          <w:rFonts w:cstheme="minorHAnsi"/>
          <w:b/>
          <w:bCs/>
          <w:i w:val="0"/>
          <w:iCs w:val="0"/>
          <w:color w:val="auto"/>
          <w:sz w:val="22"/>
          <w:szCs w:val="22"/>
        </w:rPr>
      </w:pPr>
    </w:p>
    <w:p w14:paraId="3434A4C2" w14:textId="77777777" w:rsidR="00F5482F" w:rsidRDefault="00F5482F" w:rsidP="00F5482F">
      <w:pPr>
        <w:pStyle w:val="Caption"/>
        <w:keepNext/>
        <w:spacing w:line="480" w:lineRule="auto"/>
        <w:rPr>
          <w:rFonts w:cstheme="minorHAnsi"/>
          <w:b/>
          <w:bCs/>
          <w:i w:val="0"/>
          <w:iCs w:val="0"/>
          <w:color w:val="auto"/>
          <w:sz w:val="22"/>
          <w:szCs w:val="22"/>
        </w:rPr>
      </w:pPr>
    </w:p>
    <w:p w14:paraId="62A1754D" w14:textId="77777777" w:rsidR="00F5482F" w:rsidRDefault="00F5482F" w:rsidP="00F5482F">
      <w:pPr>
        <w:pStyle w:val="Caption"/>
        <w:keepNext/>
        <w:spacing w:line="480" w:lineRule="auto"/>
        <w:rPr>
          <w:rFonts w:cstheme="minorHAnsi"/>
          <w:b/>
          <w:bCs/>
          <w:i w:val="0"/>
          <w:iCs w:val="0"/>
          <w:color w:val="auto"/>
          <w:sz w:val="22"/>
          <w:szCs w:val="22"/>
        </w:rPr>
      </w:pPr>
    </w:p>
    <w:p w14:paraId="671DE81B" w14:textId="77777777" w:rsidR="00F5482F" w:rsidRDefault="00F5482F" w:rsidP="00F5482F">
      <w:pPr>
        <w:pStyle w:val="Caption"/>
        <w:keepNext/>
        <w:spacing w:line="480" w:lineRule="auto"/>
        <w:rPr>
          <w:rFonts w:cstheme="minorHAnsi"/>
          <w:b/>
          <w:bCs/>
          <w:i w:val="0"/>
          <w:iCs w:val="0"/>
          <w:color w:val="auto"/>
          <w:sz w:val="22"/>
          <w:szCs w:val="22"/>
        </w:rPr>
      </w:pPr>
    </w:p>
    <w:p w14:paraId="015E4B8C" w14:textId="77777777" w:rsidR="00F5482F" w:rsidRDefault="00F5482F" w:rsidP="00F5482F">
      <w:pPr>
        <w:pStyle w:val="Caption"/>
        <w:keepNext/>
        <w:spacing w:line="480" w:lineRule="auto"/>
        <w:rPr>
          <w:rFonts w:cstheme="minorHAnsi"/>
          <w:b/>
          <w:bCs/>
          <w:i w:val="0"/>
          <w:iCs w:val="0"/>
          <w:color w:val="auto"/>
          <w:sz w:val="22"/>
          <w:szCs w:val="22"/>
        </w:rPr>
      </w:pPr>
    </w:p>
    <w:p w14:paraId="1984F761" w14:textId="77777777" w:rsidR="00F5482F" w:rsidRPr="006750B9" w:rsidRDefault="00F5482F" w:rsidP="00F5482F">
      <w:pPr>
        <w:pStyle w:val="Caption"/>
        <w:keepNext/>
        <w:spacing w:line="480" w:lineRule="auto"/>
        <w:rPr>
          <w:rFonts w:cstheme="minorHAnsi"/>
          <w:i w:val="0"/>
          <w:iCs w:val="0"/>
          <w:color w:val="auto"/>
          <w:sz w:val="22"/>
          <w:szCs w:val="22"/>
        </w:rPr>
      </w:pPr>
      <w:r w:rsidRPr="006750B9">
        <w:rPr>
          <w:rFonts w:cstheme="minorHAnsi"/>
          <w:b/>
          <w:bCs/>
          <w:i w:val="0"/>
          <w:iCs w:val="0"/>
          <w:color w:val="auto"/>
          <w:sz w:val="22"/>
          <w:szCs w:val="22"/>
        </w:rPr>
        <w:t>Fig</w:t>
      </w:r>
      <w:r>
        <w:rPr>
          <w:rFonts w:cstheme="minorHAnsi"/>
          <w:b/>
          <w:bCs/>
          <w:i w:val="0"/>
          <w:iCs w:val="0"/>
          <w:color w:val="auto"/>
          <w:sz w:val="22"/>
          <w:szCs w:val="22"/>
        </w:rPr>
        <w:t xml:space="preserve">. </w:t>
      </w:r>
      <w:r w:rsidRPr="006750B9">
        <w:rPr>
          <w:rFonts w:cstheme="minorHAnsi"/>
          <w:b/>
          <w:bCs/>
          <w:i w:val="0"/>
          <w:iCs w:val="0"/>
          <w:color w:val="auto"/>
          <w:sz w:val="22"/>
          <w:szCs w:val="22"/>
        </w:rPr>
        <w:t>S2.</w:t>
      </w:r>
      <w:r w:rsidRPr="006750B9">
        <w:rPr>
          <w:rFonts w:cstheme="minorHAnsi"/>
          <w:i w:val="0"/>
          <w:iCs w:val="0"/>
          <w:color w:val="auto"/>
          <w:sz w:val="22"/>
          <w:szCs w:val="22"/>
        </w:rPr>
        <w:t xml:space="preserve"> Above ground biomass (g) for </w:t>
      </w:r>
      <w:r w:rsidRPr="006750B9">
        <w:rPr>
          <w:i w:val="0"/>
          <w:iCs w:val="0"/>
          <w:color w:val="auto"/>
          <w:sz w:val="22"/>
          <w:szCs w:val="22"/>
        </w:rPr>
        <w:t>R. caespitosum and C. apiculatum</w:t>
      </w:r>
      <w:r w:rsidRPr="006750B9">
        <w:rPr>
          <w:rFonts w:cstheme="minorHAnsi"/>
          <w:i w:val="0"/>
          <w:iCs w:val="0"/>
          <w:color w:val="auto"/>
          <w:sz w:val="22"/>
          <w:szCs w:val="22"/>
        </w:rPr>
        <w:t xml:space="preserve"> from all SET treatments and </w:t>
      </w:r>
      <w:r w:rsidRPr="006750B9">
        <w:rPr>
          <w:i w:val="0"/>
          <w:iCs w:val="0"/>
          <w:color w:val="auto"/>
          <w:sz w:val="22"/>
          <w:szCs w:val="22"/>
        </w:rPr>
        <w:t>control (non-enhanced seed)</w:t>
      </w:r>
      <w:r w:rsidRPr="006750B9">
        <w:rPr>
          <w:rFonts w:cstheme="minorHAnsi"/>
          <w:i w:val="0"/>
          <w:iCs w:val="0"/>
          <w:color w:val="auto"/>
          <w:sz w:val="22"/>
          <w:szCs w:val="22"/>
        </w:rPr>
        <w:t xml:space="preserve"> showing </w:t>
      </w:r>
      <w:r w:rsidRPr="00022342">
        <w:rPr>
          <w:rFonts w:cstheme="minorHAnsi"/>
          <w:i w:val="0"/>
          <w:iCs w:val="0"/>
          <w:color w:val="auto"/>
          <w:sz w:val="22"/>
          <w:szCs w:val="22"/>
        </w:rPr>
        <w:t>medians with upper and lower quartiles (± SE) for all four species. Significant results indicated with *, p-value &lt; 0.05 = (*), p-value &lt;0.01 = (**), p-value &lt;0.001 = (***)</w:t>
      </w:r>
    </w:p>
    <w:tbl>
      <w:tblPr>
        <w:tblpPr w:leftFromText="180" w:rightFromText="180" w:vertAnchor="text" w:horzAnchor="margin" w:tblpY="1460"/>
        <w:tblW w:w="9664" w:type="dxa"/>
        <w:tblLook w:val="04A0" w:firstRow="1" w:lastRow="0" w:firstColumn="1" w:lastColumn="0" w:noHBand="0" w:noVBand="1"/>
      </w:tblPr>
      <w:tblGrid>
        <w:gridCol w:w="2835"/>
        <w:gridCol w:w="1985"/>
        <w:gridCol w:w="1438"/>
        <w:gridCol w:w="2106"/>
        <w:gridCol w:w="1300"/>
      </w:tblGrid>
      <w:tr w:rsidR="00F5482F" w:rsidRPr="00E942B6" w14:paraId="1DC30294" w14:textId="77777777" w:rsidTr="00D73E0A">
        <w:trPr>
          <w:trHeight w:val="300"/>
        </w:trPr>
        <w:tc>
          <w:tcPr>
            <w:tcW w:w="2835" w:type="dxa"/>
            <w:tcBorders>
              <w:top w:val="single" w:sz="12" w:space="0" w:color="auto"/>
              <w:left w:val="nil"/>
              <w:bottom w:val="single" w:sz="4" w:space="0" w:color="auto"/>
              <w:right w:val="nil"/>
            </w:tcBorders>
            <w:shd w:val="clear" w:color="auto" w:fill="auto"/>
            <w:noWrap/>
            <w:hideMark/>
          </w:tcPr>
          <w:p w14:paraId="1D12FC97"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color w:val="000000"/>
                <w:sz w:val="18"/>
                <w:szCs w:val="18"/>
                <w:lang w:eastAsia="en-AU"/>
              </w:rPr>
              <w:t xml:space="preserve">Species </w:t>
            </w:r>
          </w:p>
        </w:tc>
        <w:tc>
          <w:tcPr>
            <w:tcW w:w="1985" w:type="dxa"/>
            <w:tcBorders>
              <w:top w:val="single" w:sz="12" w:space="0" w:color="auto"/>
              <w:left w:val="nil"/>
              <w:bottom w:val="single" w:sz="4" w:space="0" w:color="auto"/>
              <w:right w:val="nil"/>
            </w:tcBorders>
            <w:shd w:val="clear" w:color="auto" w:fill="auto"/>
            <w:noWrap/>
            <w:hideMark/>
          </w:tcPr>
          <w:p w14:paraId="7C70DC3F"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i/>
                <w:iCs/>
                <w:color w:val="000000"/>
                <w:sz w:val="18"/>
                <w:szCs w:val="18"/>
                <w:lang w:eastAsia="en-AU"/>
              </w:rPr>
              <w:t>Predictors</w:t>
            </w:r>
          </w:p>
        </w:tc>
        <w:tc>
          <w:tcPr>
            <w:tcW w:w="1438" w:type="dxa"/>
            <w:tcBorders>
              <w:top w:val="single" w:sz="12" w:space="0" w:color="auto"/>
              <w:left w:val="nil"/>
              <w:bottom w:val="single" w:sz="4" w:space="0" w:color="auto"/>
              <w:right w:val="nil"/>
            </w:tcBorders>
            <w:shd w:val="clear" w:color="auto" w:fill="auto"/>
            <w:noWrap/>
            <w:hideMark/>
          </w:tcPr>
          <w:p w14:paraId="10BE459A"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i/>
                <w:iCs/>
                <w:color w:val="000000"/>
                <w:sz w:val="18"/>
                <w:szCs w:val="18"/>
                <w:lang w:eastAsia="en-AU"/>
              </w:rPr>
              <w:t>Odds Ratio</w:t>
            </w:r>
          </w:p>
        </w:tc>
        <w:tc>
          <w:tcPr>
            <w:tcW w:w="2106" w:type="dxa"/>
            <w:tcBorders>
              <w:top w:val="single" w:sz="12" w:space="0" w:color="auto"/>
              <w:left w:val="nil"/>
              <w:bottom w:val="single" w:sz="4" w:space="0" w:color="auto"/>
              <w:right w:val="nil"/>
            </w:tcBorders>
            <w:shd w:val="clear" w:color="auto" w:fill="auto"/>
            <w:noWrap/>
            <w:hideMark/>
          </w:tcPr>
          <w:p w14:paraId="6E80E59B"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i/>
                <w:iCs/>
                <w:color w:val="000000"/>
                <w:sz w:val="18"/>
                <w:szCs w:val="18"/>
                <w:lang w:eastAsia="en-AU"/>
              </w:rPr>
              <w:t xml:space="preserve">Confidence intervals </w:t>
            </w:r>
          </w:p>
        </w:tc>
        <w:tc>
          <w:tcPr>
            <w:tcW w:w="1300" w:type="dxa"/>
            <w:tcBorders>
              <w:top w:val="single" w:sz="12" w:space="0" w:color="auto"/>
              <w:left w:val="nil"/>
              <w:bottom w:val="single" w:sz="4" w:space="0" w:color="auto"/>
              <w:right w:val="nil"/>
            </w:tcBorders>
            <w:shd w:val="clear" w:color="auto" w:fill="auto"/>
            <w:noWrap/>
            <w:hideMark/>
          </w:tcPr>
          <w:p w14:paraId="61F56225"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i/>
                <w:iCs/>
                <w:color w:val="000000"/>
                <w:sz w:val="18"/>
                <w:szCs w:val="18"/>
                <w:lang w:eastAsia="en-AU"/>
              </w:rPr>
              <w:t xml:space="preserve">p-value </w:t>
            </w:r>
          </w:p>
        </w:tc>
      </w:tr>
      <w:tr w:rsidR="00F5482F" w:rsidRPr="00E942B6" w14:paraId="2B417D13" w14:textId="77777777" w:rsidTr="00D73E0A">
        <w:trPr>
          <w:trHeight w:val="300"/>
        </w:trPr>
        <w:tc>
          <w:tcPr>
            <w:tcW w:w="2835" w:type="dxa"/>
            <w:tcBorders>
              <w:top w:val="single" w:sz="4" w:space="0" w:color="auto"/>
              <w:left w:val="nil"/>
              <w:bottom w:val="nil"/>
              <w:right w:val="nil"/>
            </w:tcBorders>
            <w:shd w:val="clear" w:color="auto" w:fill="auto"/>
          </w:tcPr>
          <w:p w14:paraId="5D46B923" w14:textId="77777777" w:rsidR="00F5482F" w:rsidRPr="00E942B6" w:rsidRDefault="00F5482F" w:rsidP="00D73E0A">
            <w:pPr>
              <w:spacing w:after="0" w:line="240" w:lineRule="auto"/>
              <w:jc w:val="left"/>
              <w:rPr>
                <w:rFonts w:ascii="Calibri" w:eastAsia="Times New Roman" w:hAnsi="Calibri" w:cs="Calibri"/>
                <w:i/>
                <w:iCs/>
                <w:color w:val="000000"/>
                <w:sz w:val="18"/>
                <w:szCs w:val="18"/>
                <w:lang w:eastAsia="en-AU"/>
              </w:rPr>
            </w:pPr>
            <w:r w:rsidRPr="00E942B6">
              <w:rPr>
                <w:rFonts w:ascii="Calibri" w:eastAsia="Times New Roman" w:hAnsi="Calibri" w:cs="Calibri"/>
                <w:i/>
                <w:iCs/>
                <w:color w:val="000000"/>
                <w:sz w:val="18"/>
                <w:szCs w:val="18"/>
                <w:lang w:eastAsia="en-AU"/>
              </w:rPr>
              <w:t>Chrysocephalum apiculatum</w:t>
            </w:r>
          </w:p>
        </w:tc>
        <w:tc>
          <w:tcPr>
            <w:tcW w:w="1985" w:type="dxa"/>
            <w:tcBorders>
              <w:top w:val="single" w:sz="4" w:space="0" w:color="auto"/>
              <w:left w:val="nil"/>
              <w:bottom w:val="nil"/>
              <w:right w:val="nil"/>
            </w:tcBorders>
            <w:shd w:val="clear" w:color="auto" w:fill="auto"/>
            <w:noWrap/>
          </w:tcPr>
          <w:p w14:paraId="7D395797"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(Intercept)</w:t>
            </w:r>
          </w:p>
        </w:tc>
        <w:tc>
          <w:tcPr>
            <w:tcW w:w="1438" w:type="dxa"/>
            <w:tcBorders>
              <w:top w:val="single" w:sz="4" w:space="0" w:color="auto"/>
              <w:left w:val="nil"/>
              <w:bottom w:val="nil"/>
              <w:right w:val="nil"/>
            </w:tcBorders>
            <w:shd w:val="clear" w:color="auto" w:fill="auto"/>
            <w:noWrap/>
          </w:tcPr>
          <w:p w14:paraId="1BE240EE"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26.83</w:t>
            </w:r>
          </w:p>
        </w:tc>
        <w:tc>
          <w:tcPr>
            <w:tcW w:w="2106" w:type="dxa"/>
            <w:tcBorders>
              <w:top w:val="single" w:sz="4" w:space="0" w:color="auto"/>
              <w:left w:val="nil"/>
              <w:bottom w:val="nil"/>
              <w:right w:val="nil"/>
            </w:tcBorders>
            <w:shd w:val="clear" w:color="auto" w:fill="auto"/>
            <w:noWrap/>
          </w:tcPr>
          <w:p w14:paraId="51E1B4B7"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12.04 – 41.62</w:t>
            </w:r>
          </w:p>
        </w:tc>
        <w:tc>
          <w:tcPr>
            <w:tcW w:w="1300" w:type="dxa"/>
            <w:tcBorders>
              <w:top w:val="single" w:sz="4" w:space="0" w:color="auto"/>
              <w:left w:val="nil"/>
              <w:bottom w:val="nil"/>
              <w:right w:val="nil"/>
            </w:tcBorders>
            <w:shd w:val="clear" w:color="auto" w:fill="auto"/>
            <w:noWrap/>
          </w:tcPr>
          <w:p w14:paraId="5ADEAA8B" w14:textId="77777777" w:rsidR="00F5482F" w:rsidRPr="00E942B6" w:rsidRDefault="00F5482F" w:rsidP="00D73E0A">
            <w:pPr>
              <w:spacing w:after="0" w:line="240" w:lineRule="auto"/>
              <w:jc w:val="left"/>
              <w:rPr>
                <w:rFonts w:ascii="Calibri" w:eastAsia="Times New Roman" w:hAnsi="Calibri" w:cs="Calibri"/>
                <w:b/>
                <w:bCs/>
                <w:sz w:val="18"/>
                <w:szCs w:val="18"/>
                <w:lang w:eastAsia="en-AU"/>
              </w:rPr>
            </w:pPr>
            <w:r w:rsidRPr="00E942B6">
              <w:rPr>
                <w:rStyle w:val="Strong"/>
                <w:sz w:val="18"/>
                <w:szCs w:val="18"/>
              </w:rPr>
              <w:t>0.001**</w:t>
            </w:r>
          </w:p>
        </w:tc>
      </w:tr>
      <w:tr w:rsidR="00F5482F" w:rsidRPr="00E942B6" w14:paraId="30F27AE7" w14:textId="77777777" w:rsidTr="00D73E0A">
        <w:trPr>
          <w:trHeight w:val="300"/>
        </w:trPr>
        <w:tc>
          <w:tcPr>
            <w:tcW w:w="2835" w:type="dxa"/>
            <w:tcBorders>
              <w:top w:val="nil"/>
              <w:left w:val="nil"/>
              <w:bottom w:val="nil"/>
              <w:right w:val="nil"/>
            </w:tcBorders>
            <w:shd w:val="clear" w:color="auto" w:fill="auto"/>
          </w:tcPr>
          <w:p w14:paraId="0A680EEF" w14:textId="77777777" w:rsidR="00F5482F" w:rsidRPr="00E942B6" w:rsidRDefault="00F5482F" w:rsidP="00D73E0A">
            <w:pPr>
              <w:spacing w:after="0" w:line="240" w:lineRule="auto"/>
              <w:jc w:val="left"/>
              <w:rPr>
                <w:rFonts w:ascii="Calibri" w:eastAsia="Times New Roman" w:hAnsi="Calibri" w:cs="Calibri"/>
                <w:i/>
                <w:iCs/>
                <w:color w:val="000000"/>
                <w:sz w:val="18"/>
                <w:szCs w:val="18"/>
                <w:lang w:eastAsia="en-AU"/>
              </w:rPr>
            </w:pPr>
          </w:p>
        </w:tc>
        <w:tc>
          <w:tcPr>
            <w:tcW w:w="1985" w:type="dxa"/>
            <w:tcBorders>
              <w:top w:val="nil"/>
              <w:left w:val="nil"/>
              <w:bottom w:val="nil"/>
              <w:right w:val="nil"/>
            </w:tcBorders>
            <w:shd w:val="clear" w:color="auto" w:fill="auto"/>
            <w:noWrap/>
          </w:tcPr>
          <w:p w14:paraId="55118FCF"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 xml:space="preserve">Base pellet </w:t>
            </w:r>
          </w:p>
        </w:tc>
        <w:tc>
          <w:tcPr>
            <w:tcW w:w="1438" w:type="dxa"/>
            <w:tcBorders>
              <w:top w:val="nil"/>
              <w:left w:val="nil"/>
              <w:bottom w:val="nil"/>
              <w:right w:val="nil"/>
            </w:tcBorders>
            <w:shd w:val="clear" w:color="auto" w:fill="auto"/>
            <w:noWrap/>
          </w:tcPr>
          <w:p w14:paraId="1DC6DFC1"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-4.98</w:t>
            </w:r>
          </w:p>
        </w:tc>
        <w:tc>
          <w:tcPr>
            <w:tcW w:w="2106" w:type="dxa"/>
            <w:tcBorders>
              <w:top w:val="nil"/>
              <w:left w:val="nil"/>
              <w:bottom w:val="nil"/>
              <w:right w:val="nil"/>
            </w:tcBorders>
            <w:shd w:val="clear" w:color="auto" w:fill="auto"/>
            <w:noWrap/>
          </w:tcPr>
          <w:p w14:paraId="7182A3A3"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-25.22 – 15.27</w:t>
            </w:r>
          </w:p>
        </w:tc>
        <w:tc>
          <w:tcPr>
            <w:tcW w:w="1300" w:type="dxa"/>
            <w:tcBorders>
              <w:top w:val="nil"/>
              <w:left w:val="nil"/>
              <w:bottom w:val="nil"/>
              <w:right w:val="nil"/>
            </w:tcBorders>
            <w:shd w:val="clear" w:color="auto" w:fill="auto"/>
            <w:noWrap/>
          </w:tcPr>
          <w:p w14:paraId="3BCC8AB8" w14:textId="77777777" w:rsidR="00F5482F" w:rsidRPr="00E942B6" w:rsidRDefault="00F5482F" w:rsidP="00D73E0A">
            <w:pPr>
              <w:spacing w:after="0" w:line="240" w:lineRule="auto"/>
              <w:jc w:val="left"/>
              <w:rPr>
                <w:rFonts w:ascii="Calibri" w:eastAsia="Times New Roman" w:hAnsi="Calibri" w:cs="Calibri"/>
                <w:b/>
                <w:bCs/>
                <w:sz w:val="18"/>
                <w:szCs w:val="18"/>
                <w:lang w:eastAsia="en-AU"/>
              </w:rPr>
            </w:pPr>
            <w:r w:rsidRPr="00E942B6">
              <w:rPr>
                <w:sz w:val="18"/>
                <w:szCs w:val="18"/>
              </w:rPr>
              <w:t>0.623</w:t>
            </w:r>
          </w:p>
        </w:tc>
      </w:tr>
      <w:tr w:rsidR="00F5482F" w:rsidRPr="00E942B6" w14:paraId="2EF5FEB6" w14:textId="77777777" w:rsidTr="00D73E0A">
        <w:trPr>
          <w:trHeight w:val="300"/>
        </w:trPr>
        <w:tc>
          <w:tcPr>
            <w:tcW w:w="2835" w:type="dxa"/>
            <w:tcBorders>
              <w:top w:val="nil"/>
              <w:left w:val="nil"/>
              <w:bottom w:val="nil"/>
              <w:right w:val="nil"/>
            </w:tcBorders>
            <w:shd w:val="clear" w:color="auto" w:fill="auto"/>
            <w:noWrap/>
          </w:tcPr>
          <w:p w14:paraId="6161C363"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p>
        </w:tc>
        <w:tc>
          <w:tcPr>
            <w:tcW w:w="1985" w:type="dxa"/>
            <w:tcBorders>
              <w:top w:val="nil"/>
              <w:left w:val="nil"/>
              <w:bottom w:val="nil"/>
              <w:right w:val="nil"/>
            </w:tcBorders>
            <w:shd w:val="clear" w:color="auto" w:fill="auto"/>
            <w:noWrap/>
          </w:tcPr>
          <w:p w14:paraId="7E919423"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rFonts w:ascii="Calibri" w:eastAsia="Times New Roman" w:hAnsi="Calibri" w:cs="Calibri"/>
                <w:sz w:val="18"/>
                <w:szCs w:val="18"/>
                <w:lang w:eastAsia="en-AU"/>
              </w:rPr>
              <w:t xml:space="preserve">30% Topsoil pellet </w:t>
            </w:r>
          </w:p>
        </w:tc>
        <w:tc>
          <w:tcPr>
            <w:tcW w:w="1438" w:type="dxa"/>
            <w:tcBorders>
              <w:top w:val="nil"/>
              <w:left w:val="nil"/>
              <w:bottom w:val="nil"/>
              <w:right w:val="nil"/>
            </w:tcBorders>
            <w:shd w:val="clear" w:color="auto" w:fill="auto"/>
            <w:noWrap/>
          </w:tcPr>
          <w:p w14:paraId="31ED077D"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-5.86</w:t>
            </w:r>
          </w:p>
        </w:tc>
        <w:tc>
          <w:tcPr>
            <w:tcW w:w="2106" w:type="dxa"/>
            <w:tcBorders>
              <w:top w:val="nil"/>
              <w:left w:val="nil"/>
              <w:bottom w:val="nil"/>
              <w:right w:val="nil"/>
            </w:tcBorders>
            <w:shd w:val="clear" w:color="auto" w:fill="auto"/>
            <w:noWrap/>
          </w:tcPr>
          <w:p w14:paraId="6D451B27"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-25.62 – 13.91</w:t>
            </w:r>
          </w:p>
        </w:tc>
        <w:tc>
          <w:tcPr>
            <w:tcW w:w="1300" w:type="dxa"/>
            <w:tcBorders>
              <w:top w:val="nil"/>
              <w:left w:val="nil"/>
              <w:bottom w:val="nil"/>
              <w:right w:val="nil"/>
            </w:tcBorders>
            <w:shd w:val="clear" w:color="auto" w:fill="auto"/>
            <w:noWrap/>
          </w:tcPr>
          <w:p w14:paraId="0F2F91B8"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0.554</w:t>
            </w:r>
          </w:p>
        </w:tc>
      </w:tr>
      <w:tr w:rsidR="00F5482F" w:rsidRPr="00E942B6" w14:paraId="6D7682BA" w14:textId="77777777" w:rsidTr="00D73E0A">
        <w:trPr>
          <w:trHeight w:val="300"/>
        </w:trPr>
        <w:tc>
          <w:tcPr>
            <w:tcW w:w="2835" w:type="dxa"/>
            <w:tcBorders>
              <w:top w:val="nil"/>
              <w:left w:val="nil"/>
              <w:bottom w:val="nil"/>
              <w:right w:val="nil"/>
            </w:tcBorders>
            <w:shd w:val="clear" w:color="auto" w:fill="auto"/>
            <w:noWrap/>
          </w:tcPr>
          <w:p w14:paraId="2E394ECE"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p>
        </w:tc>
        <w:tc>
          <w:tcPr>
            <w:tcW w:w="1985" w:type="dxa"/>
            <w:tcBorders>
              <w:top w:val="nil"/>
              <w:left w:val="nil"/>
              <w:bottom w:val="nil"/>
              <w:right w:val="nil"/>
            </w:tcBorders>
            <w:shd w:val="clear" w:color="auto" w:fill="auto"/>
            <w:noWrap/>
          </w:tcPr>
          <w:p w14:paraId="679101A3"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rFonts w:ascii="Calibri" w:eastAsia="Times New Roman" w:hAnsi="Calibri" w:cs="Calibri"/>
                <w:sz w:val="18"/>
                <w:szCs w:val="18"/>
                <w:lang w:eastAsia="en-AU"/>
              </w:rPr>
              <w:t xml:space="preserve">50% Topsoil pellet </w:t>
            </w:r>
          </w:p>
        </w:tc>
        <w:tc>
          <w:tcPr>
            <w:tcW w:w="1438" w:type="dxa"/>
            <w:tcBorders>
              <w:top w:val="nil"/>
              <w:left w:val="nil"/>
              <w:bottom w:val="nil"/>
              <w:right w:val="nil"/>
            </w:tcBorders>
            <w:shd w:val="clear" w:color="auto" w:fill="auto"/>
            <w:noWrap/>
          </w:tcPr>
          <w:p w14:paraId="40F8AB06"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-2.67</w:t>
            </w:r>
          </w:p>
        </w:tc>
        <w:tc>
          <w:tcPr>
            <w:tcW w:w="2106" w:type="dxa"/>
            <w:tcBorders>
              <w:top w:val="nil"/>
              <w:left w:val="nil"/>
              <w:bottom w:val="nil"/>
              <w:right w:val="nil"/>
            </w:tcBorders>
            <w:shd w:val="clear" w:color="auto" w:fill="auto"/>
            <w:noWrap/>
          </w:tcPr>
          <w:p w14:paraId="1EC5D2BC"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-24.23 – 18.89</w:t>
            </w:r>
          </w:p>
        </w:tc>
        <w:tc>
          <w:tcPr>
            <w:tcW w:w="1300" w:type="dxa"/>
            <w:tcBorders>
              <w:top w:val="nil"/>
              <w:left w:val="nil"/>
              <w:bottom w:val="nil"/>
              <w:right w:val="nil"/>
            </w:tcBorders>
            <w:shd w:val="clear" w:color="auto" w:fill="auto"/>
            <w:noWrap/>
          </w:tcPr>
          <w:p w14:paraId="263229B3"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0.804</w:t>
            </w:r>
          </w:p>
        </w:tc>
      </w:tr>
      <w:tr w:rsidR="00F5482F" w:rsidRPr="00E942B6" w14:paraId="38421B77" w14:textId="77777777" w:rsidTr="00D73E0A">
        <w:trPr>
          <w:trHeight w:val="300"/>
        </w:trPr>
        <w:tc>
          <w:tcPr>
            <w:tcW w:w="2835" w:type="dxa"/>
            <w:tcBorders>
              <w:top w:val="nil"/>
              <w:left w:val="nil"/>
              <w:bottom w:val="nil"/>
              <w:right w:val="nil"/>
            </w:tcBorders>
            <w:shd w:val="clear" w:color="auto" w:fill="auto"/>
            <w:noWrap/>
          </w:tcPr>
          <w:p w14:paraId="76821D71"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p>
        </w:tc>
        <w:tc>
          <w:tcPr>
            <w:tcW w:w="1985" w:type="dxa"/>
            <w:tcBorders>
              <w:top w:val="nil"/>
              <w:left w:val="nil"/>
              <w:bottom w:val="nil"/>
              <w:right w:val="nil"/>
            </w:tcBorders>
            <w:shd w:val="clear" w:color="auto" w:fill="auto"/>
            <w:noWrap/>
          </w:tcPr>
          <w:p w14:paraId="78B06C43" w14:textId="77777777" w:rsidR="00F5482F" w:rsidRPr="00E942B6" w:rsidRDefault="00F5482F" w:rsidP="00D73E0A">
            <w:pPr>
              <w:spacing w:after="0" w:line="240" w:lineRule="auto"/>
              <w:jc w:val="left"/>
              <w:rPr>
                <w:sz w:val="18"/>
                <w:szCs w:val="18"/>
              </w:rPr>
            </w:pPr>
            <w:r w:rsidRPr="00E942B6">
              <w:rPr>
                <w:sz w:val="18"/>
                <w:szCs w:val="18"/>
              </w:rPr>
              <w:t>70% Topsoil pellet</w:t>
            </w:r>
          </w:p>
          <w:p w14:paraId="23363C0E"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 xml:space="preserve"> </w:t>
            </w:r>
          </w:p>
        </w:tc>
        <w:tc>
          <w:tcPr>
            <w:tcW w:w="1438" w:type="dxa"/>
            <w:tcBorders>
              <w:top w:val="nil"/>
              <w:left w:val="nil"/>
              <w:bottom w:val="nil"/>
              <w:right w:val="nil"/>
            </w:tcBorders>
            <w:shd w:val="clear" w:color="auto" w:fill="auto"/>
            <w:noWrap/>
          </w:tcPr>
          <w:p w14:paraId="72AAA659"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7.43</w:t>
            </w:r>
          </w:p>
        </w:tc>
        <w:tc>
          <w:tcPr>
            <w:tcW w:w="2106" w:type="dxa"/>
            <w:tcBorders>
              <w:top w:val="nil"/>
              <w:left w:val="nil"/>
              <w:bottom w:val="nil"/>
              <w:right w:val="nil"/>
            </w:tcBorders>
            <w:shd w:val="clear" w:color="auto" w:fill="auto"/>
            <w:noWrap/>
          </w:tcPr>
          <w:p w14:paraId="17BC8631" w14:textId="77777777" w:rsidR="00F5482F" w:rsidRPr="00E942B6" w:rsidRDefault="00F5482F" w:rsidP="00D73E0A">
            <w:pPr>
              <w:spacing w:after="0" w:line="240" w:lineRule="auto"/>
              <w:jc w:val="left"/>
              <w:rPr>
                <w:rFonts w:ascii="Calibri" w:eastAsia="Times New Roman" w:hAnsi="Calibri" w:cs="Calibri"/>
                <w:sz w:val="18"/>
                <w:szCs w:val="18"/>
                <w:lang w:eastAsia="en-AU"/>
              </w:rPr>
            </w:pPr>
            <w:r w:rsidRPr="00E942B6">
              <w:rPr>
                <w:sz w:val="18"/>
                <w:szCs w:val="18"/>
              </w:rPr>
              <w:t>-13.70 – 28.57</w:t>
            </w:r>
          </w:p>
        </w:tc>
        <w:tc>
          <w:tcPr>
            <w:tcW w:w="1300" w:type="dxa"/>
            <w:tcBorders>
              <w:top w:val="nil"/>
              <w:left w:val="nil"/>
              <w:bottom w:val="nil"/>
              <w:right w:val="nil"/>
            </w:tcBorders>
            <w:shd w:val="clear" w:color="auto" w:fill="auto"/>
            <w:noWrap/>
          </w:tcPr>
          <w:p w14:paraId="3674C1F8" w14:textId="77777777" w:rsidR="00F5482F" w:rsidRPr="00E942B6" w:rsidRDefault="00F5482F" w:rsidP="00D73E0A">
            <w:pPr>
              <w:spacing w:after="0" w:line="240" w:lineRule="auto"/>
              <w:jc w:val="left"/>
              <w:rPr>
                <w:rFonts w:ascii="Calibri" w:eastAsia="Times New Roman" w:hAnsi="Calibri" w:cs="Calibri"/>
                <w:b/>
                <w:bCs/>
                <w:sz w:val="18"/>
                <w:szCs w:val="18"/>
                <w:lang w:eastAsia="en-AU"/>
              </w:rPr>
            </w:pPr>
            <w:r w:rsidRPr="00E942B6">
              <w:rPr>
                <w:sz w:val="18"/>
                <w:szCs w:val="18"/>
              </w:rPr>
              <w:t>0.483</w:t>
            </w:r>
          </w:p>
        </w:tc>
      </w:tr>
      <w:tr w:rsidR="00F5482F" w:rsidRPr="00E942B6" w14:paraId="5C4AAFC6" w14:textId="77777777" w:rsidTr="00D73E0A">
        <w:trPr>
          <w:trHeight w:val="300"/>
        </w:trPr>
        <w:tc>
          <w:tcPr>
            <w:tcW w:w="2835" w:type="dxa"/>
            <w:tcBorders>
              <w:top w:val="nil"/>
              <w:left w:val="nil"/>
              <w:bottom w:val="nil"/>
              <w:right w:val="nil"/>
            </w:tcBorders>
            <w:shd w:val="clear" w:color="auto" w:fill="auto"/>
          </w:tcPr>
          <w:p w14:paraId="5B246BEF" w14:textId="77777777" w:rsidR="00F5482F" w:rsidRPr="00E942B6" w:rsidRDefault="00F5482F" w:rsidP="00D73E0A">
            <w:pPr>
              <w:spacing w:after="0" w:line="240" w:lineRule="auto"/>
              <w:jc w:val="left"/>
              <w:rPr>
                <w:rFonts w:ascii="Calibri" w:eastAsia="Times New Roman" w:hAnsi="Calibri" w:cs="Calibri"/>
                <w:i/>
                <w:iCs/>
                <w:color w:val="000000"/>
                <w:sz w:val="18"/>
                <w:szCs w:val="18"/>
                <w:lang w:eastAsia="en-AU"/>
              </w:rPr>
            </w:pPr>
            <w:r w:rsidRPr="00E942B6">
              <w:rPr>
                <w:rFonts w:ascii="Calibri" w:eastAsia="Times New Roman" w:hAnsi="Calibri" w:cs="Calibri"/>
                <w:i/>
                <w:iCs/>
                <w:color w:val="000000"/>
                <w:sz w:val="18"/>
                <w:szCs w:val="18"/>
                <w:lang w:eastAsia="en-AU"/>
              </w:rPr>
              <w:t>Rytidosperma caespitosum</w:t>
            </w:r>
          </w:p>
        </w:tc>
        <w:tc>
          <w:tcPr>
            <w:tcW w:w="1985" w:type="dxa"/>
            <w:tcBorders>
              <w:top w:val="nil"/>
              <w:left w:val="nil"/>
              <w:bottom w:val="nil"/>
              <w:right w:val="nil"/>
            </w:tcBorders>
            <w:shd w:val="clear" w:color="auto" w:fill="auto"/>
            <w:noWrap/>
          </w:tcPr>
          <w:p w14:paraId="1F4DA983"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(Intercept)</w:t>
            </w:r>
          </w:p>
        </w:tc>
        <w:tc>
          <w:tcPr>
            <w:tcW w:w="1438" w:type="dxa"/>
            <w:tcBorders>
              <w:top w:val="nil"/>
              <w:left w:val="nil"/>
              <w:bottom w:val="nil"/>
              <w:right w:val="nil"/>
            </w:tcBorders>
            <w:shd w:val="clear" w:color="auto" w:fill="auto"/>
            <w:noWrap/>
          </w:tcPr>
          <w:p w14:paraId="016CB978"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10.97</w:t>
            </w:r>
          </w:p>
        </w:tc>
        <w:tc>
          <w:tcPr>
            <w:tcW w:w="2106" w:type="dxa"/>
            <w:tcBorders>
              <w:top w:val="nil"/>
              <w:left w:val="nil"/>
              <w:bottom w:val="nil"/>
              <w:right w:val="nil"/>
            </w:tcBorders>
            <w:shd w:val="clear" w:color="auto" w:fill="auto"/>
            <w:noWrap/>
          </w:tcPr>
          <w:p w14:paraId="4313F0E2"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8.11 – 13.83</w:t>
            </w:r>
          </w:p>
        </w:tc>
        <w:tc>
          <w:tcPr>
            <w:tcW w:w="1300" w:type="dxa"/>
            <w:tcBorders>
              <w:top w:val="nil"/>
              <w:left w:val="nil"/>
              <w:bottom w:val="nil"/>
              <w:right w:val="nil"/>
            </w:tcBorders>
            <w:shd w:val="clear" w:color="auto" w:fill="auto"/>
            <w:noWrap/>
          </w:tcPr>
          <w:p w14:paraId="6F0CE218"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r w:rsidRPr="00E942B6">
              <w:rPr>
                <w:rStyle w:val="Strong"/>
                <w:sz w:val="18"/>
                <w:szCs w:val="18"/>
              </w:rPr>
              <w:t>&lt;0.001***</w:t>
            </w:r>
          </w:p>
        </w:tc>
      </w:tr>
      <w:tr w:rsidR="00F5482F" w:rsidRPr="00E942B6" w14:paraId="6A624779" w14:textId="77777777" w:rsidTr="00D73E0A">
        <w:trPr>
          <w:trHeight w:val="300"/>
        </w:trPr>
        <w:tc>
          <w:tcPr>
            <w:tcW w:w="2835" w:type="dxa"/>
            <w:tcBorders>
              <w:top w:val="nil"/>
              <w:left w:val="nil"/>
              <w:bottom w:val="nil"/>
              <w:right w:val="nil"/>
            </w:tcBorders>
            <w:shd w:val="clear" w:color="auto" w:fill="auto"/>
          </w:tcPr>
          <w:p w14:paraId="38461EEA" w14:textId="77777777" w:rsidR="00F5482F" w:rsidRPr="00E942B6" w:rsidRDefault="00F5482F" w:rsidP="00D73E0A">
            <w:pPr>
              <w:spacing w:after="0" w:line="240" w:lineRule="auto"/>
              <w:jc w:val="left"/>
              <w:rPr>
                <w:rFonts w:ascii="Calibri" w:eastAsia="Times New Roman" w:hAnsi="Calibri" w:cs="Calibri"/>
                <w:i/>
                <w:iCs/>
                <w:color w:val="000000"/>
                <w:sz w:val="18"/>
                <w:szCs w:val="18"/>
                <w:lang w:eastAsia="en-AU"/>
              </w:rPr>
            </w:pPr>
          </w:p>
        </w:tc>
        <w:tc>
          <w:tcPr>
            <w:tcW w:w="1985" w:type="dxa"/>
            <w:tcBorders>
              <w:top w:val="nil"/>
              <w:left w:val="nil"/>
              <w:bottom w:val="nil"/>
              <w:right w:val="nil"/>
            </w:tcBorders>
            <w:shd w:val="clear" w:color="auto" w:fill="auto"/>
            <w:noWrap/>
          </w:tcPr>
          <w:p w14:paraId="751CC4A1"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 xml:space="preserve">Base pellet </w:t>
            </w:r>
          </w:p>
        </w:tc>
        <w:tc>
          <w:tcPr>
            <w:tcW w:w="1438" w:type="dxa"/>
            <w:tcBorders>
              <w:top w:val="nil"/>
              <w:left w:val="nil"/>
              <w:bottom w:val="nil"/>
              <w:right w:val="nil"/>
            </w:tcBorders>
            <w:shd w:val="clear" w:color="auto" w:fill="auto"/>
            <w:noWrap/>
          </w:tcPr>
          <w:p w14:paraId="6BB05B95"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-1.53</w:t>
            </w:r>
          </w:p>
        </w:tc>
        <w:tc>
          <w:tcPr>
            <w:tcW w:w="2106" w:type="dxa"/>
            <w:tcBorders>
              <w:top w:val="nil"/>
              <w:left w:val="nil"/>
              <w:bottom w:val="nil"/>
              <w:right w:val="nil"/>
            </w:tcBorders>
            <w:shd w:val="clear" w:color="auto" w:fill="auto"/>
            <w:noWrap/>
          </w:tcPr>
          <w:p w14:paraId="67B65026"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-5.41 – 2.35</w:t>
            </w:r>
          </w:p>
        </w:tc>
        <w:tc>
          <w:tcPr>
            <w:tcW w:w="1300" w:type="dxa"/>
            <w:tcBorders>
              <w:top w:val="nil"/>
              <w:left w:val="nil"/>
              <w:bottom w:val="nil"/>
              <w:right w:val="nil"/>
            </w:tcBorders>
            <w:shd w:val="clear" w:color="auto" w:fill="auto"/>
            <w:noWrap/>
          </w:tcPr>
          <w:p w14:paraId="582DA6BB"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r w:rsidRPr="00E942B6">
              <w:rPr>
                <w:sz w:val="18"/>
                <w:szCs w:val="18"/>
              </w:rPr>
              <w:t>0.437</w:t>
            </w:r>
          </w:p>
        </w:tc>
      </w:tr>
      <w:tr w:rsidR="00F5482F" w:rsidRPr="00E942B6" w14:paraId="4D45D58F" w14:textId="77777777" w:rsidTr="00D73E0A">
        <w:trPr>
          <w:trHeight w:val="300"/>
        </w:trPr>
        <w:tc>
          <w:tcPr>
            <w:tcW w:w="2835" w:type="dxa"/>
            <w:tcBorders>
              <w:top w:val="nil"/>
              <w:left w:val="nil"/>
              <w:bottom w:val="nil"/>
              <w:right w:val="nil"/>
            </w:tcBorders>
            <w:shd w:val="clear" w:color="auto" w:fill="auto"/>
            <w:noWrap/>
          </w:tcPr>
          <w:p w14:paraId="575CCA3E"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p>
        </w:tc>
        <w:tc>
          <w:tcPr>
            <w:tcW w:w="1985" w:type="dxa"/>
            <w:tcBorders>
              <w:top w:val="nil"/>
              <w:left w:val="nil"/>
              <w:bottom w:val="nil"/>
              <w:right w:val="nil"/>
            </w:tcBorders>
            <w:shd w:val="clear" w:color="auto" w:fill="auto"/>
            <w:noWrap/>
          </w:tcPr>
          <w:p w14:paraId="1DC78BD6"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sz w:val="18"/>
                <w:szCs w:val="18"/>
                <w:lang w:eastAsia="en-AU"/>
              </w:rPr>
              <w:t xml:space="preserve">30% Topsoil pellet </w:t>
            </w:r>
          </w:p>
        </w:tc>
        <w:tc>
          <w:tcPr>
            <w:tcW w:w="1438" w:type="dxa"/>
            <w:tcBorders>
              <w:top w:val="nil"/>
              <w:left w:val="nil"/>
              <w:bottom w:val="nil"/>
              <w:right w:val="nil"/>
            </w:tcBorders>
            <w:shd w:val="clear" w:color="auto" w:fill="auto"/>
            <w:noWrap/>
          </w:tcPr>
          <w:p w14:paraId="0B4C4605"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-1.21</w:t>
            </w:r>
          </w:p>
        </w:tc>
        <w:tc>
          <w:tcPr>
            <w:tcW w:w="2106" w:type="dxa"/>
            <w:tcBorders>
              <w:top w:val="nil"/>
              <w:left w:val="nil"/>
              <w:bottom w:val="nil"/>
              <w:right w:val="nil"/>
            </w:tcBorders>
            <w:shd w:val="clear" w:color="auto" w:fill="auto"/>
            <w:noWrap/>
          </w:tcPr>
          <w:p w14:paraId="0826E6EA"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-5.09 – 2.67</w:t>
            </w:r>
          </w:p>
        </w:tc>
        <w:tc>
          <w:tcPr>
            <w:tcW w:w="1300" w:type="dxa"/>
            <w:tcBorders>
              <w:top w:val="nil"/>
              <w:left w:val="nil"/>
              <w:bottom w:val="nil"/>
              <w:right w:val="nil"/>
            </w:tcBorders>
            <w:shd w:val="clear" w:color="auto" w:fill="auto"/>
            <w:noWrap/>
          </w:tcPr>
          <w:p w14:paraId="57756238"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r w:rsidRPr="00E942B6">
              <w:rPr>
                <w:sz w:val="18"/>
                <w:szCs w:val="18"/>
              </w:rPr>
              <w:t>0.537</w:t>
            </w:r>
          </w:p>
        </w:tc>
      </w:tr>
      <w:tr w:rsidR="00F5482F" w:rsidRPr="00E942B6" w14:paraId="67E00F81" w14:textId="77777777" w:rsidTr="00D73E0A">
        <w:trPr>
          <w:trHeight w:val="300"/>
        </w:trPr>
        <w:tc>
          <w:tcPr>
            <w:tcW w:w="2835" w:type="dxa"/>
            <w:tcBorders>
              <w:top w:val="nil"/>
              <w:left w:val="nil"/>
              <w:right w:val="nil"/>
            </w:tcBorders>
            <w:shd w:val="clear" w:color="auto" w:fill="auto"/>
            <w:noWrap/>
          </w:tcPr>
          <w:p w14:paraId="0B1EB947"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p>
        </w:tc>
        <w:tc>
          <w:tcPr>
            <w:tcW w:w="1985" w:type="dxa"/>
            <w:tcBorders>
              <w:top w:val="nil"/>
              <w:left w:val="nil"/>
              <w:right w:val="nil"/>
            </w:tcBorders>
            <w:shd w:val="clear" w:color="auto" w:fill="auto"/>
            <w:noWrap/>
          </w:tcPr>
          <w:p w14:paraId="34B6829B"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rFonts w:ascii="Calibri" w:eastAsia="Times New Roman" w:hAnsi="Calibri" w:cs="Calibri"/>
                <w:sz w:val="18"/>
                <w:szCs w:val="18"/>
                <w:lang w:eastAsia="en-AU"/>
              </w:rPr>
              <w:t xml:space="preserve">50% Topsoil pellet </w:t>
            </w:r>
          </w:p>
        </w:tc>
        <w:tc>
          <w:tcPr>
            <w:tcW w:w="1438" w:type="dxa"/>
            <w:tcBorders>
              <w:top w:val="nil"/>
              <w:left w:val="nil"/>
              <w:right w:val="nil"/>
            </w:tcBorders>
            <w:shd w:val="clear" w:color="auto" w:fill="auto"/>
            <w:noWrap/>
          </w:tcPr>
          <w:p w14:paraId="58BD356C"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3.44</w:t>
            </w:r>
          </w:p>
        </w:tc>
        <w:tc>
          <w:tcPr>
            <w:tcW w:w="2106" w:type="dxa"/>
            <w:tcBorders>
              <w:top w:val="nil"/>
              <w:left w:val="nil"/>
              <w:right w:val="nil"/>
            </w:tcBorders>
            <w:shd w:val="clear" w:color="auto" w:fill="auto"/>
            <w:noWrap/>
          </w:tcPr>
          <w:p w14:paraId="6DB74427"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-0.53 – 7.42</w:t>
            </w:r>
          </w:p>
        </w:tc>
        <w:tc>
          <w:tcPr>
            <w:tcW w:w="1300" w:type="dxa"/>
            <w:tcBorders>
              <w:top w:val="nil"/>
              <w:left w:val="nil"/>
              <w:right w:val="nil"/>
            </w:tcBorders>
            <w:shd w:val="clear" w:color="auto" w:fill="auto"/>
            <w:noWrap/>
          </w:tcPr>
          <w:p w14:paraId="2ABE76CB"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r w:rsidRPr="00E942B6">
              <w:rPr>
                <w:sz w:val="18"/>
                <w:szCs w:val="18"/>
              </w:rPr>
              <w:t>0.089</w:t>
            </w:r>
          </w:p>
        </w:tc>
      </w:tr>
      <w:tr w:rsidR="00F5482F" w:rsidRPr="00E942B6" w14:paraId="18D538A7" w14:textId="77777777" w:rsidTr="00D73E0A">
        <w:trPr>
          <w:trHeight w:val="300"/>
        </w:trPr>
        <w:tc>
          <w:tcPr>
            <w:tcW w:w="2835" w:type="dxa"/>
            <w:tcBorders>
              <w:top w:val="nil"/>
              <w:left w:val="nil"/>
              <w:bottom w:val="single" w:sz="12" w:space="0" w:color="auto"/>
              <w:right w:val="nil"/>
            </w:tcBorders>
            <w:shd w:val="clear" w:color="auto" w:fill="auto"/>
            <w:noWrap/>
          </w:tcPr>
          <w:p w14:paraId="19BFA5D3" w14:textId="77777777" w:rsidR="00F5482F" w:rsidRPr="00E942B6" w:rsidRDefault="00F5482F" w:rsidP="00D73E0A">
            <w:pPr>
              <w:spacing w:after="0" w:line="240" w:lineRule="auto"/>
              <w:jc w:val="left"/>
              <w:rPr>
                <w:rFonts w:ascii="Calibri" w:eastAsia="Times New Roman" w:hAnsi="Calibri" w:cs="Calibri"/>
                <w:b/>
                <w:bCs/>
                <w:color w:val="000000"/>
                <w:sz w:val="18"/>
                <w:szCs w:val="18"/>
                <w:lang w:eastAsia="en-AU"/>
              </w:rPr>
            </w:pPr>
          </w:p>
        </w:tc>
        <w:tc>
          <w:tcPr>
            <w:tcW w:w="1985" w:type="dxa"/>
            <w:tcBorders>
              <w:top w:val="nil"/>
              <w:left w:val="nil"/>
              <w:bottom w:val="single" w:sz="12" w:space="0" w:color="auto"/>
              <w:right w:val="nil"/>
            </w:tcBorders>
            <w:shd w:val="clear" w:color="auto" w:fill="auto"/>
            <w:noWrap/>
          </w:tcPr>
          <w:p w14:paraId="684960F3"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 xml:space="preserve">70% Topsoil pellet </w:t>
            </w:r>
          </w:p>
        </w:tc>
        <w:tc>
          <w:tcPr>
            <w:tcW w:w="1438" w:type="dxa"/>
            <w:tcBorders>
              <w:top w:val="nil"/>
              <w:left w:val="nil"/>
              <w:bottom w:val="single" w:sz="12" w:space="0" w:color="auto"/>
              <w:right w:val="nil"/>
            </w:tcBorders>
            <w:shd w:val="clear" w:color="auto" w:fill="auto"/>
            <w:noWrap/>
          </w:tcPr>
          <w:p w14:paraId="62192730"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2.08</w:t>
            </w:r>
          </w:p>
        </w:tc>
        <w:tc>
          <w:tcPr>
            <w:tcW w:w="2106" w:type="dxa"/>
            <w:tcBorders>
              <w:top w:val="nil"/>
              <w:left w:val="nil"/>
              <w:bottom w:val="single" w:sz="12" w:space="0" w:color="auto"/>
              <w:right w:val="nil"/>
            </w:tcBorders>
            <w:shd w:val="clear" w:color="auto" w:fill="auto"/>
            <w:noWrap/>
          </w:tcPr>
          <w:p w14:paraId="7A013F44"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-1.96 – 6.11</w:t>
            </w:r>
          </w:p>
        </w:tc>
        <w:tc>
          <w:tcPr>
            <w:tcW w:w="1300" w:type="dxa"/>
            <w:tcBorders>
              <w:top w:val="nil"/>
              <w:left w:val="nil"/>
              <w:bottom w:val="single" w:sz="12" w:space="0" w:color="auto"/>
              <w:right w:val="nil"/>
            </w:tcBorders>
            <w:shd w:val="clear" w:color="auto" w:fill="auto"/>
            <w:noWrap/>
          </w:tcPr>
          <w:p w14:paraId="1CE503F3" w14:textId="77777777" w:rsidR="00F5482F" w:rsidRPr="00E942B6" w:rsidRDefault="00F5482F" w:rsidP="00D73E0A">
            <w:pPr>
              <w:spacing w:after="0" w:line="240" w:lineRule="auto"/>
              <w:jc w:val="left"/>
              <w:rPr>
                <w:rFonts w:ascii="Calibri" w:eastAsia="Times New Roman" w:hAnsi="Calibri" w:cs="Calibri"/>
                <w:color w:val="000000"/>
                <w:sz w:val="18"/>
                <w:szCs w:val="18"/>
                <w:lang w:eastAsia="en-AU"/>
              </w:rPr>
            </w:pPr>
            <w:r w:rsidRPr="00E942B6">
              <w:rPr>
                <w:sz w:val="18"/>
                <w:szCs w:val="18"/>
              </w:rPr>
              <w:t>0.310</w:t>
            </w:r>
          </w:p>
        </w:tc>
      </w:tr>
    </w:tbl>
    <w:p w14:paraId="46EB1B0F" w14:textId="77777777" w:rsidR="00F5482F" w:rsidRPr="00022342" w:rsidRDefault="00F5482F" w:rsidP="00F5482F">
      <w:pPr>
        <w:pStyle w:val="Caption"/>
        <w:keepNext/>
        <w:spacing w:line="480" w:lineRule="auto"/>
        <w:rPr>
          <w:i w:val="0"/>
          <w:color w:val="auto"/>
          <w:sz w:val="22"/>
          <w:szCs w:val="20"/>
        </w:rPr>
      </w:pPr>
      <w:r w:rsidRPr="00022342">
        <w:rPr>
          <w:b/>
          <w:bCs/>
          <w:i w:val="0"/>
          <w:color w:val="auto"/>
          <w:sz w:val="22"/>
          <w:szCs w:val="20"/>
        </w:rPr>
        <w:t xml:space="preserve">Table </w:t>
      </w:r>
      <w:r>
        <w:rPr>
          <w:b/>
          <w:bCs/>
          <w:i w:val="0"/>
          <w:color w:val="auto"/>
          <w:sz w:val="22"/>
          <w:szCs w:val="20"/>
        </w:rPr>
        <w:t>S1</w:t>
      </w:r>
      <w:r w:rsidRPr="00022342">
        <w:rPr>
          <w:b/>
          <w:bCs/>
          <w:i w:val="0"/>
          <w:color w:val="auto"/>
          <w:sz w:val="22"/>
          <w:szCs w:val="20"/>
        </w:rPr>
        <w:t xml:space="preserve"> </w:t>
      </w:r>
      <w:r w:rsidRPr="00022342">
        <w:rPr>
          <w:i w:val="0"/>
          <w:color w:val="auto"/>
          <w:sz w:val="22"/>
          <w:szCs w:val="20"/>
        </w:rPr>
        <w:t xml:space="preserve">Summary table of LMM analysis for </w:t>
      </w:r>
      <w:r>
        <w:rPr>
          <w:i w:val="0"/>
          <w:color w:val="auto"/>
          <w:sz w:val="22"/>
          <w:szCs w:val="20"/>
        </w:rPr>
        <w:t>aboveground biomass</w:t>
      </w:r>
      <w:r w:rsidRPr="00022342">
        <w:rPr>
          <w:i w:val="0"/>
          <w:color w:val="auto"/>
          <w:sz w:val="22"/>
          <w:szCs w:val="20"/>
        </w:rPr>
        <w:t xml:space="preserve"> for </w:t>
      </w:r>
      <w:r w:rsidRPr="00022342">
        <w:rPr>
          <w:iCs w:val="0"/>
          <w:color w:val="auto"/>
          <w:sz w:val="22"/>
          <w:szCs w:val="20"/>
        </w:rPr>
        <w:t xml:space="preserve">R. </w:t>
      </w:r>
      <w:r w:rsidRPr="00A36C90">
        <w:rPr>
          <w:iCs w:val="0"/>
          <w:color w:val="auto"/>
          <w:sz w:val="22"/>
          <w:szCs w:val="20"/>
        </w:rPr>
        <w:t xml:space="preserve">caespitosum </w:t>
      </w:r>
      <w:r w:rsidRPr="00955E88">
        <w:rPr>
          <w:i w:val="0"/>
          <w:color w:val="auto"/>
          <w:sz w:val="22"/>
          <w:szCs w:val="20"/>
        </w:rPr>
        <w:t>a</w:t>
      </w:r>
      <w:r>
        <w:rPr>
          <w:i w:val="0"/>
          <w:color w:val="auto"/>
          <w:sz w:val="22"/>
          <w:szCs w:val="20"/>
        </w:rPr>
        <w:t xml:space="preserve">nd </w:t>
      </w:r>
      <w:r w:rsidRPr="00022342">
        <w:rPr>
          <w:iCs w:val="0"/>
          <w:color w:val="auto"/>
          <w:sz w:val="22"/>
          <w:szCs w:val="20"/>
        </w:rPr>
        <w:t xml:space="preserve">C. apiculatum </w:t>
      </w:r>
      <w:r w:rsidRPr="00022342">
        <w:rPr>
          <w:i w:val="0"/>
          <w:color w:val="auto"/>
          <w:sz w:val="22"/>
          <w:szCs w:val="20"/>
        </w:rPr>
        <w:t xml:space="preserve">in all SET treatments </w:t>
      </w:r>
      <w:r w:rsidRPr="006750B9">
        <w:rPr>
          <w:i w:val="0"/>
          <w:color w:val="auto"/>
          <w:sz w:val="22"/>
          <w:szCs w:val="22"/>
        </w:rPr>
        <w:t>and control (non-enhanced seed). Significant</w:t>
      </w:r>
      <w:r w:rsidRPr="006750B9">
        <w:rPr>
          <w:i w:val="0"/>
          <w:color w:val="auto"/>
          <w:sz w:val="22"/>
          <w:szCs w:val="20"/>
        </w:rPr>
        <w:t xml:space="preserve"> </w:t>
      </w:r>
      <w:r w:rsidRPr="00022342">
        <w:rPr>
          <w:i w:val="0"/>
          <w:color w:val="auto"/>
          <w:sz w:val="22"/>
          <w:szCs w:val="20"/>
        </w:rPr>
        <w:t>results indicated with *, p-value &lt; 0.05 = (*), p-value &lt;0.01 = (**), p-value &lt;0.001 = (***)</w:t>
      </w:r>
    </w:p>
    <w:p w14:paraId="4479F7B9" w14:textId="77777777" w:rsidR="00F5482F" w:rsidRDefault="00F5482F" w:rsidP="00F5482F"/>
    <w:p w14:paraId="162155EB" w14:textId="77777777" w:rsidR="00F5482F" w:rsidRPr="006D4CB8" w:rsidRDefault="00F5482F" w:rsidP="00F5482F">
      <w:pPr>
        <w:rPr>
          <w:b/>
          <w:bCs/>
          <w:sz w:val="24"/>
          <w:szCs w:val="24"/>
        </w:rPr>
      </w:pPr>
      <w:r w:rsidRPr="006D4CB8">
        <w:rPr>
          <w:b/>
          <w:bCs/>
          <w:sz w:val="24"/>
          <w:szCs w:val="24"/>
        </w:rPr>
        <w:lastRenderedPageBreak/>
        <w:t xml:space="preserve">Appendix </w:t>
      </w:r>
      <w:r>
        <w:rPr>
          <w:b/>
          <w:bCs/>
          <w:sz w:val="24"/>
          <w:szCs w:val="24"/>
        </w:rPr>
        <w:t>S1</w:t>
      </w:r>
    </w:p>
    <w:p w14:paraId="17E9C674" w14:textId="0EB8630C" w:rsidR="00F5482F" w:rsidRDefault="00F5482F" w:rsidP="00F5482F">
      <w:pPr>
        <w:spacing w:line="480" w:lineRule="auto"/>
        <w:rPr>
          <w:rFonts w:cstheme="minorHAnsi"/>
          <w:b/>
        </w:rPr>
      </w:pPr>
      <w:r w:rsidRPr="006D4CB8">
        <w:rPr>
          <w:rFonts w:cstheme="minorHAnsi"/>
          <w:b/>
        </w:rPr>
        <w:t>Pilot study</w:t>
      </w:r>
    </w:p>
    <w:p w14:paraId="25DE51ED" w14:textId="39DB2C5A" w:rsidR="00F5482F" w:rsidRPr="006D4CB8" w:rsidRDefault="00F5482F" w:rsidP="00F5482F">
      <w:pPr>
        <w:spacing w:line="480" w:lineRule="auto"/>
        <w:rPr>
          <w:rFonts w:cstheme="minorHAnsi"/>
        </w:rPr>
      </w:pPr>
      <w:r>
        <w:rPr>
          <w:rFonts w:cstheme="minorHAnsi"/>
        </w:rPr>
        <w:t>A pilot study was conducted to determine the best recipes for the field trial. We</w:t>
      </w:r>
      <w:r w:rsidRPr="006D4CB8">
        <w:rPr>
          <w:rFonts w:cstheme="minorHAnsi"/>
        </w:rPr>
        <w:t xml:space="preserve"> us</w:t>
      </w:r>
      <w:r>
        <w:rPr>
          <w:rFonts w:cstheme="minorHAnsi"/>
        </w:rPr>
        <w:t>ed</w:t>
      </w:r>
      <w:r w:rsidRPr="006D4CB8">
        <w:rPr>
          <w:rFonts w:cstheme="minorHAnsi"/>
        </w:rPr>
        <w:t xml:space="preserve"> four different recipes </w:t>
      </w:r>
      <w:r>
        <w:rPr>
          <w:rFonts w:cstheme="minorHAnsi"/>
        </w:rPr>
        <w:t xml:space="preserve">varying the </w:t>
      </w:r>
      <w:r w:rsidRPr="006D4CB8">
        <w:rPr>
          <w:rFonts w:cstheme="minorHAnsi"/>
        </w:rPr>
        <w:t xml:space="preserve">proportions of ingredients (outlined in Table 1) to determine an </w:t>
      </w:r>
      <w:r>
        <w:rPr>
          <w:rFonts w:cstheme="minorHAnsi"/>
        </w:rPr>
        <w:t xml:space="preserve">optimal </w:t>
      </w:r>
      <w:r w:rsidRPr="006D4CB8">
        <w:rPr>
          <w:rFonts w:cstheme="minorHAnsi"/>
        </w:rPr>
        <w:t>ingredient combination that maintain</w:t>
      </w:r>
      <w:r>
        <w:rPr>
          <w:rFonts w:cstheme="minorHAnsi"/>
        </w:rPr>
        <w:t>ed</w:t>
      </w:r>
      <w:r w:rsidRPr="006D4CB8">
        <w:rPr>
          <w:rFonts w:cstheme="minorHAnsi"/>
        </w:rPr>
        <w:t xml:space="preserve"> the pellet’s structural integrity during transport and deployment </w:t>
      </w:r>
      <w:r>
        <w:rPr>
          <w:rFonts w:cstheme="minorHAnsi"/>
        </w:rPr>
        <w:t>while</w:t>
      </w:r>
      <w:r w:rsidRPr="006D4CB8">
        <w:rPr>
          <w:rFonts w:cstheme="minorHAnsi"/>
        </w:rPr>
        <w:t xml:space="preserve"> rapidly dissolv</w:t>
      </w:r>
      <w:r>
        <w:rPr>
          <w:rFonts w:cstheme="minorHAnsi"/>
        </w:rPr>
        <w:t>ing</w:t>
      </w:r>
      <w:r w:rsidRPr="006D4CB8">
        <w:rPr>
          <w:rFonts w:cstheme="minorHAnsi"/>
        </w:rPr>
        <w:t xml:space="preserve"> to integrate into the soil profile</w:t>
      </w:r>
      <w:r>
        <w:rPr>
          <w:rFonts w:cstheme="minorHAnsi"/>
        </w:rPr>
        <w:t xml:space="preserve"> </w:t>
      </w:r>
      <w:r>
        <w:rPr>
          <w:rFonts w:cstheme="minorHAnsi"/>
        </w:rPr>
        <w:fldChar w:fldCharType="begin"/>
      </w:r>
      <w:r>
        <w:rPr>
          <w:rFonts w:cstheme="minorHAnsi"/>
        </w:rPr>
        <w:instrText xml:space="preserve"> ADDIN EN.CITE &lt;EndNote&gt;&lt;Cite&gt;&lt;Author&gt;Madsen&lt;/Author&gt;&lt;Year&gt;2016&lt;/Year&gt;&lt;RecNum&gt;45&lt;/RecNum&gt;&lt;DisplayText&gt;(Madsen et al. 2016)&lt;/DisplayText&gt;&lt;record&gt;&lt;rec-number&gt;45&lt;/rec-number&gt;&lt;foreign-keys&gt;&lt;key app="EN" db-id="vd9d0wf0p22arpee2t4pvts6sr2a2ddea0ve" timestamp="1591928444"&gt;45&lt;/key&gt;&lt;/foreign-keys&gt;&lt;ref-type name="Journal Article"&gt;17&lt;/ref-type&gt;&lt;contributors&gt;&lt;authors&gt;&lt;author&gt;Madsen, Matthew&lt;/author&gt;&lt;author&gt;Hulet, April&lt;/author&gt;&lt;author&gt;Phillips, K.&lt;/author&gt;&lt;author&gt;Staley, J.&lt;/author&gt;&lt;author&gt;Davies, Kirk&lt;/author&gt;&lt;author&gt;Svejcar, Tony&lt;/author&gt;&lt;/authors&gt;&lt;/contributors&gt;&lt;titles&gt;&lt;title&gt;Extruded seed pellets: a novel approach for enhancing sagebrush seedling emergence&lt;/title&gt;&lt;secondary-title&gt;Native Plants Journal&lt;/secondary-title&gt;&lt;/titles&gt;&lt;periodical&gt;&lt;full-title&gt;Native Plants Journal&lt;/full-title&gt;&lt;/periodical&gt;&lt;pages&gt;230-243&lt;/pages&gt;&lt;volume&gt;17&lt;/volume&gt;&lt;dates&gt;&lt;year&gt;2016&lt;/year&gt;&lt;pub-dates&gt;&lt;date&gt;09/01&lt;/date&gt;&lt;/pub-dates&gt;&lt;/dates&gt;&lt;urls&gt;&lt;/urls&gt;&lt;electronic-resource-num&gt;10.3368/npj.17.3.230&lt;/electronic-resource-num&gt;&lt;/record&gt;&lt;/Cite&gt;&lt;/EndNote&gt;</w:instrText>
      </w:r>
      <w:r>
        <w:rPr>
          <w:rFonts w:cstheme="minorHAnsi"/>
        </w:rPr>
        <w:fldChar w:fldCharType="separate"/>
      </w:r>
      <w:r>
        <w:rPr>
          <w:rFonts w:cstheme="minorHAnsi"/>
          <w:noProof/>
        </w:rPr>
        <w:t>(Madsen et al. 2016)</w:t>
      </w:r>
      <w:r>
        <w:rPr>
          <w:rFonts w:cstheme="minorHAnsi"/>
        </w:rPr>
        <w:fldChar w:fldCharType="end"/>
      </w:r>
      <w:r>
        <w:rPr>
          <w:rFonts w:cstheme="minorHAnsi"/>
        </w:rPr>
        <w:t>.</w:t>
      </w:r>
      <w:r w:rsidRPr="006D4CB8">
        <w:rPr>
          <w:rFonts w:cstheme="minorHAnsi"/>
        </w:rPr>
        <w:t xml:space="preserve"> </w:t>
      </w:r>
      <w:r w:rsidRPr="006D4CB8">
        <w:rPr>
          <w:rFonts w:eastAsia="Times New Roman" w:cstheme="minorHAnsi"/>
          <w:lang w:eastAsia="en-AU"/>
        </w:rPr>
        <w:t>Topsoil samples were collected from a reference site containing remnant native vegetation located approximately 500 m from the study site. The topsoil was sieved through a 2 mm sieve to remove larger seeds and coarse organic material. Pellets were produced by combining ingredients (detailed in Table 1) with water into a slurry/paste</w:t>
      </w:r>
      <w:r>
        <w:rPr>
          <w:rFonts w:eastAsia="Times New Roman" w:cstheme="minorHAnsi"/>
          <w:lang w:eastAsia="en-AU"/>
        </w:rPr>
        <w:t>,</w:t>
      </w:r>
      <w:r w:rsidRPr="006D4CB8">
        <w:rPr>
          <w:rFonts w:eastAsia="Times New Roman" w:cstheme="minorHAnsi"/>
          <w:lang w:eastAsia="en-AU"/>
        </w:rPr>
        <w:t xml:space="preserve"> poured into moulds</w:t>
      </w:r>
      <w:r>
        <w:rPr>
          <w:rFonts w:eastAsia="Times New Roman" w:cstheme="minorHAnsi"/>
          <w:lang w:eastAsia="en-AU"/>
        </w:rPr>
        <w:t xml:space="preserve"> (each unit 35 x 35mm), and s</w:t>
      </w:r>
      <w:r w:rsidRPr="006D4CB8">
        <w:rPr>
          <w:rFonts w:eastAsia="Times New Roman" w:cstheme="minorHAnsi"/>
          <w:lang w:eastAsia="en-AU"/>
        </w:rPr>
        <w:t xml:space="preserve">eeds were then pushed into the moulds to position </w:t>
      </w:r>
      <w:r>
        <w:rPr>
          <w:rFonts w:eastAsia="Times New Roman" w:cstheme="minorHAnsi"/>
          <w:lang w:eastAsia="en-AU"/>
        </w:rPr>
        <w:t xml:space="preserve">them </w:t>
      </w:r>
      <w:r w:rsidRPr="006D4CB8">
        <w:rPr>
          <w:rFonts w:eastAsia="Times New Roman" w:cstheme="minorHAnsi"/>
          <w:lang w:eastAsia="en-AU"/>
        </w:rPr>
        <w:t>in the centre of the pellet</w:t>
      </w:r>
      <w:r>
        <w:rPr>
          <w:rFonts w:eastAsia="Times New Roman" w:cstheme="minorHAnsi"/>
          <w:lang w:eastAsia="en-AU"/>
        </w:rPr>
        <w:t>. Finally</w:t>
      </w:r>
      <w:r w:rsidRPr="006D4CB8">
        <w:rPr>
          <w:rFonts w:eastAsia="Times New Roman" w:cstheme="minorHAnsi"/>
          <w:lang w:eastAsia="en-AU"/>
        </w:rPr>
        <w:t xml:space="preserve">, </w:t>
      </w:r>
      <w:r>
        <w:rPr>
          <w:rFonts w:eastAsia="Times New Roman" w:cstheme="minorHAnsi"/>
          <w:lang w:eastAsia="en-AU"/>
        </w:rPr>
        <w:t>p</w:t>
      </w:r>
      <w:r w:rsidRPr="006D4CB8">
        <w:rPr>
          <w:rFonts w:eastAsia="Times New Roman" w:cstheme="minorHAnsi"/>
          <w:lang w:eastAsia="en-AU"/>
        </w:rPr>
        <w:t xml:space="preserve">ellets were left to air dry. </w:t>
      </w:r>
    </w:p>
    <w:p w14:paraId="07FE0721" w14:textId="77777777" w:rsidR="00F5482F" w:rsidRPr="006D4CB8" w:rsidRDefault="00F5482F" w:rsidP="00F5482F">
      <w:pPr>
        <w:spacing w:after="0" w:line="480" w:lineRule="auto"/>
        <w:rPr>
          <w:rFonts w:cstheme="minorHAnsi"/>
        </w:rPr>
      </w:pPr>
      <w:r w:rsidRPr="006D4CB8">
        <w:rPr>
          <w:rFonts w:cstheme="minorHAnsi"/>
          <w:b/>
          <w:bCs/>
        </w:rPr>
        <w:t>Table 1</w:t>
      </w:r>
      <w:r w:rsidRPr="006D4CB8">
        <w:rPr>
          <w:rFonts w:cstheme="minorHAnsi"/>
        </w:rPr>
        <w:t xml:space="preserve"> Pellet recipes containing commercially available ingredient (Calcium bentonite, diatomaceous earth, and sand) and locally sourced topsoil used during the pilot study conducted under field conditions at Wirraminna Environmental Education Centre, New South Wales</w:t>
      </w:r>
    </w:p>
    <w:tbl>
      <w:tblPr>
        <w:tblpPr w:leftFromText="180" w:rightFromText="180" w:vertAnchor="text" w:horzAnchor="page" w:tblpX="2290" w:tblpY="194"/>
        <w:tblW w:w="7371" w:type="dxa"/>
        <w:tblBorders>
          <w:bottom w:val="single" w:sz="4" w:space="0" w:color="auto"/>
        </w:tblBorders>
        <w:shd w:val="clear" w:color="auto" w:fill="FFFFFF"/>
        <w:tblLayout w:type="fixed"/>
        <w:tblCellMar>
          <w:left w:w="0" w:type="dxa"/>
          <w:right w:w="0" w:type="dxa"/>
        </w:tblCellMar>
        <w:tblLook w:val="04A0" w:firstRow="1" w:lastRow="0" w:firstColumn="1" w:lastColumn="0" w:noHBand="0" w:noVBand="1"/>
      </w:tblPr>
      <w:tblGrid>
        <w:gridCol w:w="2690"/>
        <w:gridCol w:w="1273"/>
        <w:gridCol w:w="1134"/>
        <w:gridCol w:w="1134"/>
        <w:gridCol w:w="1140"/>
      </w:tblGrid>
      <w:tr w:rsidR="00F5482F" w:rsidRPr="006D4CB8" w14:paraId="307B8585" w14:textId="77777777" w:rsidTr="00D73E0A">
        <w:trPr>
          <w:trHeight w:val="340"/>
        </w:trPr>
        <w:tc>
          <w:tcPr>
            <w:tcW w:w="2690" w:type="dxa"/>
            <w:tcBorders>
              <w:top w:val="single" w:sz="12" w:space="0" w:color="auto"/>
              <w:left w:val="nil"/>
              <w:bottom w:val="single" w:sz="8" w:space="0" w:color="auto"/>
              <w:right w:val="single" w:sz="8" w:space="0" w:color="auto"/>
            </w:tcBorders>
            <w:shd w:val="clear" w:color="auto" w:fill="FFFFFF"/>
            <w:hideMark/>
          </w:tcPr>
          <w:p w14:paraId="37643051"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b/>
                <w:bCs/>
                <w:lang w:eastAsia="en-AU"/>
              </w:rPr>
              <w:t>Ingredient</w:t>
            </w:r>
            <w:r>
              <w:rPr>
                <w:rFonts w:eastAsia="Times New Roman" w:cstheme="minorHAnsi"/>
                <w:b/>
                <w:bCs/>
                <w:lang w:eastAsia="en-AU"/>
              </w:rPr>
              <w:t>s</w:t>
            </w:r>
          </w:p>
        </w:tc>
        <w:tc>
          <w:tcPr>
            <w:tcW w:w="1273" w:type="dxa"/>
            <w:tcBorders>
              <w:top w:val="single" w:sz="12" w:space="0" w:color="auto"/>
              <w:left w:val="single" w:sz="8" w:space="0" w:color="auto"/>
              <w:bottom w:val="single" w:sz="8" w:space="0" w:color="auto"/>
              <w:right w:val="single" w:sz="4" w:space="0" w:color="auto"/>
            </w:tcBorders>
            <w:shd w:val="clear" w:color="auto" w:fill="FFFFFF"/>
            <w:hideMark/>
          </w:tcPr>
          <w:p w14:paraId="199E572A"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b/>
                <w:bCs/>
                <w:lang w:eastAsia="en-AU"/>
              </w:rPr>
              <w:t>Base Pellet</w:t>
            </w:r>
          </w:p>
        </w:tc>
        <w:tc>
          <w:tcPr>
            <w:tcW w:w="3408" w:type="dxa"/>
            <w:gridSpan w:val="3"/>
            <w:tcBorders>
              <w:top w:val="single" w:sz="12" w:space="0" w:color="auto"/>
              <w:left w:val="single" w:sz="4" w:space="0" w:color="auto"/>
              <w:bottom w:val="single" w:sz="8" w:space="0" w:color="auto"/>
              <w:right w:val="nil"/>
            </w:tcBorders>
            <w:shd w:val="clear" w:color="auto" w:fill="FFFFFF"/>
            <w:hideMark/>
          </w:tcPr>
          <w:p w14:paraId="6A82A186" w14:textId="77777777" w:rsidR="00F5482F" w:rsidRPr="006D4CB8" w:rsidRDefault="00F5482F" w:rsidP="00D73E0A">
            <w:pPr>
              <w:spacing w:after="0" w:line="240" w:lineRule="auto"/>
              <w:jc w:val="center"/>
              <w:rPr>
                <w:rFonts w:eastAsia="Times New Roman" w:cstheme="minorHAnsi"/>
                <w:lang w:eastAsia="en-AU"/>
              </w:rPr>
            </w:pPr>
            <w:r w:rsidRPr="006D4CB8">
              <w:rPr>
                <w:rFonts w:eastAsia="Times New Roman" w:cstheme="minorHAnsi"/>
                <w:b/>
                <w:bCs/>
                <w:lang w:eastAsia="en-AU"/>
              </w:rPr>
              <w:t>Topsoil Pellet</w:t>
            </w:r>
          </w:p>
        </w:tc>
      </w:tr>
      <w:tr w:rsidR="00F5482F" w:rsidRPr="006D4CB8" w14:paraId="5C760DD4" w14:textId="77777777" w:rsidTr="00D73E0A">
        <w:trPr>
          <w:trHeight w:val="340"/>
        </w:trPr>
        <w:tc>
          <w:tcPr>
            <w:tcW w:w="2690" w:type="dxa"/>
            <w:tcBorders>
              <w:top w:val="single" w:sz="8" w:space="0" w:color="auto"/>
              <w:left w:val="nil"/>
              <w:right w:val="single" w:sz="8" w:space="0" w:color="auto"/>
            </w:tcBorders>
            <w:shd w:val="clear" w:color="auto" w:fill="FFFFFF"/>
            <w:hideMark/>
          </w:tcPr>
          <w:p w14:paraId="0DBE121E"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Ca Bentonite (%)</w:t>
            </w:r>
          </w:p>
        </w:tc>
        <w:tc>
          <w:tcPr>
            <w:tcW w:w="1273" w:type="dxa"/>
            <w:tcBorders>
              <w:top w:val="single" w:sz="8" w:space="0" w:color="auto"/>
              <w:left w:val="single" w:sz="8" w:space="0" w:color="auto"/>
              <w:right w:val="single" w:sz="4" w:space="0" w:color="auto"/>
            </w:tcBorders>
            <w:shd w:val="clear" w:color="auto" w:fill="FFFFFF"/>
            <w:hideMark/>
          </w:tcPr>
          <w:p w14:paraId="4FC9B15C"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10</w:t>
            </w:r>
          </w:p>
        </w:tc>
        <w:tc>
          <w:tcPr>
            <w:tcW w:w="1134" w:type="dxa"/>
            <w:tcBorders>
              <w:top w:val="single" w:sz="8" w:space="0" w:color="auto"/>
              <w:left w:val="single" w:sz="4" w:space="0" w:color="auto"/>
            </w:tcBorders>
            <w:shd w:val="clear" w:color="auto" w:fill="FFFFFF"/>
            <w:hideMark/>
          </w:tcPr>
          <w:p w14:paraId="07A5F390"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10</w:t>
            </w:r>
          </w:p>
        </w:tc>
        <w:tc>
          <w:tcPr>
            <w:tcW w:w="1134" w:type="dxa"/>
            <w:tcBorders>
              <w:top w:val="single" w:sz="8" w:space="0" w:color="auto"/>
            </w:tcBorders>
            <w:shd w:val="clear" w:color="auto" w:fill="FFFFFF"/>
          </w:tcPr>
          <w:p w14:paraId="047D8653"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10</w:t>
            </w:r>
          </w:p>
        </w:tc>
        <w:tc>
          <w:tcPr>
            <w:tcW w:w="1140" w:type="dxa"/>
            <w:tcBorders>
              <w:top w:val="single" w:sz="8" w:space="0" w:color="auto"/>
              <w:right w:val="nil"/>
            </w:tcBorders>
            <w:shd w:val="clear" w:color="auto" w:fill="FFFFFF"/>
          </w:tcPr>
          <w:p w14:paraId="5E96DBAB"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15</w:t>
            </w:r>
          </w:p>
        </w:tc>
      </w:tr>
      <w:tr w:rsidR="00F5482F" w:rsidRPr="006D4CB8" w14:paraId="0AB49263" w14:textId="77777777" w:rsidTr="00D73E0A">
        <w:trPr>
          <w:trHeight w:val="340"/>
        </w:trPr>
        <w:tc>
          <w:tcPr>
            <w:tcW w:w="2690" w:type="dxa"/>
            <w:tcBorders>
              <w:left w:val="nil"/>
              <w:right w:val="single" w:sz="8" w:space="0" w:color="auto"/>
            </w:tcBorders>
            <w:shd w:val="clear" w:color="auto" w:fill="FFFFFF"/>
            <w:hideMark/>
          </w:tcPr>
          <w:p w14:paraId="37FD6EA2"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Diatomaceous earth (%)</w:t>
            </w:r>
          </w:p>
        </w:tc>
        <w:tc>
          <w:tcPr>
            <w:tcW w:w="1273" w:type="dxa"/>
            <w:tcBorders>
              <w:left w:val="single" w:sz="8" w:space="0" w:color="auto"/>
              <w:right w:val="single" w:sz="4" w:space="0" w:color="auto"/>
            </w:tcBorders>
            <w:shd w:val="clear" w:color="auto" w:fill="FFFFFF"/>
            <w:hideMark/>
          </w:tcPr>
          <w:p w14:paraId="108A16EB"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20</w:t>
            </w:r>
          </w:p>
        </w:tc>
        <w:tc>
          <w:tcPr>
            <w:tcW w:w="1134" w:type="dxa"/>
            <w:tcBorders>
              <w:left w:val="single" w:sz="4" w:space="0" w:color="auto"/>
            </w:tcBorders>
            <w:shd w:val="clear" w:color="auto" w:fill="FFFFFF"/>
            <w:hideMark/>
          </w:tcPr>
          <w:p w14:paraId="1C9DF596"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20</w:t>
            </w:r>
          </w:p>
        </w:tc>
        <w:tc>
          <w:tcPr>
            <w:tcW w:w="1134" w:type="dxa"/>
            <w:shd w:val="clear" w:color="auto" w:fill="FFFFFF"/>
          </w:tcPr>
          <w:p w14:paraId="72E34884"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5</w:t>
            </w:r>
          </w:p>
        </w:tc>
        <w:tc>
          <w:tcPr>
            <w:tcW w:w="1140" w:type="dxa"/>
            <w:tcBorders>
              <w:right w:val="nil"/>
            </w:tcBorders>
            <w:shd w:val="clear" w:color="auto" w:fill="FFFFFF"/>
          </w:tcPr>
          <w:p w14:paraId="1461E5AB"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5</w:t>
            </w:r>
          </w:p>
        </w:tc>
      </w:tr>
      <w:tr w:rsidR="00F5482F" w:rsidRPr="006D4CB8" w14:paraId="299767C2" w14:textId="77777777" w:rsidTr="00D73E0A">
        <w:trPr>
          <w:trHeight w:val="340"/>
        </w:trPr>
        <w:tc>
          <w:tcPr>
            <w:tcW w:w="2690" w:type="dxa"/>
            <w:tcBorders>
              <w:left w:val="nil"/>
              <w:bottom w:val="nil"/>
              <w:right w:val="single" w:sz="8" w:space="0" w:color="auto"/>
            </w:tcBorders>
            <w:shd w:val="clear" w:color="auto" w:fill="FFFFFF"/>
            <w:hideMark/>
          </w:tcPr>
          <w:p w14:paraId="4C609B75"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Sand (%)</w:t>
            </w:r>
          </w:p>
        </w:tc>
        <w:tc>
          <w:tcPr>
            <w:tcW w:w="1273" w:type="dxa"/>
            <w:tcBorders>
              <w:left w:val="single" w:sz="8" w:space="0" w:color="auto"/>
              <w:bottom w:val="nil"/>
              <w:right w:val="single" w:sz="4" w:space="0" w:color="auto"/>
            </w:tcBorders>
            <w:shd w:val="clear" w:color="auto" w:fill="FFFFFF"/>
            <w:hideMark/>
          </w:tcPr>
          <w:p w14:paraId="3138B9E3"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70</w:t>
            </w:r>
          </w:p>
        </w:tc>
        <w:tc>
          <w:tcPr>
            <w:tcW w:w="1134" w:type="dxa"/>
            <w:tcBorders>
              <w:left w:val="single" w:sz="4" w:space="0" w:color="auto"/>
            </w:tcBorders>
            <w:shd w:val="clear" w:color="auto" w:fill="FFFFFF"/>
            <w:hideMark/>
          </w:tcPr>
          <w:p w14:paraId="683FFFE5"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c>
          <w:tcPr>
            <w:tcW w:w="1134" w:type="dxa"/>
            <w:shd w:val="clear" w:color="auto" w:fill="FFFFFF"/>
          </w:tcPr>
          <w:p w14:paraId="7A48EA80"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25</w:t>
            </w:r>
          </w:p>
        </w:tc>
        <w:tc>
          <w:tcPr>
            <w:tcW w:w="1140" w:type="dxa"/>
            <w:tcBorders>
              <w:right w:val="nil"/>
            </w:tcBorders>
            <w:shd w:val="clear" w:color="auto" w:fill="FFFFFF"/>
          </w:tcPr>
          <w:p w14:paraId="5A59296F"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30</w:t>
            </w:r>
          </w:p>
        </w:tc>
      </w:tr>
      <w:tr w:rsidR="00F5482F" w:rsidRPr="006D4CB8" w14:paraId="7C81B316" w14:textId="77777777" w:rsidTr="00D73E0A">
        <w:trPr>
          <w:trHeight w:val="340"/>
        </w:trPr>
        <w:tc>
          <w:tcPr>
            <w:tcW w:w="2690" w:type="dxa"/>
            <w:tcBorders>
              <w:left w:val="nil"/>
              <w:bottom w:val="nil"/>
              <w:right w:val="single" w:sz="8" w:space="0" w:color="auto"/>
            </w:tcBorders>
            <w:shd w:val="clear" w:color="auto" w:fill="FFFFFF"/>
          </w:tcPr>
          <w:p w14:paraId="30744E8D"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Activated carbon (%)</w:t>
            </w:r>
          </w:p>
        </w:tc>
        <w:tc>
          <w:tcPr>
            <w:tcW w:w="1273" w:type="dxa"/>
            <w:tcBorders>
              <w:left w:val="single" w:sz="8" w:space="0" w:color="auto"/>
              <w:bottom w:val="nil"/>
              <w:right w:val="single" w:sz="4" w:space="0" w:color="auto"/>
            </w:tcBorders>
            <w:shd w:val="clear" w:color="auto" w:fill="FFFFFF"/>
          </w:tcPr>
          <w:p w14:paraId="78F63F3A"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c>
          <w:tcPr>
            <w:tcW w:w="1134" w:type="dxa"/>
            <w:tcBorders>
              <w:left w:val="single" w:sz="4" w:space="0" w:color="auto"/>
            </w:tcBorders>
            <w:shd w:val="clear" w:color="auto" w:fill="FFFFFF"/>
          </w:tcPr>
          <w:p w14:paraId="19E48344"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c>
          <w:tcPr>
            <w:tcW w:w="1134" w:type="dxa"/>
            <w:shd w:val="clear" w:color="auto" w:fill="FFFFFF"/>
          </w:tcPr>
          <w:p w14:paraId="6E8C9075"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c>
          <w:tcPr>
            <w:tcW w:w="1140" w:type="dxa"/>
            <w:tcBorders>
              <w:right w:val="nil"/>
            </w:tcBorders>
            <w:shd w:val="clear" w:color="auto" w:fill="FFFFFF"/>
          </w:tcPr>
          <w:p w14:paraId="218EC0A8"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r>
      <w:tr w:rsidR="00F5482F" w:rsidRPr="006D4CB8" w14:paraId="6BCB29FB" w14:textId="77777777" w:rsidTr="00D73E0A">
        <w:trPr>
          <w:trHeight w:val="340"/>
        </w:trPr>
        <w:tc>
          <w:tcPr>
            <w:tcW w:w="2690" w:type="dxa"/>
            <w:tcBorders>
              <w:left w:val="nil"/>
              <w:bottom w:val="single" w:sz="12" w:space="0" w:color="auto"/>
              <w:right w:val="single" w:sz="8" w:space="0" w:color="auto"/>
            </w:tcBorders>
            <w:shd w:val="clear" w:color="auto" w:fill="FFFFFF"/>
            <w:hideMark/>
          </w:tcPr>
          <w:p w14:paraId="16C04CD4"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Topsoil (%)</w:t>
            </w:r>
          </w:p>
        </w:tc>
        <w:tc>
          <w:tcPr>
            <w:tcW w:w="1273" w:type="dxa"/>
            <w:tcBorders>
              <w:left w:val="single" w:sz="8" w:space="0" w:color="auto"/>
              <w:bottom w:val="single" w:sz="12" w:space="0" w:color="auto"/>
              <w:right w:val="single" w:sz="4" w:space="0" w:color="auto"/>
            </w:tcBorders>
            <w:shd w:val="clear" w:color="auto" w:fill="FFFFFF"/>
            <w:hideMark/>
          </w:tcPr>
          <w:p w14:paraId="6A5021FA"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0</w:t>
            </w:r>
          </w:p>
        </w:tc>
        <w:tc>
          <w:tcPr>
            <w:tcW w:w="1134" w:type="dxa"/>
            <w:tcBorders>
              <w:left w:val="single" w:sz="4" w:space="0" w:color="auto"/>
              <w:bottom w:val="single" w:sz="12" w:space="0" w:color="auto"/>
            </w:tcBorders>
            <w:shd w:val="clear" w:color="auto" w:fill="FFFFFF"/>
            <w:hideMark/>
          </w:tcPr>
          <w:p w14:paraId="1F34602B"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70</w:t>
            </w:r>
          </w:p>
        </w:tc>
        <w:tc>
          <w:tcPr>
            <w:tcW w:w="1134" w:type="dxa"/>
            <w:tcBorders>
              <w:bottom w:val="single" w:sz="12" w:space="0" w:color="auto"/>
            </w:tcBorders>
            <w:shd w:val="clear" w:color="auto" w:fill="FFFFFF"/>
          </w:tcPr>
          <w:p w14:paraId="375A1E20"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60</w:t>
            </w:r>
          </w:p>
        </w:tc>
        <w:tc>
          <w:tcPr>
            <w:tcW w:w="1140" w:type="dxa"/>
            <w:tcBorders>
              <w:bottom w:val="single" w:sz="12" w:space="0" w:color="auto"/>
              <w:right w:val="nil"/>
            </w:tcBorders>
            <w:shd w:val="clear" w:color="auto" w:fill="FFFFFF"/>
          </w:tcPr>
          <w:p w14:paraId="17427690" w14:textId="77777777" w:rsidR="00F5482F" w:rsidRPr="006D4CB8" w:rsidRDefault="00F5482F" w:rsidP="00D73E0A">
            <w:pPr>
              <w:spacing w:after="0" w:line="240" w:lineRule="auto"/>
              <w:jc w:val="left"/>
              <w:rPr>
                <w:rFonts w:eastAsia="Times New Roman" w:cstheme="minorHAnsi"/>
                <w:lang w:eastAsia="en-AU"/>
              </w:rPr>
            </w:pPr>
            <w:r w:rsidRPr="006D4CB8">
              <w:rPr>
                <w:rFonts w:eastAsia="Times New Roman" w:cstheme="minorHAnsi"/>
                <w:lang w:eastAsia="en-AU"/>
              </w:rPr>
              <w:t>50</w:t>
            </w:r>
          </w:p>
        </w:tc>
      </w:tr>
    </w:tbl>
    <w:p w14:paraId="6C1680CF" w14:textId="77777777" w:rsidR="00F5482F" w:rsidRPr="006D4CB8" w:rsidRDefault="00F5482F" w:rsidP="00F5482F">
      <w:pPr>
        <w:rPr>
          <w:rFonts w:cstheme="minorHAnsi"/>
        </w:rPr>
      </w:pPr>
    </w:p>
    <w:p w14:paraId="36588481" w14:textId="77777777" w:rsidR="00F5482F" w:rsidRPr="006D4CB8" w:rsidRDefault="00F5482F" w:rsidP="00F5482F">
      <w:pPr>
        <w:rPr>
          <w:rFonts w:cstheme="minorHAnsi"/>
          <w:b/>
        </w:rPr>
      </w:pPr>
    </w:p>
    <w:p w14:paraId="7CE013B7" w14:textId="77777777" w:rsidR="00F5482F" w:rsidRPr="006D4CB8" w:rsidRDefault="00F5482F" w:rsidP="00F5482F">
      <w:pPr>
        <w:rPr>
          <w:rFonts w:cstheme="minorHAnsi"/>
          <w:b/>
        </w:rPr>
      </w:pPr>
    </w:p>
    <w:p w14:paraId="3B613EEE" w14:textId="77777777" w:rsidR="00F5482F" w:rsidRPr="006D4CB8" w:rsidRDefault="00F5482F" w:rsidP="00F5482F">
      <w:pPr>
        <w:rPr>
          <w:rFonts w:cstheme="minorHAnsi"/>
          <w:b/>
        </w:rPr>
      </w:pPr>
    </w:p>
    <w:p w14:paraId="1CB7F639" w14:textId="77777777" w:rsidR="00F5482F" w:rsidRDefault="00F5482F" w:rsidP="00F5482F">
      <w:pPr>
        <w:rPr>
          <w:rFonts w:cstheme="minorHAnsi"/>
          <w:b/>
        </w:rPr>
      </w:pPr>
    </w:p>
    <w:p w14:paraId="586DA04D" w14:textId="77777777" w:rsidR="00F5482F" w:rsidRDefault="00F5482F" w:rsidP="00F5482F">
      <w:pPr>
        <w:rPr>
          <w:rFonts w:cstheme="minorHAnsi"/>
          <w:b/>
        </w:rPr>
      </w:pPr>
    </w:p>
    <w:p w14:paraId="4F630A9A" w14:textId="77777777" w:rsidR="00F5482F" w:rsidRPr="006D4CB8" w:rsidRDefault="00F5482F" w:rsidP="00F5482F"/>
    <w:p w14:paraId="1D143C3D" w14:textId="68B03744" w:rsidR="00F5482F" w:rsidRDefault="00F5482F">
      <w:r>
        <w:rPr>
          <w:b/>
          <w:bCs/>
        </w:rPr>
        <w:t>Reference list</w:t>
      </w:r>
    </w:p>
    <w:p w14:paraId="1936BC51" w14:textId="77777777" w:rsidR="00F5482F" w:rsidRPr="00F5482F" w:rsidRDefault="00F5482F" w:rsidP="00F5482F">
      <w:pPr>
        <w:pStyle w:val="EndNoteBibliography"/>
        <w:ind w:left="720" w:hanging="720"/>
      </w:pPr>
      <w:r>
        <w:fldChar w:fldCharType="begin"/>
      </w:r>
      <w:r>
        <w:instrText xml:space="preserve"> ADDIN EN.REFLIST </w:instrText>
      </w:r>
      <w:r>
        <w:fldChar w:fldCharType="separate"/>
      </w:r>
      <w:r w:rsidRPr="00F5482F">
        <w:t>Madsen M, Hulet A, Phillips K, Staley J, Davies K, Svejcar T (2016) Extruded seed pellets: a novel approach for enhancing sagebrush seedling emergence. Native Plants Journal 17: 230-243. doi: 10.3368/npj.17.3.230.</w:t>
      </w:r>
    </w:p>
    <w:p w14:paraId="6275E7A5" w14:textId="23D0B830" w:rsidR="00FA38EA" w:rsidRDefault="00F5482F">
      <w:r>
        <w:fldChar w:fldCharType="end"/>
      </w:r>
    </w:p>
    <w:sectPr w:rsidR="00FA38EA" w:rsidSect="00C93E64">
      <w:footerReference w:type="default" r:id="rId9"/>
      <w:pgSz w:w="11906" w:h="16838"/>
      <w:pgMar w:top="1134" w:right="1440" w:bottom="1276" w:left="1440" w:header="708" w:footer="567"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F3A7B5" w14:textId="77777777" w:rsidR="00F5482F" w:rsidRDefault="00F5482F" w:rsidP="00F5482F">
      <w:pPr>
        <w:spacing w:after="0" w:line="240" w:lineRule="auto"/>
      </w:pPr>
      <w:r>
        <w:separator/>
      </w:r>
    </w:p>
  </w:endnote>
  <w:endnote w:type="continuationSeparator" w:id="0">
    <w:p w14:paraId="474B8D43" w14:textId="77777777" w:rsidR="00F5482F" w:rsidRDefault="00F5482F" w:rsidP="00F5482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0892221"/>
      <w:docPartObj>
        <w:docPartGallery w:val="Page Numbers (Bottom of Page)"/>
        <w:docPartUnique/>
      </w:docPartObj>
    </w:sdtPr>
    <w:sdtEndPr>
      <w:rPr>
        <w:noProof/>
      </w:rPr>
    </w:sdtEndPr>
    <w:sdtContent>
      <w:p w14:paraId="14AD1629" w14:textId="25864623" w:rsidR="00F5482F" w:rsidRDefault="00F5482F">
        <w:pPr>
          <w:pStyle w:val="Footer"/>
        </w:pPr>
        <w:r>
          <w:fldChar w:fldCharType="begin"/>
        </w:r>
        <w:r>
          <w:instrText xml:space="preserve"> PAGE   \* MERGEFORMAT </w:instrText>
        </w:r>
        <w:r>
          <w:fldChar w:fldCharType="separate"/>
        </w:r>
        <w:r>
          <w:rPr>
            <w:noProof/>
          </w:rPr>
          <w:t>2</w:t>
        </w:r>
        <w:r>
          <w:rPr>
            <w:noProof/>
          </w:rPr>
          <w:fldChar w:fldCharType="end"/>
        </w:r>
      </w:p>
    </w:sdtContent>
  </w:sdt>
  <w:p w14:paraId="6620D0E7" w14:textId="2D89FD42" w:rsidR="00F5482F" w:rsidRDefault="00F5482F">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B478516" w14:textId="77777777" w:rsidR="00F5482F" w:rsidRDefault="00F5482F" w:rsidP="00F5482F">
      <w:pPr>
        <w:spacing w:after="0" w:line="240" w:lineRule="auto"/>
      </w:pPr>
      <w:r>
        <w:separator/>
      </w:r>
    </w:p>
  </w:footnote>
  <w:footnote w:type="continuationSeparator" w:id="0">
    <w:p w14:paraId="0C9020EF" w14:textId="77777777" w:rsidR="00F5482F" w:rsidRDefault="00F5482F" w:rsidP="00F5482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0F4AA8"/>
    <w:multiLevelType w:val="hybridMultilevel"/>
    <w:tmpl w:val="AF2255AC"/>
    <w:lvl w:ilvl="0" w:tplc="8F04FF66">
      <w:start w:val="1"/>
      <w:numFmt w:val="bullet"/>
      <w:lvlText w:val=""/>
      <w:lvlJc w:val="left"/>
      <w:pPr>
        <w:ind w:left="720" w:hanging="360"/>
      </w:pPr>
      <w:rPr>
        <w:rFonts w:ascii="Symbol" w:eastAsiaTheme="minorHAnsi" w:hAnsi="Symbol"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519C1DD0"/>
    <w:multiLevelType w:val="hybridMultilevel"/>
    <w:tmpl w:val="189C6CA6"/>
    <w:lvl w:ilvl="0" w:tplc="41DA9448">
      <w:start w:val="1"/>
      <w:numFmt w:val="bullet"/>
      <w:lvlText w:val=""/>
      <w:lvlJc w:val="left"/>
      <w:pPr>
        <w:ind w:left="360" w:hanging="360"/>
      </w:pPr>
      <w:rPr>
        <w:rFonts w:ascii="Symbol" w:eastAsiaTheme="minorHAnsi" w:hAnsi="Symbol"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727F4CFD"/>
    <w:multiLevelType w:val="hybridMultilevel"/>
    <w:tmpl w:val="C41C1716"/>
    <w:lvl w:ilvl="0" w:tplc="E3BE7E10">
      <w:start w:val="1"/>
      <w:numFmt w:val="decimal"/>
      <w:lvlText w:val="%1."/>
      <w:lvlJc w:val="left"/>
      <w:pPr>
        <w:ind w:left="720" w:hanging="360"/>
      </w:pPr>
      <w:rPr>
        <w:rFonts w:ascii="Calibri" w:hAnsi="Calibri" w:cs="Calibri" w:hint="default"/>
        <w:color w:val="000000"/>
        <w:sz w:val="13"/>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16cid:durableId="1977029144">
    <w:abstractNumId w:val="0"/>
  </w:num>
  <w:num w:numId="2" w16cid:durableId="1159537713">
    <w:abstractNumId w:val="1"/>
  </w:num>
  <w:num w:numId="3" w16cid:durableId="183725895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Plant and Soil&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9d0wf0p22arpee2t4pvts6sr2a2ddea0ve&quot;&gt;PHD refs-Converted&lt;record-ids&gt;&lt;item&gt;45&lt;/item&gt;&lt;/record-ids&gt;&lt;/item&gt;&lt;/Libraries&gt;"/>
  </w:docVars>
  <w:rsids>
    <w:rsidRoot w:val="00F5482F"/>
    <w:rsid w:val="0052166D"/>
    <w:rsid w:val="00C5156E"/>
    <w:rsid w:val="00F5482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06CDD0F"/>
  <w15:chartTrackingRefBased/>
  <w15:docId w15:val="{743705D8-C7DF-4F01-B04D-83F78D7D6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82F"/>
    <w:pPr>
      <w:spacing w:line="360" w:lineRule="auto"/>
      <w:jc w:val="both"/>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F5482F"/>
    <w:pPr>
      <w:spacing w:after="200" w:line="240" w:lineRule="auto"/>
    </w:pPr>
    <w:rPr>
      <w:i/>
      <w:iCs/>
      <w:color w:val="44546A" w:themeColor="text2"/>
      <w:sz w:val="18"/>
      <w:szCs w:val="18"/>
    </w:rPr>
  </w:style>
  <w:style w:type="paragraph" w:styleId="Footer">
    <w:name w:val="footer"/>
    <w:basedOn w:val="Normal"/>
    <w:link w:val="FooterChar"/>
    <w:uiPriority w:val="99"/>
    <w:unhideWhenUsed/>
    <w:rsid w:val="00F548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F5482F"/>
  </w:style>
  <w:style w:type="character" w:styleId="Strong">
    <w:name w:val="Strong"/>
    <w:basedOn w:val="DefaultParagraphFont"/>
    <w:uiPriority w:val="22"/>
    <w:qFormat/>
    <w:rsid w:val="00F5482F"/>
    <w:rPr>
      <w:b/>
      <w:bCs/>
    </w:rPr>
  </w:style>
  <w:style w:type="character" w:styleId="LineNumber">
    <w:name w:val="line number"/>
    <w:basedOn w:val="DefaultParagraphFont"/>
    <w:uiPriority w:val="99"/>
    <w:semiHidden/>
    <w:unhideWhenUsed/>
    <w:rsid w:val="00F5482F"/>
  </w:style>
  <w:style w:type="paragraph" w:styleId="ListParagraph">
    <w:name w:val="List Paragraph"/>
    <w:basedOn w:val="Normal"/>
    <w:uiPriority w:val="1"/>
    <w:qFormat/>
    <w:rsid w:val="00F5482F"/>
    <w:pPr>
      <w:ind w:left="720"/>
      <w:contextualSpacing/>
    </w:pPr>
  </w:style>
  <w:style w:type="character" w:styleId="Hyperlink">
    <w:name w:val="Hyperlink"/>
    <w:basedOn w:val="DefaultParagraphFont"/>
    <w:uiPriority w:val="99"/>
    <w:unhideWhenUsed/>
    <w:rsid w:val="00F5482F"/>
    <w:rPr>
      <w:color w:val="0563C1" w:themeColor="hyperlink"/>
      <w:u w:val="single"/>
    </w:rPr>
  </w:style>
  <w:style w:type="character" w:styleId="UnresolvedMention">
    <w:name w:val="Unresolved Mention"/>
    <w:basedOn w:val="DefaultParagraphFont"/>
    <w:uiPriority w:val="99"/>
    <w:semiHidden/>
    <w:unhideWhenUsed/>
    <w:rsid w:val="00F5482F"/>
    <w:rPr>
      <w:color w:val="605E5C"/>
      <w:shd w:val="clear" w:color="auto" w:fill="E1DFDD"/>
    </w:rPr>
  </w:style>
  <w:style w:type="paragraph" w:styleId="Header">
    <w:name w:val="header"/>
    <w:basedOn w:val="Normal"/>
    <w:link w:val="HeaderChar"/>
    <w:uiPriority w:val="99"/>
    <w:unhideWhenUsed/>
    <w:rsid w:val="00F548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F5482F"/>
  </w:style>
  <w:style w:type="paragraph" w:customStyle="1" w:styleId="EndNoteBibliographyTitle">
    <w:name w:val="EndNote Bibliography Title"/>
    <w:basedOn w:val="Normal"/>
    <w:link w:val="EndNoteBibliographyTitleChar"/>
    <w:rsid w:val="00F5482F"/>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5482F"/>
    <w:rPr>
      <w:rFonts w:ascii="Calibri" w:hAnsi="Calibri" w:cs="Calibri"/>
      <w:noProof/>
      <w:lang w:val="en-US"/>
    </w:rPr>
  </w:style>
  <w:style w:type="paragraph" w:customStyle="1" w:styleId="EndNoteBibliography">
    <w:name w:val="EndNote Bibliography"/>
    <w:basedOn w:val="Normal"/>
    <w:link w:val="EndNoteBibliographyChar"/>
    <w:rsid w:val="00F5482F"/>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5482F"/>
    <w:rPr>
      <w:rFonts w:ascii="Calibri" w:hAnsi="Calibri" w:cs="Calibri"/>
      <w:noProof/>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Pages>
  <Words>717</Words>
  <Characters>4090</Characters>
  <Application>Microsoft Office Word</Application>
  <DocSecurity>0</DocSecurity>
  <Lines>34</Lines>
  <Paragraphs>9</Paragraphs>
  <ScaleCrop>false</ScaleCrop>
  <Company/>
  <LinksUpToDate>false</LinksUpToDate>
  <CharactersWithSpaces>4798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Munro, Thomas</dc:creator>
  <cp:keywords/>
  <dc:description/>
  <cp:lastModifiedBy>Munro, Thomas</cp:lastModifiedBy>
  <cp:revision>1</cp:revision>
  <dcterms:created xsi:type="dcterms:W3CDTF">2023-07-11T00:39:00Z</dcterms:created>
  <dcterms:modified xsi:type="dcterms:W3CDTF">2023-07-11T00:51:00Z</dcterms:modified>
</cp:coreProperties>
</file>