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310E0" w14:textId="77777777" w:rsidR="00E95151" w:rsidRDefault="00E95151" w:rsidP="00E95151">
      <w:pPr>
        <w:pStyle w:val="MDPI11articletype"/>
        <w:jc w:val="both"/>
        <w:rPr>
          <w:rFonts w:ascii="Times New Roman" w:hAnsi="Times New Roman"/>
        </w:rPr>
      </w:pPr>
      <w:r>
        <w:rPr>
          <w:rFonts w:ascii="Times New Roman" w:hAnsi="Times New Roman"/>
        </w:rPr>
        <w:t>Systematic Review</w:t>
      </w:r>
    </w:p>
    <w:p w14:paraId="2F2B366C" w14:textId="1BDC142A" w:rsidR="00E95151" w:rsidRDefault="00E95151" w:rsidP="00E95151">
      <w:pPr>
        <w:pStyle w:val="MDPI12title"/>
        <w:jc w:val="both"/>
        <w:rPr>
          <w:rFonts w:ascii="Times New Roman" w:hAnsi="Times New Roman"/>
          <w:sz w:val="24"/>
          <w:szCs w:val="14"/>
        </w:rPr>
      </w:pPr>
      <w:r>
        <w:rPr>
          <w:rFonts w:ascii="Times New Roman" w:hAnsi="Times New Roman"/>
          <w:sz w:val="24"/>
          <w:szCs w:val="14"/>
        </w:rPr>
        <w:t>Knowledge and Attitude towards Monkeypox: Systematic review and meta-analysis</w:t>
      </w:r>
    </w:p>
    <w:p w14:paraId="27D386EE" w14:textId="77777777" w:rsidR="00E95151" w:rsidRDefault="00E95151" w:rsidP="00E95151">
      <w:pPr>
        <w:pStyle w:val="MDPI13authornames"/>
        <w:jc w:val="both"/>
        <w:rPr>
          <w:rFonts w:ascii="Times New Roman" w:hAnsi="Times New Roman"/>
          <w:b w:val="0"/>
          <w:bCs/>
          <w:sz w:val="24"/>
          <w:szCs w:val="24"/>
          <w:lang w:val="es-PE"/>
        </w:rPr>
      </w:pPr>
      <w:bookmarkStart w:id="0" w:name="_Hlk104331878"/>
      <w:r>
        <w:rPr>
          <w:rFonts w:ascii="Times New Roman" w:hAnsi="Times New Roman"/>
          <w:b w:val="0"/>
          <w:bCs/>
          <w:sz w:val="24"/>
          <w:szCs w:val="24"/>
          <w:lang w:val="es-PE"/>
        </w:rPr>
        <w:t xml:space="preserve">Darwin A. León-Figueroa </w:t>
      </w:r>
      <w:r>
        <w:rPr>
          <w:rFonts w:ascii="Times New Roman" w:hAnsi="Times New Roman"/>
          <w:b w:val="0"/>
          <w:bCs/>
          <w:sz w:val="24"/>
          <w:szCs w:val="24"/>
          <w:vertAlign w:val="superscript"/>
          <w:lang w:val="es-PE"/>
        </w:rPr>
        <w:t>1</w:t>
      </w:r>
      <w:r>
        <w:rPr>
          <w:rFonts w:ascii="Times New Roman" w:hAnsi="Times New Roman"/>
          <w:b w:val="0"/>
          <w:bCs/>
          <w:sz w:val="24"/>
          <w:szCs w:val="24"/>
          <w:lang w:val="es-PE"/>
        </w:rPr>
        <w:t xml:space="preserve">, Joshuan J. Barboza </w:t>
      </w:r>
      <w:r>
        <w:rPr>
          <w:rFonts w:ascii="Times New Roman" w:hAnsi="Times New Roman"/>
          <w:b w:val="0"/>
          <w:bCs/>
          <w:sz w:val="24"/>
          <w:szCs w:val="24"/>
          <w:vertAlign w:val="superscript"/>
          <w:lang w:val="es-PE"/>
        </w:rPr>
        <w:t>2,</w:t>
      </w:r>
      <w:r>
        <w:rPr>
          <w:rFonts w:ascii="Times New Roman" w:hAnsi="Times New Roman"/>
          <w:b w:val="0"/>
          <w:bCs/>
          <w:sz w:val="24"/>
          <w:szCs w:val="24"/>
          <w:lang w:val="es-PE"/>
        </w:rPr>
        <w:t xml:space="preserve"> *</w:t>
      </w:r>
      <w:r>
        <w:rPr>
          <w:rFonts w:ascii="Times New Roman" w:hAnsi="Times New Roman"/>
          <w:bCs/>
          <w:sz w:val="24"/>
          <w:szCs w:val="24"/>
          <w:lang w:val="es-CO"/>
        </w:rPr>
        <w:t xml:space="preserve">, </w:t>
      </w:r>
      <w:r>
        <w:rPr>
          <w:rFonts w:ascii="Times New Roman" w:hAnsi="Times New Roman"/>
          <w:b w:val="0"/>
          <w:sz w:val="24"/>
          <w:szCs w:val="24"/>
          <w:lang w:val="es-CO"/>
        </w:rPr>
        <w:t xml:space="preserve">Abdelmonem Siddiq </w:t>
      </w:r>
      <w:r>
        <w:rPr>
          <w:rFonts w:ascii="Times New Roman" w:hAnsi="Times New Roman"/>
          <w:b w:val="0"/>
          <w:sz w:val="24"/>
          <w:szCs w:val="24"/>
          <w:vertAlign w:val="superscript"/>
          <w:lang w:val="es-CO"/>
        </w:rPr>
        <w:t>3</w:t>
      </w:r>
      <w:r>
        <w:rPr>
          <w:rFonts w:ascii="Times New Roman" w:hAnsi="Times New Roman"/>
          <w:bCs/>
          <w:sz w:val="24"/>
          <w:szCs w:val="24"/>
          <w:lang w:val="es-CO"/>
        </w:rPr>
        <w:t xml:space="preserve">, </w:t>
      </w:r>
      <w:r>
        <w:rPr>
          <w:rFonts w:ascii="Times New Roman" w:hAnsi="Times New Roman"/>
          <w:b w:val="0"/>
          <w:bCs/>
          <w:sz w:val="24"/>
          <w:szCs w:val="24"/>
          <w:lang w:val="es-PE"/>
        </w:rPr>
        <w:t xml:space="preserve">Ranjit Sah </w:t>
      </w:r>
      <w:bookmarkEnd w:id="0"/>
      <w:r>
        <w:rPr>
          <w:rFonts w:ascii="Times New Roman" w:hAnsi="Times New Roman"/>
          <w:b w:val="0"/>
          <w:bCs/>
          <w:sz w:val="24"/>
          <w:szCs w:val="24"/>
          <w:vertAlign w:val="superscript"/>
          <w:lang w:val="es-PE"/>
        </w:rPr>
        <w:t>4,5,6</w:t>
      </w:r>
      <w:r>
        <w:rPr>
          <w:rFonts w:ascii="Times New Roman" w:hAnsi="Times New Roman"/>
          <w:b w:val="0"/>
          <w:bCs/>
          <w:sz w:val="24"/>
          <w:szCs w:val="24"/>
          <w:lang w:val="es-PE"/>
        </w:rPr>
        <w:t xml:space="preserve">, </w:t>
      </w:r>
      <w:r>
        <w:rPr>
          <w:rFonts w:ascii="Times New Roman" w:hAnsi="Times New Roman"/>
          <w:b w:val="0"/>
          <w:bCs/>
          <w:sz w:val="24"/>
          <w:szCs w:val="24"/>
          <w:lang w:val="es-CO"/>
        </w:rPr>
        <w:t xml:space="preserve">Mario J. Valladares-Garrido </w:t>
      </w:r>
      <w:r>
        <w:rPr>
          <w:rFonts w:ascii="Times New Roman" w:hAnsi="Times New Roman"/>
          <w:b w:val="0"/>
          <w:bCs/>
          <w:sz w:val="24"/>
          <w:szCs w:val="24"/>
          <w:vertAlign w:val="superscript"/>
          <w:lang w:val="es-CO"/>
        </w:rPr>
        <w:t>7,8</w:t>
      </w:r>
      <w:r>
        <w:rPr>
          <w:rFonts w:ascii="Times New Roman" w:hAnsi="Times New Roman"/>
          <w:bCs/>
          <w:sz w:val="24"/>
          <w:szCs w:val="24"/>
          <w:lang w:val="es-CO"/>
        </w:rPr>
        <w:t>,</w:t>
      </w:r>
      <w:r>
        <w:rPr>
          <w:lang w:val="es-CO"/>
        </w:rPr>
        <w:t xml:space="preserve"> </w:t>
      </w:r>
      <w:r>
        <w:rPr>
          <w:rFonts w:ascii="Times New Roman" w:hAnsi="Times New Roman"/>
          <w:b w:val="0"/>
          <w:bCs/>
          <w:sz w:val="24"/>
          <w:szCs w:val="24"/>
          <w:lang w:val="es-CO"/>
        </w:rPr>
        <w:t xml:space="preserve">and Alfonso J. Rodriguez-Morales </w:t>
      </w:r>
      <w:r>
        <w:rPr>
          <w:rFonts w:ascii="Times New Roman" w:hAnsi="Times New Roman"/>
          <w:b w:val="0"/>
          <w:bCs/>
          <w:sz w:val="24"/>
          <w:szCs w:val="24"/>
          <w:vertAlign w:val="superscript"/>
          <w:lang w:val="es-CO"/>
        </w:rPr>
        <w:t>9,10</w:t>
      </w:r>
    </w:p>
    <w:p w14:paraId="78EC2D0D" w14:textId="77777777" w:rsidR="00E95151" w:rsidRDefault="00E95151" w:rsidP="00E95151">
      <w:pPr>
        <w:pStyle w:val="MDPI16affiliation"/>
        <w:ind w:left="142"/>
        <w:jc w:val="both"/>
        <w:rPr>
          <w:rFonts w:ascii="Times New Roman" w:hAnsi="Times New Roman"/>
          <w:sz w:val="24"/>
          <w:szCs w:val="24"/>
          <w:lang w:val="es-PE"/>
        </w:rPr>
      </w:pPr>
      <w:r>
        <w:rPr>
          <w:rFonts w:ascii="Times New Roman" w:hAnsi="Times New Roman"/>
          <w:sz w:val="24"/>
          <w:szCs w:val="24"/>
          <w:vertAlign w:val="superscript"/>
          <w:lang w:val="es-PE"/>
        </w:rPr>
        <w:t>1</w:t>
      </w:r>
      <w:r>
        <w:rPr>
          <w:rFonts w:ascii="Times New Roman" w:hAnsi="Times New Roman"/>
          <w:sz w:val="24"/>
          <w:szCs w:val="24"/>
          <w:lang w:val="es-PE"/>
        </w:rPr>
        <w:tab/>
        <w:t xml:space="preserve">Facultad de Medicina Humana, Universidad de San Martín de Porres, Chiclayo 15011, Peru; </w:t>
      </w:r>
      <w:hyperlink r:id="rId8" w:history="1">
        <w:r>
          <w:rPr>
            <w:rStyle w:val="Hipervnculo"/>
            <w:rFonts w:ascii="Times New Roman" w:hAnsi="Times New Roman"/>
            <w:sz w:val="24"/>
            <w:szCs w:val="24"/>
            <w:lang w:val="es-PE"/>
          </w:rPr>
          <w:t>darwin_leon@usmp.pe</w:t>
        </w:r>
      </w:hyperlink>
      <w:r>
        <w:rPr>
          <w:rStyle w:val="Hipervnculo"/>
          <w:rFonts w:ascii="Times New Roman" w:hAnsi="Times New Roman"/>
          <w:sz w:val="24"/>
          <w:szCs w:val="24"/>
          <w:lang w:val="es-PE"/>
        </w:rPr>
        <w:t xml:space="preserve"> </w:t>
      </w:r>
      <w:r>
        <w:rPr>
          <w:rStyle w:val="Hipervnculo"/>
          <w:rFonts w:ascii="Times New Roman" w:hAnsi="Times New Roman"/>
          <w:color w:val="auto"/>
          <w:sz w:val="24"/>
          <w:szCs w:val="24"/>
          <w:lang w:val="es-PE"/>
        </w:rPr>
        <w:t>(DALF)</w:t>
      </w:r>
    </w:p>
    <w:p w14:paraId="17894EB3" w14:textId="77777777" w:rsidR="00E95151" w:rsidRPr="008F4C7C" w:rsidRDefault="00E95151" w:rsidP="00E95151">
      <w:pPr>
        <w:pStyle w:val="MDPI16affiliation"/>
        <w:ind w:left="142"/>
        <w:jc w:val="both"/>
        <w:rPr>
          <w:rStyle w:val="Hipervnculo"/>
          <w:lang w:val="es-PE"/>
        </w:rPr>
      </w:pPr>
      <w:r>
        <w:rPr>
          <w:rFonts w:ascii="Times New Roman" w:hAnsi="Times New Roman"/>
          <w:sz w:val="24"/>
          <w:szCs w:val="24"/>
          <w:vertAlign w:val="superscript"/>
          <w:lang w:val="es-PE"/>
        </w:rPr>
        <w:t>2</w:t>
      </w:r>
      <w:r>
        <w:rPr>
          <w:rFonts w:ascii="Times New Roman" w:hAnsi="Times New Roman"/>
          <w:sz w:val="24"/>
          <w:szCs w:val="24"/>
          <w:lang w:val="es-PE"/>
        </w:rPr>
        <w:tab/>
        <w:t xml:space="preserve">Facultad de Ciencias de la Salud, Escuela de Medicina, Universidad César Vallejo, Trujillo 13007, Peru; </w:t>
      </w:r>
      <w:hyperlink r:id="rId9" w:history="1">
        <w:r>
          <w:rPr>
            <w:rStyle w:val="Hipervnculo"/>
            <w:rFonts w:ascii="Times New Roman" w:hAnsi="Times New Roman"/>
            <w:sz w:val="24"/>
            <w:szCs w:val="24"/>
            <w:lang w:val="es-PE"/>
          </w:rPr>
          <w:t>jbarbozameca@gmail.com</w:t>
        </w:r>
      </w:hyperlink>
    </w:p>
    <w:p w14:paraId="099CEFFD" w14:textId="77777777" w:rsidR="00E95151" w:rsidRDefault="00E95151" w:rsidP="00E95151">
      <w:pPr>
        <w:pStyle w:val="MDPI16affiliation"/>
        <w:ind w:left="142"/>
        <w:jc w:val="both"/>
        <w:rPr>
          <w:vertAlign w:val="superscript"/>
        </w:rPr>
      </w:pPr>
      <w:r>
        <w:rPr>
          <w:rFonts w:ascii="Times New Roman" w:hAnsi="Times New Roman"/>
          <w:sz w:val="24"/>
          <w:szCs w:val="24"/>
          <w:vertAlign w:val="superscript"/>
        </w:rPr>
        <w:t>3</w:t>
      </w:r>
      <w:r>
        <w:rPr>
          <w:rFonts w:ascii="Times New Roman" w:hAnsi="Times New Roman"/>
          <w:sz w:val="24"/>
          <w:szCs w:val="24"/>
        </w:rPr>
        <w:tab/>
        <w:t xml:space="preserve">Faculty of Pharmacy, Mansoura University, Mansoura 35516, Egypt; </w:t>
      </w:r>
      <w:hyperlink r:id="rId10" w:history="1">
        <w:r>
          <w:rPr>
            <w:rStyle w:val="Hipervnculo"/>
            <w:rFonts w:ascii="Times New Roman" w:hAnsi="Times New Roman"/>
            <w:sz w:val="24"/>
            <w:szCs w:val="24"/>
          </w:rPr>
          <w:t>Abdelmonemalsaid555@std.mans.edu.eg</w:t>
        </w:r>
      </w:hyperlink>
    </w:p>
    <w:p w14:paraId="64AF70E9"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sz w:val="24"/>
          <w:szCs w:val="24"/>
          <w:vertAlign w:val="superscript"/>
        </w:rPr>
        <w:t>4</w:t>
      </w:r>
      <w:r>
        <w:rPr>
          <w:rFonts w:ascii="Times New Roman" w:hAnsi="Times New Roman"/>
          <w:sz w:val="24"/>
          <w:szCs w:val="24"/>
        </w:rPr>
        <w:tab/>
        <w:t xml:space="preserve">Department of Microbiology, Tribhuvan University Teaching Hospital, Institute of Medicine, Kathmandu 44600, Nepal; </w:t>
      </w:r>
      <w:hyperlink r:id="rId11" w:history="1">
        <w:r>
          <w:rPr>
            <w:rStyle w:val="Hipervnculo"/>
            <w:rFonts w:ascii="Times New Roman" w:hAnsi="Times New Roman"/>
            <w:sz w:val="24"/>
            <w:szCs w:val="24"/>
          </w:rPr>
          <w:t>ranjitsah@iom.edu.np</w:t>
        </w:r>
      </w:hyperlink>
      <w:r>
        <w:rPr>
          <w:rFonts w:ascii="Times New Roman" w:hAnsi="Times New Roman"/>
          <w:sz w:val="24"/>
          <w:szCs w:val="24"/>
        </w:rPr>
        <w:t xml:space="preserve"> </w:t>
      </w:r>
    </w:p>
    <w:p w14:paraId="398B76BB"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sz w:val="24"/>
          <w:szCs w:val="24"/>
          <w:vertAlign w:val="superscript"/>
        </w:rPr>
        <w:t>5</w:t>
      </w:r>
      <w:r>
        <w:rPr>
          <w:rFonts w:ascii="Times New Roman" w:hAnsi="Times New Roman"/>
          <w:sz w:val="24"/>
          <w:szCs w:val="24"/>
        </w:rPr>
        <w:tab/>
        <w:t>Department of Microbiology, Dr. D. Y. Patil Medical College, Hospital and Research Centre, Dr. D. Y. Patil Vidyapeeth, Pune 411018, Maharashtra, India</w:t>
      </w:r>
    </w:p>
    <w:p w14:paraId="3656C6D7"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sz w:val="24"/>
          <w:szCs w:val="24"/>
          <w:vertAlign w:val="superscript"/>
        </w:rPr>
        <w:t>6</w:t>
      </w:r>
      <w:r>
        <w:rPr>
          <w:rFonts w:ascii="Times New Roman" w:hAnsi="Times New Roman"/>
          <w:sz w:val="24"/>
          <w:szCs w:val="24"/>
        </w:rPr>
        <w:tab/>
        <w:t>Department of Public Health Dentistry, Dr. D.Y. Patil Dental College and Hospital, Dr. D.Y. Patil Vidyapeeth, Pune 411018, Maharashtra, India.</w:t>
      </w:r>
    </w:p>
    <w:p w14:paraId="3A16F6F4" w14:textId="77777777" w:rsidR="00E95151" w:rsidRDefault="00E95151" w:rsidP="00E95151">
      <w:pPr>
        <w:pStyle w:val="MDPI16affiliation"/>
        <w:ind w:left="142"/>
        <w:jc w:val="both"/>
        <w:rPr>
          <w:rFonts w:ascii="Times New Roman" w:hAnsi="Times New Roman"/>
          <w:sz w:val="24"/>
          <w:szCs w:val="24"/>
          <w:lang w:val="es-PE"/>
        </w:rPr>
      </w:pPr>
      <w:bookmarkStart w:id="1" w:name="_Hlk121910869"/>
      <w:r>
        <w:rPr>
          <w:rFonts w:ascii="Times New Roman" w:hAnsi="Times New Roman"/>
          <w:sz w:val="24"/>
          <w:szCs w:val="24"/>
          <w:vertAlign w:val="superscript"/>
          <w:lang w:val="es-PE"/>
        </w:rPr>
        <w:t>7</w:t>
      </w:r>
      <w:r>
        <w:rPr>
          <w:rFonts w:ascii="Times New Roman" w:hAnsi="Times New Roman"/>
          <w:sz w:val="24"/>
          <w:szCs w:val="24"/>
          <w:lang w:val="es-PE"/>
        </w:rPr>
        <w:tab/>
        <w:t>Universidad Continental, Lima 15046, Peru;</w:t>
      </w:r>
      <w:r>
        <w:rPr>
          <w:lang w:val="es-PE"/>
        </w:rPr>
        <w:t xml:space="preserve"> </w:t>
      </w:r>
      <w:hyperlink r:id="rId12" w:history="1">
        <w:r>
          <w:rPr>
            <w:rStyle w:val="Hipervnculo"/>
            <w:rFonts w:ascii="Times New Roman" w:hAnsi="Times New Roman"/>
            <w:sz w:val="24"/>
            <w:szCs w:val="24"/>
            <w:lang w:val="es-PE"/>
          </w:rPr>
          <w:t>mvalladares@continental.edu.pe</w:t>
        </w:r>
      </w:hyperlink>
      <w:r>
        <w:rPr>
          <w:rFonts w:ascii="Times New Roman" w:hAnsi="Times New Roman"/>
          <w:sz w:val="24"/>
          <w:szCs w:val="24"/>
          <w:lang w:val="es-PE"/>
        </w:rPr>
        <w:t xml:space="preserve"> </w:t>
      </w:r>
    </w:p>
    <w:p w14:paraId="1E0CC81B" w14:textId="77777777" w:rsidR="00E95151" w:rsidRDefault="00E95151" w:rsidP="00E95151">
      <w:pPr>
        <w:pStyle w:val="MDPI16affiliation"/>
        <w:ind w:left="142"/>
        <w:jc w:val="both"/>
        <w:rPr>
          <w:rFonts w:ascii="Times New Roman" w:hAnsi="Times New Roman"/>
          <w:sz w:val="24"/>
          <w:szCs w:val="24"/>
          <w:lang w:val="es-PE"/>
        </w:rPr>
      </w:pPr>
      <w:r>
        <w:rPr>
          <w:rFonts w:ascii="Times New Roman" w:hAnsi="Times New Roman"/>
          <w:sz w:val="24"/>
          <w:szCs w:val="24"/>
          <w:vertAlign w:val="superscript"/>
          <w:lang w:val="es-PE"/>
        </w:rPr>
        <w:t>8</w:t>
      </w:r>
      <w:r>
        <w:rPr>
          <w:rFonts w:ascii="Times New Roman" w:hAnsi="Times New Roman"/>
          <w:sz w:val="24"/>
          <w:szCs w:val="24"/>
          <w:lang w:val="es-PE"/>
        </w:rPr>
        <w:tab/>
        <w:t>Oficina de Epidemiología, Hospital Regional Lambayeque, Chiclayo 14012, Peru</w:t>
      </w:r>
    </w:p>
    <w:p w14:paraId="6B658900"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sz w:val="24"/>
          <w:szCs w:val="24"/>
          <w:vertAlign w:val="superscript"/>
        </w:rPr>
        <w:t>9</w:t>
      </w:r>
      <w:r>
        <w:rPr>
          <w:rFonts w:ascii="Times New Roman" w:hAnsi="Times New Roman"/>
          <w:sz w:val="24"/>
          <w:szCs w:val="24"/>
        </w:rPr>
        <w:tab/>
        <w:t xml:space="preserve">Master of Clinical Epidemiology and Biostatistics, Universidad Cientifica del Sur, Lima 15067, Peru; </w:t>
      </w:r>
      <w:hyperlink r:id="rId13" w:history="1">
        <w:r>
          <w:rPr>
            <w:rStyle w:val="Hipervnculo"/>
            <w:rFonts w:ascii="Times New Roman" w:hAnsi="Times New Roman"/>
            <w:sz w:val="24"/>
            <w:szCs w:val="24"/>
          </w:rPr>
          <w:t>arodriguezmo@cientifica.edu.pe</w:t>
        </w:r>
      </w:hyperlink>
      <w:r>
        <w:rPr>
          <w:rFonts w:ascii="Times New Roman" w:hAnsi="Times New Roman"/>
          <w:sz w:val="24"/>
          <w:szCs w:val="24"/>
        </w:rPr>
        <w:t xml:space="preserve"> </w:t>
      </w:r>
    </w:p>
    <w:p w14:paraId="3145B2FF"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sz w:val="24"/>
          <w:szCs w:val="24"/>
          <w:vertAlign w:val="superscript"/>
        </w:rPr>
        <w:t>10</w:t>
      </w:r>
      <w:r>
        <w:rPr>
          <w:rFonts w:ascii="Times New Roman" w:hAnsi="Times New Roman"/>
          <w:sz w:val="24"/>
          <w:szCs w:val="24"/>
        </w:rPr>
        <w:tab/>
        <w:t xml:space="preserve">Gilbert and Rose-Marie Chagoury School of Medicine, Lebanese American University, Beirut 1102, Lebanon; </w:t>
      </w:r>
      <w:hyperlink r:id="rId14" w:history="1">
        <w:r>
          <w:rPr>
            <w:rStyle w:val="Hipervnculo"/>
            <w:rFonts w:ascii="Times New Roman" w:hAnsi="Times New Roman"/>
            <w:sz w:val="24"/>
            <w:szCs w:val="24"/>
          </w:rPr>
          <w:t>alphonso.morales@lau.edu.lb</w:t>
        </w:r>
      </w:hyperlink>
      <w:r>
        <w:rPr>
          <w:rFonts w:ascii="Times New Roman" w:hAnsi="Times New Roman"/>
          <w:sz w:val="24"/>
          <w:szCs w:val="24"/>
        </w:rPr>
        <w:t xml:space="preserve"> </w:t>
      </w:r>
    </w:p>
    <w:bookmarkEnd w:id="1"/>
    <w:p w14:paraId="59F0ACFD" w14:textId="77777777" w:rsidR="00E95151" w:rsidRDefault="00E95151" w:rsidP="00E95151">
      <w:pPr>
        <w:pStyle w:val="MDPI16affiliation"/>
        <w:ind w:left="142"/>
        <w:jc w:val="both"/>
        <w:rPr>
          <w:rFonts w:ascii="Times New Roman" w:hAnsi="Times New Roman"/>
          <w:sz w:val="24"/>
          <w:szCs w:val="24"/>
        </w:rPr>
      </w:pPr>
    </w:p>
    <w:p w14:paraId="01294346" w14:textId="77777777" w:rsidR="00E95151" w:rsidRDefault="00E95151" w:rsidP="00E95151">
      <w:pPr>
        <w:pStyle w:val="MDPI16affiliation"/>
        <w:ind w:left="0" w:firstLine="0"/>
        <w:jc w:val="both"/>
        <w:rPr>
          <w:rFonts w:ascii="Times New Roman" w:hAnsi="Times New Roman"/>
          <w:b/>
          <w:sz w:val="24"/>
          <w:szCs w:val="24"/>
        </w:rPr>
      </w:pPr>
    </w:p>
    <w:p w14:paraId="27069458" w14:textId="77777777" w:rsidR="00E95151" w:rsidRDefault="00E95151" w:rsidP="00E95151">
      <w:pPr>
        <w:pStyle w:val="MDPI16affiliation"/>
        <w:ind w:left="142"/>
        <w:jc w:val="both"/>
        <w:rPr>
          <w:rFonts w:ascii="Times New Roman" w:hAnsi="Times New Roman"/>
          <w:sz w:val="24"/>
          <w:szCs w:val="24"/>
        </w:rPr>
      </w:pPr>
      <w:r>
        <w:rPr>
          <w:rFonts w:ascii="Times New Roman" w:hAnsi="Times New Roman"/>
          <w:b/>
          <w:sz w:val="24"/>
          <w:szCs w:val="24"/>
          <w:lang w:val="es-PE"/>
        </w:rPr>
        <w:t>*</w:t>
      </w:r>
      <w:r>
        <w:rPr>
          <w:rFonts w:ascii="Times New Roman" w:hAnsi="Times New Roman"/>
          <w:sz w:val="24"/>
          <w:szCs w:val="24"/>
          <w:lang w:val="es-PE"/>
        </w:rPr>
        <w:tab/>
      </w:r>
      <w:r>
        <w:rPr>
          <w:rFonts w:ascii="Times New Roman" w:hAnsi="Times New Roman"/>
          <w:b/>
          <w:bCs/>
          <w:sz w:val="24"/>
          <w:szCs w:val="24"/>
          <w:lang w:val="es-PE"/>
        </w:rPr>
        <w:t>Correspondence</w:t>
      </w:r>
      <w:r>
        <w:rPr>
          <w:rFonts w:ascii="Times New Roman" w:hAnsi="Times New Roman"/>
          <w:sz w:val="24"/>
          <w:szCs w:val="24"/>
          <w:lang w:val="es-PE"/>
        </w:rPr>
        <w:t xml:space="preserve">: E-mail: </w:t>
      </w:r>
      <w:hyperlink r:id="rId15" w:history="1">
        <w:r>
          <w:rPr>
            <w:rStyle w:val="Hipervnculo"/>
            <w:rFonts w:ascii="Times New Roman" w:hAnsi="Times New Roman"/>
            <w:sz w:val="24"/>
            <w:szCs w:val="24"/>
            <w:lang w:val="es-PE"/>
          </w:rPr>
          <w:t>jbarbozameca@gmail.com</w:t>
        </w:r>
      </w:hyperlink>
      <w:r>
        <w:rPr>
          <w:rFonts w:ascii="Times New Roman" w:hAnsi="Times New Roman"/>
          <w:sz w:val="24"/>
          <w:szCs w:val="24"/>
          <w:lang w:val="es-PE"/>
        </w:rPr>
        <w:t xml:space="preserve"> . Address: Juan del Corral 937. </w:t>
      </w:r>
      <w:r>
        <w:rPr>
          <w:rFonts w:ascii="Times New Roman" w:hAnsi="Times New Roman"/>
          <w:sz w:val="24"/>
          <w:szCs w:val="24"/>
        </w:rPr>
        <w:t>El Bosque, Trujillo, Peru. Tel.+51 992108520</w:t>
      </w:r>
    </w:p>
    <w:p w14:paraId="4275CB7D" w14:textId="77777777" w:rsidR="00E95151" w:rsidRDefault="00E95151" w:rsidP="00E95151">
      <w:pPr>
        <w:pStyle w:val="MDPI16affiliation"/>
        <w:rPr>
          <w:b/>
        </w:rPr>
      </w:pPr>
    </w:p>
    <w:p w14:paraId="3C0C3F62" w14:textId="77777777" w:rsidR="00E95151" w:rsidRDefault="00E95151" w:rsidP="00E95151">
      <w:pPr>
        <w:pStyle w:val="MDPI16affiliation"/>
        <w:rPr>
          <w:b/>
        </w:rPr>
      </w:pPr>
    </w:p>
    <w:p w14:paraId="34FA8D89" w14:textId="0B1499DD" w:rsidR="006A4EF7" w:rsidRPr="00CD2F15" w:rsidRDefault="006A4EF7" w:rsidP="00364DC6">
      <w:pPr>
        <w:pStyle w:val="MDPI16affiliation"/>
        <w:rPr>
          <w:b/>
        </w:rPr>
      </w:pPr>
    </w:p>
    <w:p w14:paraId="305F65A3" w14:textId="56CAFA73" w:rsidR="006A4EF7" w:rsidRPr="00CD2F15" w:rsidRDefault="006A4EF7" w:rsidP="00364DC6">
      <w:pPr>
        <w:pStyle w:val="MDPI16affiliation"/>
        <w:rPr>
          <w:b/>
        </w:rPr>
      </w:pPr>
    </w:p>
    <w:p w14:paraId="43F6FE9F" w14:textId="3F7A2EB5" w:rsidR="006A4EF7" w:rsidRPr="00CD2F15" w:rsidRDefault="006A4EF7" w:rsidP="00364DC6">
      <w:pPr>
        <w:pStyle w:val="MDPI16affiliation"/>
        <w:rPr>
          <w:b/>
        </w:rPr>
      </w:pPr>
    </w:p>
    <w:p w14:paraId="48114AB3" w14:textId="77777777" w:rsidR="006A4EF7" w:rsidRPr="00CD2F15" w:rsidRDefault="006A4EF7" w:rsidP="00364DC6">
      <w:pPr>
        <w:pStyle w:val="MDPI16affiliation"/>
        <w:rPr>
          <w:b/>
        </w:rPr>
      </w:pPr>
    </w:p>
    <w:p w14:paraId="1F030A5D" w14:textId="52B15FEF" w:rsidR="006A4EF7" w:rsidRPr="00CD2F15" w:rsidRDefault="006A4EF7" w:rsidP="00364DC6">
      <w:pPr>
        <w:pStyle w:val="MDPI16affiliation"/>
        <w:rPr>
          <w:b/>
        </w:rPr>
      </w:pPr>
    </w:p>
    <w:p w14:paraId="79BA3EF8" w14:textId="5A6B7F94" w:rsidR="006A4EF7" w:rsidRPr="00CD2F15" w:rsidRDefault="006A4EF7" w:rsidP="00364DC6">
      <w:pPr>
        <w:pStyle w:val="MDPI16affiliation"/>
        <w:rPr>
          <w:b/>
        </w:rPr>
      </w:pPr>
    </w:p>
    <w:p w14:paraId="690A46B3" w14:textId="4A473D7C" w:rsidR="006A4EF7" w:rsidRPr="00CD2F15" w:rsidRDefault="006A4EF7" w:rsidP="00364DC6">
      <w:pPr>
        <w:pStyle w:val="MDPI16affiliation"/>
        <w:rPr>
          <w:b/>
        </w:rPr>
      </w:pPr>
    </w:p>
    <w:p w14:paraId="2A0E8C93" w14:textId="0B33A4AB" w:rsidR="006A4EF7" w:rsidRPr="00CD2F15" w:rsidRDefault="006A4EF7" w:rsidP="00364DC6">
      <w:pPr>
        <w:pStyle w:val="MDPI16affiliation"/>
        <w:rPr>
          <w:b/>
        </w:rPr>
      </w:pPr>
    </w:p>
    <w:p w14:paraId="5740EF9D" w14:textId="71353C6A" w:rsidR="006A4EF7" w:rsidRPr="00CD2F15" w:rsidRDefault="006A4EF7" w:rsidP="00364DC6">
      <w:pPr>
        <w:pStyle w:val="MDPI16affiliation"/>
        <w:rPr>
          <w:b/>
        </w:rPr>
      </w:pPr>
    </w:p>
    <w:p w14:paraId="225B9B4E" w14:textId="2F61CF49" w:rsidR="006A4EF7" w:rsidRPr="00CD2F15" w:rsidRDefault="006A4EF7" w:rsidP="00364DC6">
      <w:pPr>
        <w:pStyle w:val="MDPI16affiliation"/>
        <w:rPr>
          <w:b/>
        </w:rPr>
      </w:pPr>
    </w:p>
    <w:p w14:paraId="5659F617" w14:textId="5442B0A3" w:rsidR="006A4EF7" w:rsidRPr="00CD2F15" w:rsidRDefault="006A4EF7" w:rsidP="00364DC6">
      <w:pPr>
        <w:pStyle w:val="MDPI16affiliation"/>
        <w:rPr>
          <w:b/>
        </w:rPr>
      </w:pPr>
    </w:p>
    <w:p w14:paraId="1D7F46B7" w14:textId="36C8AABB" w:rsidR="006A4EF7" w:rsidRPr="00CD2F15" w:rsidRDefault="006A4EF7" w:rsidP="00364DC6">
      <w:pPr>
        <w:pStyle w:val="MDPI16affiliation"/>
        <w:rPr>
          <w:b/>
        </w:rPr>
      </w:pPr>
    </w:p>
    <w:p w14:paraId="4B4A9004" w14:textId="0683B941" w:rsidR="006A4EF7" w:rsidRPr="00CD2F15" w:rsidRDefault="006A4EF7" w:rsidP="00364DC6">
      <w:pPr>
        <w:pStyle w:val="MDPI16affiliation"/>
        <w:rPr>
          <w:b/>
        </w:rPr>
      </w:pPr>
    </w:p>
    <w:p w14:paraId="54360687" w14:textId="77777777" w:rsidR="00D22542" w:rsidRPr="00CD2F15" w:rsidRDefault="00D22542" w:rsidP="00364DC6">
      <w:pPr>
        <w:pStyle w:val="MDPI16affiliation"/>
        <w:rPr>
          <w:b/>
        </w:rPr>
      </w:pPr>
    </w:p>
    <w:p w14:paraId="5BE973EA" w14:textId="77777777" w:rsidR="00D22542" w:rsidRPr="00CD2F15" w:rsidRDefault="00D22542" w:rsidP="00364DC6">
      <w:pPr>
        <w:pStyle w:val="MDPI16affiliation"/>
        <w:rPr>
          <w:b/>
        </w:rPr>
      </w:pPr>
    </w:p>
    <w:p w14:paraId="4BB6DE67" w14:textId="77777777" w:rsidR="00A90C11" w:rsidRDefault="00A90C11" w:rsidP="00A90C11">
      <w:pPr>
        <w:pStyle w:val="MDPI62BackMatter"/>
        <w:ind w:left="0"/>
        <w:rPr>
          <w:b/>
        </w:rPr>
      </w:pPr>
    </w:p>
    <w:p w14:paraId="6AF05836" w14:textId="77777777" w:rsidR="00994880" w:rsidRDefault="00994880" w:rsidP="00A90C11">
      <w:pPr>
        <w:pStyle w:val="MDPI62BackMatter"/>
        <w:ind w:left="0"/>
        <w:rPr>
          <w:b/>
        </w:rPr>
      </w:pPr>
    </w:p>
    <w:p w14:paraId="2162EED5" w14:textId="77777777" w:rsidR="00994880" w:rsidRDefault="00994880" w:rsidP="00A90C11">
      <w:pPr>
        <w:pStyle w:val="MDPI62BackMatter"/>
        <w:ind w:left="0"/>
        <w:rPr>
          <w:b/>
        </w:rPr>
      </w:pPr>
    </w:p>
    <w:p w14:paraId="6C9E82B4" w14:textId="77777777" w:rsidR="00994880" w:rsidRDefault="00994880" w:rsidP="00A90C11">
      <w:pPr>
        <w:pStyle w:val="MDPI62BackMatter"/>
        <w:ind w:left="0"/>
        <w:rPr>
          <w:b/>
        </w:rPr>
      </w:pPr>
    </w:p>
    <w:p w14:paraId="2FA092EC" w14:textId="77777777" w:rsidR="00994880" w:rsidRDefault="00994880" w:rsidP="00A90C11">
      <w:pPr>
        <w:pStyle w:val="MDPI62BackMatter"/>
        <w:ind w:left="0"/>
        <w:rPr>
          <w:b/>
        </w:rPr>
      </w:pPr>
    </w:p>
    <w:p w14:paraId="7FC4F791" w14:textId="77777777" w:rsidR="00994880" w:rsidRDefault="00994880" w:rsidP="00A90C11">
      <w:pPr>
        <w:pStyle w:val="MDPI62BackMatter"/>
        <w:ind w:left="0"/>
        <w:rPr>
          <w:b/>
        </w:rPr>
      </w:pPr>
    </w:p>
    <w:p w14:paraId="2252371B" w14:textId="77777777" w:rsidR="00994880" w:rsidRDefault="00994880" w:rsidP="00A90C11">
      <w:pPr>
        <w:pStyle w:val="MDPI62BackMatter"/>
        <w:ind w:left="0"/>
        <w:rPr>
          <w:b/>
        </w:rPr>
      </w:pPr>
    </w:p>
    <w:p w14:paraId="1F1EC11C" w14:textId="77777777" w:rsidR="00994880" w:rsidRDefault="00994880" w:rsidP="00A90C11">
      <w:pPr>
        <w:pStyle w:val="MDPI62BackMatter"/>
        <w:ind w:left="0"/>
        <w:rPr>
          <w:b/>
        </w:rPr>
      </w:pPr>
    </w:p>
    <w:p w14:paraId="181CA71F" w14:textId="059689BD" w:rsidR="00994880" w:rsidRPr="008F4C7C" w:rsidRDefault="00994880" w:rsidP="00A90C11">
      <w:pPr>
        <w:pStyle w:val="MDPI62BackMatter"/>
        <w:ind w:left="0"/>
        <w:rPr>
          <w:b/>
          <w:sz w:val="24"/>
          <w:szCs w:val="24"/>
        </w:rPr>
      </w:pPr>
      <w:r w:rsidRPr="008F4C7C">
        <w:rPr>
          <w:b/>
          <w:sz w:val="24"/>
          <w:szCs w:val="24"/>
        </w:rPr>
        <w:t>Supplementary material</w:t>
      </w:r>
    </w:p>
    <w:p w14:paraId="0678989E" w14:textId="1993C2AE" w:rsidR="00FE59C4" w:rsidRPr="00BD27B7" w:rsidRDefault="00FE59C4" w:rsidP="008535D2">
      <w:pPr>
        <w:pStyle w:val="MDPI62BackMatter"/>
        <w:numPr>
          <w:ilvl w:val="0"/>
          <w:numId w:val="25"/>
        </w:numPr>
        <w:rPr>
          <w:bCs/>
          <w:sz w:val="22"/>
          <w:szCs w:val="22"/>
        </w:rPr>
      </w:pPr>
      <w:r w:rsidRPr="00BD27B7">
        <w:rPr>
          <w:b/>
          <w:sz w:val="22"/>
          <w:szCs w:val="22"/>
        </w:rPr>
        <w:t>S1 PRISMA Checklist</w:t>
      </w:r>
      <w:r w:rsidRPr="00BD27B7">
        <w:rPr>
          <w:bCs/>
          <w:sz w:val="22"/>
          <w:szCs w:val="22"/>
        </w:rPr>
        <w:t xml:space="preserve"> (PRISMA 2020 Main Checklist and PRIMSA Abstract Checklist)</w:t>
      </w:r>
    </w:p>
    <w:p w14:paraId="4D9B4ABB" w14:textId="23A1E8D1" w:rsidR="00994880" w:rsidRPr="00BD27B7" w:rsidRDefault="003659A5" w:rsidP="008535D2">
      <w:pPr>
        <w:pStyle w:val="MDPI62BackMatter"/>
        <w:numPr>
          <w:ilvl w:val="0"/>
          <w:numId w:val="25"/>
        </w:numPr>
        <w:rPr>
          <w:bCs/>
          <w:sz w:val="22"/>
          <w:szCs w:val="22"/>
        </w:rPr>
      </w:pPr>
      <w:r w:rsidRPr="00BD27B7">
        <w:rPr>
          <w:b/>
          <w:sz w:val="22"/>
          <w:szCs w:val="22"/>
        </w:rPr>
        <w:t>S</w:t>
      </w:r>
      <w:r w:rsidR="00FE59C4" w:rsidRPr="00BD27B7">
        <w:rPr>
          <w:b/>
          <w:sz w:val="22"/>
          <w:szCs w:val="22"/>
        </w:rPr>
        <w:t>2</w:t>
      </w:r>
      <w:r w:rsidRPr="00BD27B7">
        <w:rPr>
          <w:b/>
          <w:sz w:val="22"/>
          <w:szCs w:val="22"/>
        </w:rPr>
        <w:t xml:space="preserve"> </w:t>
      </w:r>
      <w:r w:rsidR="00123558" w:rsidRPr="00BD27B7">
        <w:rPr>
          <w:b/>
          <w:sz w:val="22"/>
          <w:szCs w:val="22"/>
        </w:rPr>
        <w:t>Table.</w:t>
      </w:r>
      <w:r w:rsidR="00123558" w:rsidRPr="00BD27B7">
        <w:rPr>
          <w:bCs/>
          <w:sz w:val="22"/>
          <w:szCs w:val="22"/>
        </w:rPr>
        <w:t xml:space="preserve"> The adjusted search terms as per searched electronic databases.</w:t>
      </w:r>
    </w:p>
    <w:p w14:paraId="167760A0" w14:textId="212D4CD4" w:rsidR="00123558" w:rsidRPr="00BD27B7" w:rsidRDefault="003659A5" w:rsidP="008535D2">
      <w:pPr>
        <w:pStyle w:val="MDPI62BackMatter"/>
        <w:numPr>
          <w:ilvl w:val="0"/>
          <w:numId w:val="25"/>
        </w:numPr>
        <w:rPr>
          <w:bCs/>
          <w:sz w:val="22"/>
          <w:szCs w:val="22"/>
        </w:rPr>
      </w:pPr>
      <w:r w:rsidRPr="00BD27B7">
        <w:rPr>
          <w:b/>
          <w:sz w:val="22"/>
          <w:szCs w:val="22"/>
        </w:rPr>
        <w:t>S</w:t>
      </w:r>
      <w:r w:rsidR="00FE59C4" w:rsidRPr="00BD27B7">
        <w:rPr>
          <w:b/>
          <w:sz w:val="22"/>
          <w:szCs w:val="22"/>
        </w:rPr>
        <w:t>3</w:t>
      </w:r>
      <w:r w:rsidRPr="00BD27B7">
        <w:rPr>
          <w:b/>
          <w:sz w:val="22"/>
          <w:szCs w:val="22"/>
        </w:rPr>
        <w:t xml:space="preserve"> </w:t>
      </w:r>
      <w:r w:rsidR="00123558" w:rsidRPr="00BD27B7">
        <w:rPr>
          <w:b/>
          <w:sz w:val="22"/>
          <w:szCs w:val="22"/>
        </w:rPr>
        <w:t>Table.</w:t>
      </w:r>
      <w:r w:rsidR="00123558" w:rsidRPr="00BD27B7">
        <w:rPr>
          <w:bCs/>
          <w:sz w:val="22"/>
          <w:szCs w:val="22"/>
        </w:rPr>
        <w:t xml:space="preserve"> Quality of the included studies</w:t>
      </w:r>
    </w:p>
    <w:p w14:paraId="4325B176" w14:textId="436750A8" w:rsidR="00123558" w:rsidRPr="00BD27B7" w:rsidRDefault="003659A5" w:rsidP="008535D2">
      <w:pPr>
        <w:pStyle w:val="MDPI62BackMatter"/>
        <w:numPr>
          <w:ilvl w:val="0"/>
          <w:numId w:val="25"/>
        </w:numPr>
        <w:rPr>
          <w:bCs/>
          <w:sz w:val="22"/>
          <w:szCs w:val="22"/>
        </w:rPr>
      </w:pPr>
      <w:r w:rsidRPr="00BD27B7">
        <w:rPr>
          <w:b/>
          <w:sz w:val="22"/>
          <w:szCs w:val="22"/>
        </w:rPr>
        <w:t xml:space="preserve">S1 </w:t>
      </w:r>
      <w:r w:rsidR="00123558" w:rsidRPr="00BD27B7">
        <w:rPr>
          <w:b/>
          <w:sz w:val="22"/>
          <w:szCs w:val="22"/>
        </w:rPr>
        <w:t>Figure.</w:t>
      </w:r>
      <w:r w:rsidR="00123558" w:rsidRPr="00BD27B7">
        <w:rPr>
          <w:bCs/>
          <w:sz w:val="22"/>
          <w:szCs w:val="22"/>
        </w:rPr>
        <w:t xml:space="preserve"> Forest plot showing prevalence of intention to vaccinate against monkeypox among study participants.</w:t>
      </w:r>
    </w:p>
    <w:p w14:paraId="0448BA82" w14:textId="7A0D7CFA" w:rsidR="00123558" w:rsidRPr="00BD27B7" w:rsidRDefault="00CB440B" w:rsidP="008535D2">
      <w:pPr>
        <w:pStyle w:val="MDPI62BackMatter"/>
        <w:numPr>
          <w:ilvl w:val="0"/>
          <w:numId w:val="25"/>
        </w:numPr>
        <w:rPr>
          <w:bCs/>
          <w:sz w:val="22"/>
          <w:szCs w:val="22"/>
        </w:rPr>
      </w:pPr>
      <w:r w:rsidRPr="00BD27B7">
        <w:rPr>
          <w:b/>
          <w:sz w:val="22"/>
          <w:szCs w:val="22"/>
        </w:rPr>
        <w:t xml:space="preserve">S2 </w:t>
      </w:r>
      <w:r w:rsidR="00123558" w:rsidRPr="00BD27B7">
        <w:rPr>
          <w:b/>
          <w:sz w:val="22"/>
          <w:szCs w:val="22"/>
        </w:rPr>
        <w:t>Figure.</w:t>
      </w:r>
      <w:r w:rsidR="00123558" w:rsidRPr="00BD27B7">
        <w:rPr>
          <w:bCs/>
          <w:sz w:val="22"/>
          <w:szCs w:val="22"/>
        </w:rPr>
        <w:t xml:space="preserve"> Subgroup analysis by country on good knowledge of monkeypox.</w:t>
      </w:r>
    </w:p>
    <w:p w14:paraId="342783EF" w14:textId="45C98A9B" w:rsidR="00123558" w:rsidRPr="00BD27B7" w:rsidRDefault="00CB440B" w:rsidP="008535D2">
      <w:pPr>
        <w:pStyle w:val="MDPI62BackMatter"/>
        <w:numPr>
          <w:ilvl w:val="0"/>
          <w:numId w:val="25"/>
        </w:numPr>
        <w:rPr>
          <w:bCs/>
          <w:sz w:val="22"/>
          <w:szCs w:val="22"/>
        </w:rPr>
      </w:pPr>
      <w:r w:rsidRPr="00BD27B7">
        <w:rPr>
          <w:b/>
          <w:sz w:val="22"/>
          <w:szCs w:val="22"/>
        </w:rPr>
        <w:t xml:space="preserve">S3 </w:t>
      </w:r>
      <w:r w:rsidR="00123558" w:rsidRPr="00BD27B7">
        <w:rPr>
          <w:b/>
          <w:sz w:val="22"/>
          <w:szCs w:val="22"/>
        </w:rPr>
        <w:t>Figure.</w:t>
      </w:r>
      <w:r w:rsidR="00123558" w:rsidRPr="00BD27B7">
        <w:rPr>
          <w:bCs/>
          <w:sz w:val="22"/>
          <w:szCs w:val="22"/>
        </w:rPr>
        <w:t xml:space="preserve"> Subgroup analysis by country on positive attitude toward monkeypox.</w:t>
      </w:r>
    </w:p>
    <w:p w14:paraId="37D02AE2" w14:textId="2C394F59" w:rsidR="00123558" w:rsidRPr="00BD27B7" w:rsidRDefault="00CB440B" w:rsidP="008535D2">
      <w:pPr>
        <w:pStyle w:val="MDPI62BackMatter"/>
        <w:numPr>
          <w:ilvl w:val="0"/>
          <w:numId w:val="25"/>
        </w:numPr>
        <w:rPr>
          <w:bCs/>
          <w:sz w:val="22"/>
          <w:szCs w:val="22"/>
        </w:rPr>
      </w:pPr>
      <w:r w:rsidRPr="00BD27B7">
        <w:rPr>
          <w:b/>
          <w:sz w:val="22"/>
          <w:szCs w:val="22"/>
        </w:rPr>
        <w:t xml:space="preserve">S4 </w:t>
      </w:r>
      <w:r w:rsidR="003D1561" w:rsidRPr="00BD27B7">
        <w:rPr>
          <w:b/>
          <w:sz w:val="22"/>
          <w:szCs w:val="22"/>
        </w:rPr>
        <w:t>Figure.</w:t>
      </w:r>
      <w:r w:rsidR="003D1561" w:rsidRPr="00BD27B7">
        <w:rPr>
          <w:bCs/>
          <w:sz w:val="22"/>
          <w:szCs w:val="22"/>
        </w:rPr>
        <w:t xml:space="preserve"> Subgroup analysis by study subjects on good knowledge of monkeypox.</w:t>
      </w:r>
    </w:p>
    <w:p w14:paraId="103A4F07" w14:textId="173143CA" w:rsidR="00123558" w:rsidRPr="00BD27B7" w:rsidRDefault="00CB440B" w:rsidP="008535D2">
      <w:pPr>
        <w:pStyle w:val="MDPI62BackMatter"/>
        <w:numPr>
          <w:ilvl w:val="0"/>
          <w:numId w:val="25"/>
        </w:numPr>
        <w:rPr>
          <w:bCs/>
          <w:sz w:val="22"/>
          <w:szCs w:val="22"/>
        </w:rPr>
      </w:pPr>
      <w:r w:rsidRPr="00BD27B7">
        <w:rPr>
          <w:b/>
          <w:sz w:val="22"/>
          <w:szCs w:val="22"/>
        </w:rPr>
        <w:t xml:space="preserve">S5 </w:t>
      </w:r>
      <w:r w:rsidR="009F4E6E" w:rsidRPr="00BD27B7">
        <w:rPr>
          <w:b/>
          <w:sz w:val="22"/>
          <w:szCs w:val="22"/>
        </w:rPr>
        <w:t>Figure.</w:t>
      </w:r>
      <w:r w:rsidR="009F4E6E" w:rsidRPr="00BD27B7">
        <w:rPr>
          <w:bCs/>
          <w:sz w:val="22"/>
          <w:szCs w:val="22"/>
        </w:rPr>
        <w:t xml:space="preserve"> Subgroup analysis by study subjects on positive attitude toward monkeypox.</w:t>
      </w:r>
    </w:p>
    <w:p w14:paraId="5B7BD908" w14:textId="4F995A1E" w:rsidR="009F4E6E" w:rsidRPr="00BD27B7" w:rsidRDefault="00CB440B" w:rsidP="008535D2">
      <w:pPr>
        <w:pStyle w:val="MDPI62BackMatter"/>
        <w:numPr>
          <w:ilvl w:val="0"/>
          <w:numId w:val="25"/>
        </w:numPr>
        <w:rPr>
          <w:bCs/>
          <w:sz w:val="22"/>
          <w:szCs w:val="22"/>
        </w:rPr>
      </w:pPr>
      <w:r w:rsidRPr="00BD27B7">
        <w:rPr>
          <w:b/>
          <w:sz w:val="22"/>
          <w:szCs w:val="22"/>
        </w:rPr>
        <w:t xml:space="preserve">S6 </w:t>
      </w:r>
      <w:r w:rsidR="009F4E6E" w:rsidRPr="00BD27B7">
        <w:rPr>
          <w:b/>
          <w:sz w:val="22"/>
          <w:szCs w:val="22"/>
        </w:rPr>
        <w:t>Figure.</w:t>
      </w:r>
      <w:r w:rsidR="009F4E6E" w:rsidRPr="00BD27B7">
        <w:rPr>
          <w:bCs/>
          <w:sz w:val="22"/>
          <w:szCs w:val="22"/>
        </w:rPr>
        <w:t xml:space="preserve"> Subgroup analysis by study year on good knowledge of monkeypox.</w:t>
      </w:r>
    </w:p>
    <w:p w14:paraId="29FD8B7C" w14:textId="65043DF3" w:rsidR="009F4E6E" w:rsidRPr="00BD27B7" w:rsidRDefault="00CB440B" w:rsidP="008535D2">
      <w:pPr>
        <w:pStyle w:val="MDPI62BackMatter"/>
        <w:numPr>
          <w:ilvl w:val="0"/>
          <w:numId w:val="25"/>
        </w:numPr>
        <w:rPr>
          <w:bCs/>
          <w:sz w:val="22"/>
          <w:szCs w:val="22"/>
        </w:rPr>
      </w:pPr>
      <w:r w:rsidRPr="00BD27B7">
        <w:rPr>
          <w:b/>
          <w:sz w:val="22"/>
          <w:szCs w:val="22"/>
        </w:rPr>
        <w:t xml:space="preserve">S7 </w:t>
      </w:r>
      <w:r w:rsidR="00136E7B" w:rsidRPr="00BD27B7">
        <w:rPr>
          <w:b/>
          <w:sz w:val="22"/>
          <w:szCs w:val="22"/>
        </w:rPr>
        <w:t>Figure.</w:t>
      </w:r>
      <w:r w:rsidR="00136E7B" w:rsidRPr="00BD27B7">
        <w:rPr>
          <w:bCs/>
          <w:sz w:val="22"/>
          <w:szCs w:val="22"/>
        </w:rPr>
        <w:t xml:space="preserve"> Subgroup analysis by study year on positive attitude toward monkeypox.</w:t>
      </w:r>
    </w:p>
    <w:p w14:paraId="19274D41" w14:textId="1EBD1981" w:rsidR="00123558" w:rsidRPr="00BD27B7" w:rsidRDefault="00B65085" w:rsidP="008535D2">
      <w:pPr>
        <w:pStyle w:val="MDPI62BackMatter"/>
        <w:numPr>
          <w:ilvl w:val="0"/>
          <w:numId w:val="25"/>
        </w:numPr>
        <w:rPr>
          <w:b/>
          <w:sz w:val="22"/>
          <w:szCs w:val="22"/>
        </w:rPr>
      </w:pPr>
      <w:r w:rsidRPr="00BD27B7">
        <w:rPr>
          <w:b/>
          <w:sz w:val="22"/>
          <w:szCs w:val="22"/>
        </w:rPr>
        <w:t>References</w:t>
      </w:r>
    </w:p>
    <w:p w14:paraId="01AB5840" w14:textId="77777777" w:rsidR="00123558" w:rsidRDefault="00123558" w:rsidP="00A90C11">
      <w:pPr>
        <w:pStyle w:val="MDPI62BackMatter"/>
        <w:ind w:left="0"/>
        <w:rPr>
          <w:bCs/>
        </w:rPr>
      </w:pPr>
    </w:p>
    <w:p w14:paraId="38842DD5" w14:textId="77777777" w:rsidR="00123558" w:rsidRDefault="00123558" w:rsidP="00A90C11">
      <w:pPr>
        <w:pStyle w:val="MDPI62BackMatter"/>
        <w:ind w:left="0"/>
        <w:rPr>
          <w:bCs/>
        </w:rPr>
      </w:pPr>
    </w:p>
    <w:p w14:paraId="26130D7A" w14:textId="77777777" w:rsidR="00123558" w:rsidRDefault="00123558" w:rsidP="00A90C11">
      <w:pPr>
        <w:pStyle w:val="MDPI62BackMatter"/>
        <w:ind w:left="0"/>
        <w:rPr>
          <w:bCs/>
        </w:rPr>
      </w:pPr>
    </w:p>
    <w:p w14:paraId="3A0E4752" w14:textId="77777777" w:rsidR="00123558" w:rsidRDefault="00123558" w:rsidP="00A90C11">
      <w:pPr>
        <w:pStyle w:val="MDPI62BackMatter"/>
        <w:ind w:left="0"/>
        <w:rPr>
          <w:bCs/>
        </w:rPr>
      </w:pPr>
    </w:p>
    <w:p w14:paraId="473EC67B" w14:textId="77777777" w:rsidR="00123558" w:rsidRDefault="00123558" w:rsidP="00A90C11">
      <w:pPr>
        <w:pStyle w:val="MDPI62BackMatter"/>
        <w:ind w:left="0"/>
        <w:rPr>
          <w:bCs/>
        </w:rPr>
      </w:pPr>
    </w:p>
    <w:p w14:paraId="1A4CBF62" w14:textId="77777777" w:rsidR="00123558" w:rsidRDefault="00123558" w:rsidP="00A90C11">
      <w:pPr>
        <w:pStyle w:val="MDPI62BackMatter"/>
        <w:ind w:left="0"/>
        <w:rPr>
          <w:bCs/>
        </w:rPr>
      </w:pPr>
    </w:p>
    <w:p w14:paraId="578081D7" w14:textId="77777777" w:rsidR="00123558" w:rsidRDefault="00123558" w:rsidP="00A90C11">
      <w:pPr>
        <w:pStyle w:val="MDPI62BackMatter"/>
        <w:ind w:left="0"/>
        <w:rPr>
          <w:bCs/>
        </w:rPr>
      </w:pPr>
    </w:p>
    <w:p w14:paraId="7C2D379C" w14:textId="77777777" w:rsidR="00123558" w:rsidRDefault="00123558" w:rsidP="00A90C11">
      <w:pPr>
        <w:pStyle w:val="MDPI62BackMatter"/>
        <w:ind w:left="0"/>
        <w:rPr>
          <w:bCs/>
        </w:rPr>
      </w:pPr>
    </w:p>
    <w:p w14:paraId="47A3B36A" w14:textId="77777777" w:rsidR="00123558" w:rsidRDefault="00123558" w:rsidP="00A90C11">
      <w:pPr>
        <w:pStyle w:val="MDPI62BackMatter"/>
        <w:ind w:left="0"/>
        <w:rPr>
          <w:bCs/>
        </w:rPr>
      </w:pPr>
    </w:p>
    <w:p w14:paraId="618B2EB5" w14:textId="77777777" w:rsidR="00123558" w:rsidRDefault="00123558" w:rsidP="00A90C11">
      <w:pPr>
        <w:pStyle w:val="MDPI62BackMatter"/>
        <w:ind w:left="0"/>
        <w:rPr>
          <w:bCs/>
        </w:rPr>
      </w:pPr>
    </w:p>
    <w:p w14:paraId="13770DE4" w14:textId="77777777" w:rsidR="00123558" w:rsidRDefault="00123558" w:rsidP="00A90C11">
      <w:pPr>
        <w:pStyle w:val="MDPI62BackMatter"/>
        <w:ind w:left="0"/>
        <w:rPr>
          <w:bCs/>
        </w:rPr>
      </w:pPr>
    </w:p>
    <w:p w14:paraId="5087189C" w14:textId="77777777" w:rsidR="00123558" w:rsidRDefault="00123558" w:rsidP="00A90C11">
      <w:pPr>
        <w:pStyle w:val="MDPI62BackMatter"/>
        <w:ind w:left="0"/>
        <w:rPr>
          <w:bCs/>
        </w:rPr>
      </w:pPr>
    </w:p>
    <w:p w14:paraId="389DC705" w14:textId="77777777" w:rsidR="00123558" w:rsidRDefault="00123558" w:rsidP="00A90C11">
      <w:pPr>
        <w:pStyle w:val="MDPI62BackMatter"/>
        <w:ind w:left="0"/>
        <w:rPr>
          <w:bCs/>
        </w:rPr>
      </w:pPr>
    </w:p>
    <w:p w14:paraId="59CA3309" w14:textId="77777777" w:rsidR="00123558" w:rsidRDefault="00123558" w:rsidP="00A90C11">
      <w:pPr>
        <w:pStyle w:val="MDPI62BackMatter"/>
        <w:ind w:left="0"/>
        <w:rPr>
          <w:bCs/>
        </w:rPr>
      </w:pPr>
    </w:p>
    <w:p w14:paraId="5E4EA030" w14:textId="77777777" w:rsidR="00123558" w:rsidRDefault="00123558" w:rsidP="00A90C11">
      <w:pPr>
        <w:pStyle w:val="MDPI62BackMatter"/>
        <w:ind w:left="0"/>
        <w:rPr>
          <w:bCs/>
        </w:rPr>
      </w:pPr>
    </w:p>
    <w:p w14:paraId="44442AB6" w14:textId="77777777" w:rsidR="00BD27B7" w:rsidRDefault="00BD27B7" w:rsidP="00A90C11">
      <w:pPr>
        <w:pStyle w:val="MDPI62BackMatter"/>
        <w:ind w:left="0"/>
        <w:rPr>
          <w:bCs/>
        </w:rPr>
      </w:pPr>
    </w:p>
    <w:p w14:paraId="2F0E2F60" w14:textId="77777777" w:rsidR="00BD27B7" w:rsidRDefault="00BD27B7" w:rsidP="00A90C11">
      <w:pPr>
        <w:pStyle w:val="MDPI62BackMatter"/>
        <w:ind w:left="0"/>
        <w:rPr>
          <w:bCs/>
        </w:rPr>
      </w:pPr>
    </w:p>
    <w:p w14:paraId="7B0D0E2D" w14:textId="77777777" w:rsidR="00BD27B7" w:rsidRDefault="00BD27B7" w:rsidP="00A90C11">
      <w:pPr>
        <w:pStyle w:val="MDPI62BackMatter"/>
        <w:ind w:left="0"/>
        <w:rPr>
          <w:bCs/>
        </w:rPr>
      </w:pPr>
    </w:p>
    <w:p w14:paraId="0F51F6D7" w14:textId="77777777" w:rsidR="00BD27B7" w:rsidRDefault="00BD27B7" w:rsidP="00A90C11">
      <w:pPr>
        <w:pStyle w:val="MDPI62BackMatter"/>
        <w:ind w:left="0"/>
        <w:rPr>
          <w:bCs/>
        </w:rPr>
      </w:pPr>
    </w:p>
    <w:p w14:paraId="6635ADEC" w14:textId="77777777" w:rsidR="00123558" w:rsidRDefault="00123558" w:rsidP="00A90C11">
      <w:pPr>
        <w:pStyle w:val="MDPI62BackMatter"/>
        <w:ind w:left="0"/>
        <w:rPr>
          <w:bCs/>
        </w:rPr>
      </w:pPr>
    </w:p>
    <w:p w14:paraId="49605D49" w14:textId="77777777" w:rsidR="008535D2" w:rsidRPr="00BD27B7" w:rsidRDefault="008535D2" w:rsidP="008535D2">
      <w:pPr>
        <w:pStyle w:val="MDPI62BackMatter"/>
        <w:ind w:left="0"/>
        <w:rPr>
          <w:bCs/>
          <w:sz w:val="22"/>
          <w:szCs w:val="24"/>
        </w:rPr>
      </w:pPr>
      <w:r w:rsidRPr="00BD27B7">
        <w:rPr>
          <w:b/>
          <w:sz w:val="22"/>
          <w:szCs w:val="24"/>
        </w:rPr>
        <w:lastRenderedPageBreak/>
        <w:t>S1 PRISMA Checklist</w:t>
      </w:r>
      <w:r w:rsidRPr="00BD27B7">
        <w:rPr>
          <w:bCs/>
          <w:sz w:val="22"/>
          <w:szCs w:val="24"/>
        </w:rPr>
        <w:t xml:space="preserve"> (PRISMA 2020 Main Checklist and PRIMSA Abstract Checklist)</w:t>
      </w:r>
    </w:p>
    <w:p w14:paraId="71BDE33E" w14:textId="77777777" w:rsidR="00123558" w:rsidRDefault="00123558" w:rsidP="00A90C11">
      <w:pPr>
        <w:pStyle w:val="MDPI62BackMatter"/>
        <w:ind w:left="0"/>
        <w:rPr>
          <w:bCs/>
        </w:rPr>
      </w:pPr>
    </w:p>
    <w:p w14:paraId="1DBF1B03" w14:textId="77777777" w:rsidR="00AE09CE" w:rsidRPr="00AE09CE" w:rsidRDefault="00AE09CE" w:rsidP="00AE09CE">
      <w:pPr>
        <w:pStyle w:val="MDPI62BackMatter"/>
        <w:rPr>
          <w:rFonts w:ascii="Times New Roman" w:hAnsi="Times New Roman"/>
          <w:b/>
          <w:bCs/>
        </w:rPr>
      </w:pPr>
      <w:bookmarkStart w:id="2" w:name="prisma-2020-main-checklist"/>
      <w:r w:rsidRPr="00AE09CE">
        <w:rPr>
          <w:rFonts w:ascii="Times New Roman" w:hAnsi="Times New Roman"/>
          <w:b/>
          <w:bCs/>
        </w:rPr>
        <w:t>PRISMA 2020 Main Checklist</w:t>
      </w:r>
    </w:p>
    <w:tbl>
      <w:tblPr>
        <w:tblW w:w="0" w:type="auto"/>
        <w:jc w:val="center"/>
        <w:tblLook w:val="0420" w:firstRow="1" w:lastRow="0" w:firstColumn="0" w:lastColumn="0" w:noHBand="0" w:noVBand="1"/>
      </w:tblPr>
      <w:tblGrid>
        <w:gridCol w:w="1433"/>
        <w:gridCol w:w="270"/>
        <w:gridCol w:w="5785"/>
        <w:gridCol w:w="996"/>
      </w:tblGrid>
      <w:tr w:rsidR="00AE09CE" w:rsidRPr="00AE09CE" w14:paraId="10402AD1" w14:textId="77777777" w:rsidTr="00CC30F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477C0D18" w14:textId="77777777" w:rsidR="00AE09CE" w:rsidRPr="00AE09CE" w:rsidRDefault="00AE09CE" w:rsidP="00AE09CE">
            <w:pPr>
              <w:pStyle w:val="MDPI62BackMatter"/>
              <w:ind w:left="0"/>
              <w:jc w:val="center"/>
              <w:rPr>
                <w:rFonts w:ascii="Times New Roman" w:hAnsi="Times New Roman"/>
                <w:bCs/>
                <w:color w:val="FFFFFF" w:themeColor="background1"/>
              </w:rPr>
            </w:pPr>
            <w:r w:rsidRPr="00AE09CE">
              <w:rPr>
                <w:rFonts w:ascii="Times New Roman" w:hAnsi="Times New Roman"/>
                <w:b/>
                <w:bCs/>
                <w:color w:val="FFFFFF" w:themeColor="background1"/>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7D0F24BC" w14:textId="77777777" w:rsidR="00AE09CE" w:rsidRPr="00AE09CE" w:rsidRDefault="00AE09CE" w:rsidP="00AE09CE">
            <w:pPr>
              <w:pStyle w:val="MDPI62BackMatter"/>
              <w:ind w:left="0"/>
              <w:jc w:val="center"/>
              <w:rPr>
                <w:rFonts w:ascii="Times New Roman" w:hAnsi="Times New Roman"/>
                <w:bCs/>
                <w:color w:val="FFFFFF" w:themeColor="background1"/>
              </w:rPr>
            </w:pPr>
            <w:r w:rsidRPr="00AE09CE">
              <w:rPr>
                <w:rFonts w:ascii="Times New Roman" w:hAnsi="Times New Roman"/>
                <w:b/>
                <w:bCs/>
                <w:color w:val="FFFFFF" w:themeColor="background1"/>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9014A64" w14:textId="77777777" w:rsidR="00AE09CE" w:rsidRPr="00AE09CE" w:rsidRDefault="00AE09CE" w:rsidP="00AE09CE">
            <w:pPr>
              <w:pStyle w:val="MDPI62BackMatter"/>
              <w:ind w:left="0"/>
              <w:jc w:val="center"/>
              <w:rPr>
                <w:rFonts w:ascii="Times New Roman" w:hAnsi="Times New Roman"/>
                <w:bCs/>
                <w:color w:val="FFFFFF" w:themeColor="background1"/>
              </w:rPr>
            </w:pPr>
            <w:r w:rsidRPr="00AE09CE">
              <w:rPr>
                <w:rFonts w:ascii="Times New Roman" w:hAnsi="Times New Roman"/>
                <w:b/>
                <w:bCs/>
                <w:color w:val="FFFFFF" w:themeColor="background1"/>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518FAF2D" w14:textId="77777777" w:rsidR="00AE09CE" w:rsidRPr="00AE09CE" w:rsidRDefault="00AE09CE" w:rsidP="00AE09CE">
            <w:pPr>
              <w:pStyle w:val="MDPI62BackMatter"/>
              <w:ind w:left="0"/>
              <w:jc w:val="center"/>
              <w:rPr>
                <w:rFonts w:ascii="Times New Roman" w:hAnsi="Times New Roman"/>
                <w:bCs/>
                <w:color w:val="FFFFFF" w:themeColor="background1"/>
              </w:rPr>
            </w:pPr>
            <w:r w:rsidRPr="00AE09CE">
              <w:rPr>
                <w:rFonts w:ascii="Times New Roman" w:hAnsi="Times New Roman"/>
                <w:b/>
                <w:bCs/>
                <w:color w:val="FFFFFF" w:themeColor="background1"/>
              </w:rPr>
              <w:t>Location where item is reported</w:t>
            </w:r>
          </w:p>
        </w:tc>
      </w:tr>
      <w:tr w:rsidR="00AE09CE" w:rsidRPr="00AE09CE" w14:paraId="291EC1C8"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08B742C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TITLE</w:t>
            </w:r>
          </w:p>
        </w:tc>
        <w:tc>
          <w:tcPr>
            <w:tcW w:w="0" w:type="auto"/>
            <w:shd w:val="clear" w:color="auto" w:fill="FFFFCC"/>
            <w:tcMar>
              <w:top w:w="0" w:type="dxa"/>
              <w:left w:w="0" w:type="dxa"/>
              <w:bottom w:w="0" w:type="dxa"/>
              <w:right w:w="0" w:type="dxa"/>
            </w:tcMar>
            <w:vAlign w:val="center"/>
          </w:tcPr>
          <w:p w14:paraId="7988D41B"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113E0287"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12F3AC1E" w14:textId="77777777" w:rsidR="00AE09CE" w:rsidRPr="00AE09CE" w:rsidRDefault="00AE09CE" w:rsidP="00C61D0B">
            <w:pPr>
              <w:pStyle w:val="MDPI62BackMatter"/>
              <w:ind w:left="0"/>
              <w:jc w:val="left"/>
              <w:rPr>
                <w:rFonts w:ascii="Times New Roman" w:hAnsi="Times New Roman"/>
                <w:bCs/>
              </w:rPr>
            </w:pPr>
          </w:p>
        </w:tc>
      </w:tr>
      <w:tr w:rsidR="00AE09CE" w:rsidRPr="00AE09CE" w14:paraId="1B8794A6"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BFCE90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Title</w:t>
            </w:r>
          </w:p>
        </w:tc>
        <w:tc>
          <w:tcPr>
            <w:tcW w:w="0" w:type="auto"/>
            <w:shd w:val="clear" w:color="auto" w:fill="FFFFFF"/>
            <w:tcMar>
              <w:top w:w="0" w:type="dxa"/>
              <w:left w:w="0" w:type="dxa"/>
              <w:bottom w:w="0" w:type="dxa"/>
              <w:right w:w="0" w:type="dxa"/>
            </w:tcMar>
            <w:vAlign w:val="center"/>
          </w:tcPr>
          <w:p w14:paraId="508577E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w:t>
            </w:r>
          </w:p>
        </w:tc>
        <w:tc>
          <w:tcPr>
            <w:tcW w:w="0" w:type="auto"/>
            <w:shd w:val="clear" w:color="auto" w:fill="FFFFFF"/>
            <w:tcMar>
              <w:top w:w="0" w:type="dxa"/>
              <w:left w:w="0" w:type="dxa"/>
              <w:bottom w:w="0" w:type="dxa"/>
              <w:right w:w="0" w:type="dxa"/>
            </w:tcMar>
            <w:vAlign w:val="center"/>
          </w:tcPr>
          <w:p w14:paraId="2B56C7FE" w14:textId="259F3246"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3B432FA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w:t>
            </w:r>
          </w:p>
        </w:tc>
      </w:tr>
      <w:tr w:rsidR="00AE09CE" w:rsidRPr="00AE09CE" w14:paraId="2BB0FCCE"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3B5E77A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ABSTRACT</w:t>
            </w:r>
          </w:p>
        </w:tc>
        <w:tc>
          <w:tcPr>
            <w:tcW w:w="0" w:type="auto"/>
            <w:shd w:val="clear" w:color="auto" w:fill="FFFFCC"/>
            <w:tcMar>
              <w:top w:w="0" w:type="dxa"/>
              <w:left w:w="0" w:type="dxa"/>
              <w:bottom w:w="0" w:type="dxa"/>
              <w:right w:w="0" w:type="dxa"/>
            </w:tcMar>
            <w:vAlign w:val="center"/>
          </w:tcPr>
          <w:p w14:paraId="32200E5E"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12D3EC71"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672258AE" w14:textId="77777777" w:rsidR="00AE09CE" w:rsidRPr="00AE09CE" w:rsidRDefault="00AE09CE" w:rsidP="00C61D0B">
            <w:pPr>
              <w:pStyle w:val="MDPI62BackMatter"/>
              <w:ind w:left="0"/>
              <w:jc w:val="left"/>
              <w:rPr>
                <w:rFonts w:ascii="Times New Roman" w:hAnsi="Times New Roman"/>
                <w:bCs/>
              </w:rPr>
            </w:pPr>
          </w:p>
        </w:tc>
      </w:tr>
      <w:tr w:rsidR="00AE09CE" w:rsidRPr="00AE09CE" w14:paraId="5ACF4740"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FDF2C6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Abstract</w:t>
            </w:r>
          </w:p>
        </w:tc>
        <w:tc>
          <w:tcPr>
            <w:tcW w:w="0" w:type="auto"/>
            <w:shd w:val="clear" w:color="auto" w:fill="FFFFFF"/>
            <w:tcMar>
              <w:top w:w="0" w:type="dxa"/>
              <w:left w:w="0" w:type="dxa"/>
              <w:bottom w:w="0" w:type="dxa"/>
              <w:right w:w="0" w:type="dxa"/>
            </w:tcMar>
            <w:vAlign w:val="center"/>
          </w:tcPr>
          <w:p w14:paraId="6FB71C6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w:t>
            </w:r>
          </w:p>
        </w:tc>
        <w:tc>
          <w:tcPr>
            <w:tcW w:w="0" w:type="auto"/>
            <w:shd w:val="clear" w:color="auto" w:fill="FFFFFF"/>
            <w:tcMar>
              <w:top w:w="0" w:type="dxa"/>
              <w:left w:w="0" w:type="dxa"/>
              <w:bottom w:w="0" w:type="dxa"/>
              <w:right w:w="0" w:type="dxa"/>
            </w:tcMar>
            <w:vAlign w:val="center"/>
          </w:tcPr>
          <w:p w14:paraId="5ECA2D2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vAlign w:val="center"/>
          </w:tcPr>
          <w:p w14:paraId="0D32395C" w14:textId="77777777" w:rsidR="00AE09CE" w:rsidRPr="00AE09CE" w:rsidRDefault="00AE09CE" w:rsidP="00C61D0B">
            <w:pPr>
              <w:pStyle w:val="MDPI62BackMatter"/>
              <w:ind w:left="0"/>
              <w:jc w:val="left"/>
              <w:rPr>
                <w:rFonts w:ascii="Times New Roman" w:hAnsi="Times New Roman"/>
                <w:bCs/>
              </w:rPr>
            </w:pPr>
          </w:p>
        </w:tc>
      </w:tr>
      <w:tr w:rsidR="00AE09CE" w:rsidRPr="00AE09CE" w14:paraId="01FE8B46"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5CED515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INTRODUCTION</w:t>
            </w:r>
          </w:p>
        </w:tc>
        <w:tc>
          <w:tcPr>
            <w:tcW w:w="0" w:type="auto"/>
            <w:shd w:val="clear" w:color="auto" w:fill="FFFFCC"/>
            <w:tcMar>
              <w:top w:w="0" w:type="dxa"/>
              <w:left w:w="0" w:type="dxa"/>
              <w:bottom w:w="0" w:type="dxa"/>
              <w:right w:w="0" w:type="dxa"/>
            </w:tcMar>
            <w:vAlign w:val="center"/>
          </w:tcPr>
          <w:p w14:paraId="17576B4D"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0FBC2EE2"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415F59A3" w14:textId="77777777" w:rsidR="00AE09CE" w:rsidRPr="00AE09CE" w:rsidRDefault="00AE09CE" w:rsidP="00C61D0B">
            <w:pPr>
              <w:pStyle w:val="MDPI62BackMatter"/>
              <w:ind w:left="0"/>
              <w:jc w:val="left"/>
              <w:rPr>
                <w:rFonts w:ascii="Times New Roman" w:hAnsi="Times New Roman"/>
                <w:bCs/>
              </w:rPr>
            </w:pPr>
          </w:p>
        </w:tc>
      </w:tr>
      <w:tr w:rsidR="00AE09CE" w:rsidRPr="00AE09CE" w14:paraId="3527275B"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D31B3B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Rationale</w:t>
            </w:r>
          </w:p>
        </w:tc>
        <w:tc>
          <w:tcPr>
            <w:tcW w:w="0" w:type="auto"/>
            <w:shd w:val="clear" w:color="auto" w:fill="FFFFFF"/>
            <w:tcMar>
              <w:top w:w="0" w:type="dxa"/>
              <w:left w:w="0" w:type="dxa"/>
              <w:bottom w:w="0" w:type="dxa"/>
              <w:right w:w="0" w:type="dxa"/>
            </w:tcMar>
            <w:vAlign w:val="center"/>
          </w:tcPr>
          <w:p w14:paraId="16C8C25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c>
          <w:tcPr>
            <w:tcW w:w="0" w:type="auto"/>
            <w:shd w:val="clear" w:color="auto" w:fill="FFFFFF"/>
            <w:tcMar>
              <w:top w:w="0" w:type="dxa"/>
              <w:left w:w="0" w:type="dxa"/>
              <w:bottom w:w="0" w:type="dxa"/>
              <w:right w:w="0" w:type="dxa"/>
            </w:tcMar>
            <w:vAlign w:val="center"/>
          </w:tcPr>
          <w:p w14:paraId="2ED52175" w14:textId="6758750E"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the rationale for the review in the context of existing knowledge.</w:t>
            </w:r>
          </w:p>
        </w:tc>
        <w:tc>
          <w:tcPr>
            <w:tcW w:w="0" w:type="auto"/>
            <w:tcBorders>
              <w:right w:val="single" w:sz="8" w:space="0" w:color="000000"/>
            </w:tcBorders>
            <w:shd w:val="clear" w:color="auto" w:fill="FFFFFF"/>
            <w:tcMar>
              <w:top w:w="0" w:type="dxa"/>
              <w:left w:w="0" w:type="dxa"/>
              <w:bottom w:w="0" w:type="dxa"/>
              <w:right w:w="0" w:type="dxa"/>
            </w:tcMar>
            <w:vAlign w:val="center"/>
          </w:tcPr>
          <w:p w14:paraId="41715DC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w:t>
            </w:r>
          </w:p>
        </w:tc>
      </w:tr>
      <w:tr w:rsidR="00AE09CE" w:rsidRPr="00AE09CE" w14:paraId="3D6114AC"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A1DB14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Objectives</w:t>
            </w:r>
          </w:p>
        </w:tc>
        <w:tc>
          <w:tcPr>
            <w:tcW w:w="0" w:type="auto"/>
            <w:shd w:val="clear" w:color="auto" w:fill="FFFFFF"/>
            <w:tcMar>
              <w:top w:w="0" w:type="dxa"/>
              <w:left w:w="0" w:type="dxa"/>
              <w:bottom w:w="0" w:type="dxa"/>
              <w:right w:w="0" w:type="dxa"/>
            </w:tcMar>
            <w:vAlign w:val="center"/>
          </w:tcPr>
          <w:p w14:paraId="2026441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c>
          <w:tcPr>
            <w:tcW w:w="0" w:type="auto"/>
            <w:shd w:val="clear" w:color="auto" w:fill="FFFFFF"/>
            <w:tcMar>
              <w:top w:w="0" w:type="dxa"/>
              <w:left w:w="0" w:type="dxa"/>
              <w:bottom w:w="0" w:type="dxa"/>
              <w:right w:w="0" w:type="dxa"/>
            </w:tcMar>
            <w:vAlign w:val="center"/>
          </w:tcPr>
          <w:p w14:paraId="770DE2C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vAlign w:val="center"/>
          </w:tcPr>
          <w:p w14:paraId="6AC25C7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w:t>
            </w:r>
          </w:p>
        </w:tc>
      </w:tr>
      <w:tr w:rsidR="00AE09CE" w:rsidRPr="00AE09CE" w14:paraId="4E6ABA0E"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5062D81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METHODS</w:t>
            </w:r>
          </w:p>
        </w:tc>
        <w:tc>
          <w:tcPr>
            <w:tcW w:w="0" w:type="auto"/>
            <w:shd w:val="clear" w:color="auto" w:fill="FFFFCC"/>
            <w:tcMar>
              <w:top w:w="0" w:type="dxa"/>
              <w:left w:w="0" w:type="dxa"/>
              <w:bottom w:w="0" w:type="dxa"/>
              <w:right w:w="0" w:type="dxa"/>
            </w:tcMar>
            <w:vAlign w:val="center"/>
          </w:tcPr>
          <w:p w14:paraId="7B098AE7"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3822ACDD"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254E7852" w14:textId="77777777" w:rsidR="00AE09CE" w:rsidRPr="00AE09CE" w:rsidRDefault="00AE09CE" w:rsidP="00C61D0B">
            <w:pPr>
              <w:pStyle w:val="MDPI62BackMatter"/>
              <w:ind w:left="0"/>
              <w:jc w:val="left"/>
              <w:rPr>
                <w:rFonts w:ascii="Times New Roman" w:hAnsi="Times New Roman"/>
                <w:bCs/>
              </w:rPr>
            </w:pPr>
          </w:p>
        </w:tc>
      </w:tr>
      <w:tr w:rsidR="00AE09CE" w:rsidRPr="00AE09CE" w14:paraId="50006805"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6F7083E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Eligibility criteria</w:t>
            </w:r>
          </w:p>
        </w:tc>
        <w:tc>
          <w:tcPr>
            <w:tcW w:w="0" w:type="auto"/>
            <w:shd w:val="clear" w:color="auto" w:fill="FFFFFF"/>
            <w:tcMar>
              <w:top w:w="0" w:type="dxa"/>
              <w:left w:w="0" w:type="dxa"/>
              <w:bottom w:w="0" w:type="dxa"/>
              <w:right w:w="0" w:type="dxa"/>
            </w:tcMar>
            <w:vAlign w:val="center"/>
          </w:tcPr>
          <w:p w14:paraId="4A800B9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w:t>
            </w:r>
          </w:p>
        </w:tc>
        <w:tc>
          <w:tcPr>
            <w:tcW w:w="0" w:type="auto"/>
            <w:shd w:val="clear" w:color="auto" w:fill="FFFFFF"/>
            <w:tcMar>
              <w:top w:w="0" w:type="dxa"/>
              <w:left w:w="0" w:type="dxa"/>
              <w:bottom w:w="0" w:type="dxa"/>
              <w:right w:w="0" w:type="dxa"/>
            </w:tcMar>
            <w:vAlign w:val="center"/>
          </w:tcPr>
          <w:p w14:paraId="2D49197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vAlign w:val="center"/>
          </w:tcPr>
          <w:p w14:paraId="6863996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r>
      <w:tr w:rsidR="00AE09CE" w:rsidRPr="00AE09CE" w14:paraId="1DE5C5BF"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AA367B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Information sources</w:t>
            </w:r>
          </w:p>
        </w:tc>
        <w:tc>
          <w:tcPr>
            <w:tcW w:w="0" w:type="auto"/>
            <w:shd w:val="clear" w:color="auto" w:fill="FFFFFF"/>
            <w:tcMar>
              <w:top w:w="0" w:type="dxa"/>
              <w:left w:w="0" w:type="dxa"/>
              <w:bottom w:w="0" w:type="dxa"/>
              <w:right w:w="0" w:type="dxa"/>
            </w:tcMar>
            <w:vAlign w:val="center"/>
          </w:tcPr>
          <w:p w14:paraId="29CF113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6</w:t>
            </w:r>
          </w:p>
        </w:tc>
        <w:tc>
          <w:tcPr>
            <w:tcW w:w="0" w:type="auto"/>
            <w:shd w:val="clear" w:color="auto" w:fill="FFFFFF"/>
            <w:tcMar>
              <w:top w:w="0" w:type="dxa"/>
              <w:left w:w="0" w:type="dxa"/>
              <w:bottom w:w="0" w:type="dxa"/>
              <w:right w:w="0" w:type="dxa"/>
            </w:tcMar>
            <w:vAlign w:val="center"/>
          </w:tcPr>
          <w:p w14:paraId="07D4C2E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vAlign w:val="center"/>
          </w:tcPr>
          <w:p w14:paraId="0846C44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r>
      <w:tr w:rsidR="00AE09CE" w:rsidRPr="00AE09CE" w14:paraId="02A47638"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2DFE8F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Search strategy</w:t>
            </w:r>
          </w:p>
        </w:tc>
        <w:tc>
          <w:tcPr>
            <w:tcW w:w="0" w:type="auto"/>
            <w:shd w:val="clear" w:color="auto" w:fill="FFFFFF"/>
            <w:tcMar>
              <w:top w:w="0" w:type="dxa"/>
              <w:left w:w="0" w:type="dxa"/>
              <w:bottom w:w="0" w:type="dxa"/>
              <w:right w:w="0" w:type="dxa"/>
            </w:tcMar>
            <w:vAlign w:val="center"/>
          </w:tcPr>
          <w:p w14:paraId="32F8DE2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7</w:t>
            </w:r>
          </w:p>
        </w:tc>
        <w:tc>
          <w:tcPr>
            <w:tcW w:w="0" w:type="auto"/>
            <w:shd w:val="clear" w:color="auto" w:fill="FFFFFF"/>
            <w:tcMar>
              <w:top w:w="0" w:type="dxa"/>
              <w:left w:w="0" w:type="dxa"/>
              <w:bottom w:w="0" w:type="dxa"/>
              <w:right w:w="0" w:type="dxa"/>
            </w:tcMar>
            <w:vAlign w:val="center"/>
          </w:tcPr>
          <w:p w14:paraId="106FBEF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29FDA4B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3-4</w:t>
            </w:r>
          </w:p>
        </w:tc>
      </w:tr>
      <w:tr w:rsidR="00AE09CE" w:rsidRPr="00AE09CE" w14:paraId="7ECE1C58"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A57FA3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Selection process</w:t>
            </w:r>
          </w:p>
        </w:tc>
        <w:tc>
          <w:tcPr>
            <w:tcW w:w="0" w:type="auto"/>
            <w:shd w:val="clear" w:color="auto" w:fill="FFFFFF"/>
            <w:tcMar>
              <w:top w:w="0" w:type="dxa"/>
              <w:left w:w="0" w:type="dxa"/>
              <w:bottom w:w="0" w:type="dxa"/>
              <w:right w:w="0" w:type="dxa"/>
            </w:tcMar>
            <w:vAlign w:val="center"/>
          </w:tcPr>
          <w:p w14:paraId="1C27E35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8</w:t>
            </w:r>
          </w:p>
        </w:tc>
        <w:tc>
          <w:tcPr>
            <w:tcW w:w="0" w:type="auto"/>
            <w:shd w:val="clear" w:color="auto" w:fill="FFFFFF"/>
            <w:tcMar>
              <w:top w:w="0" w:type="dxa"/>
              <w:left w:w="0" w:type="dxa"/>
              <w:bottom w:w="0" w:type="dxa"/>
              <w:right w:w="0" w:type="dxa"/>
            </w:tcMar>
            <w:vAlign w:val="center"/>
          </w:tcPr>
          <w:p w14:paraId="4149174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vAlign w:val="center"/>
          </w:tcPr>
          <w:p w14:paraId="2C100CF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3-4</w:t>
            </w:r>
          </w:p>
        </w:tc>
      </w:tr>
      <w:tr w:rsidR="00AE09CE" w:rsidRPr="00AE09CE" w14:paraId="1C064B67"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4225A2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Data collection process</w:t>
            </w:r>
          </w:p>
        </w:tc>
        <w:tc>
          <w:tcPr>
            <w:tcW w:w="0" w:type="auto"/>
            <w:shd w:val="clear" w:color="auto" w:fill="FFFFFF"/>
            <w:tcMar>
              <w:top w:w="0" w:type="dxa"/>
              <w:left w:w="0" w:type="dxa"/>
              <w:bottom w:w="0" w:type="dxa"/>
              <w:right w:w="0" w:type="dxa"/>
            </w:tcMar>
            <w:vAlign w:val="center"/>
          </w:tcPr>
          <w:p w14:paraId="74E9392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9</w:t>
            </w:r>
          </w:p>
        </w:tc>
        <w:tc>
          <w:tcPr>
            <w:tcW w:w="0" w:type="auto"/>
            <w:shd w:val="clear" w:color="auto" w:fill="FFFFFF"/>
            <w:tcMar>
              <w:top w:w="0" w:type="dxa"/>
              <w:left w:w="0" w:type="dxa"/>
              <w:bottom w:w="0" w:type="dxa"/>
              <w:right w:w="0" w:type="dxa"/>
            </w:tcMar>
            <w:vAlign w:val="center"/>
          </w:tcPr>
          <w:p w14:paraId="32423C60" w14:textId="478F7AD1"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vAlign w:val="center"/>
          </w:tcPr>
          <w:p w14:paraId="3212F32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6A7E65A1"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8875F0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Data items</w:t>
            </w:r>
          </w:p>
        </w:tc>
        <w:tc>
          <w:tcPr>
            <w:tcW w:w="0" w:type="auto"/>
            <w:shd w:val="clear" w:color="auto" w:fill="FFFFFF"/>
            <w:tcMar>
              <w:top w:w="0" w:type="dxa"/>
              <w:left w:w="0" w:type="dxa"/>
              <w:bottom w:w="0" w:type="dxa"/>
              <w:right w:w="0" w:type="dxa"/>
            </w:tcMar>
            <w:vAlign w:val="center"/>
          </w:tcPr>
          <w:p w14:paraId="3C5624C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10a</w:t>
            </w:r>
          </w:p>
        </w:tc>
        <w:tc>
          <w:tcPr>
            <w:tcW w:w="0" w:type="auto"/>
            <w:shd w:val="clear" w:color="auto" w:fill="FFFFFF"/>
            <w:tcMar>
              <w:top w:w="0" w:type="dxa"/>
              <w:left w:w="0" w:type="dxa"/>
              <w:bottom w:w="0" w:type="dxa"/>
              <w:right w:w="0" w:type="dxa"/>
            </w:tcMar>
            <w:vAlign w:val="center"/>
          </w:tcPr>
          <w:p w14:paraId="4FCDC2D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vAlign w:val="center"/>
          </w:tcPr>
          <w:p w14:paraId="23B8255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754FBF6C"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E0DD391"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437A21B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10b</w:t>
            </w:r>
          </w:p>
        </w:tc>
        <w:tc>
          <w:tcPr>
            <w:tcW w:w="0" w:type="auto"/>
            <w:shd w:val="clear" w:color="auto" w:fill="FFFFFF"/>
            <w:tcMar>
              <w:top w:w="0" w:type="dxa"/>
              <w:left w:w="0" w:type="dxa"/>
              <w:bottom w:w="0" w:type="dxa"/>
              <w:right w:w="0" w:type="dxa"/>
            </w:tcMar>
            <w:vAlign w:val="center"/>
          </w:tcPr>
          <w:p w14:paraId="3F6D351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vAlign w:val="center"/>
          </w:tcPr>
          <w:p w14:paraId="5B9B712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737D1830"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F6F9A8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Study risk of bias assessment</w:t>
            </w:r>
          </w:p>
        </w:tc>
        <w:tc>
          <w:tcPr>
            <w:tcW w:w="0" w:type="auto"/>
            <w:shd w:val="clear" w:color="auto" w:fill="FFFFFF"/>
            <w:tcMar>
              <w:top w:w="0" w:type="dxa"/>
              <w:left w:w="0" w:type="dxa"/>
              <w:bottom w:w="0" w:type="dxa"/>
              <w:right w:w="0" w:type="dxa"/>
            </w:tcMar>
            <w:vAlign w:val="center"/>
          </w:tcPr>
          <w:p w14:paraId="4788167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11</w:t>
            </w:r>
          </w:p>
        </w:tc>
        <w:tc>
          <w:tcPr>
            <w:tcW w:w="0" w:type="auto"/>
            <w:shd w:val="clear" w:color="auto" w:fill="FFFFFF"/>
            <w:tcMar>
              <w:top w:w="0" w:type="dxa"/>
              <w:left w:w="0" w:type="dxa"/>
              <w:bottom w:w="0" w:type="dxa"/>
              <w:right w:w="0" w:type="dxa"/>
            </w:tcMar>
            <w:vAlign w:val="center"/>
          </w:tcPr>
          <w:p w14:paraId="4AD2C2E0" w14:textId="666790DF"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vAlign w:val="center"/>
          </w:tcPr>
          <w:p w14:paraId="128AD79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41BECEB5"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115D7F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Effect measures</w:t>
            </w:r>
          </w:p>
        </w:tc>
        <w:tc>
          <w:tcPr>
            <w:tcW w:w="0" w:type="auto"/>
            <w:shd w:val="clear" w:color="auto" w:fill="FFFFFF"/>
            <w:tcMar>
              <w:top w:w="0" w:type="dxa"/>
              <w:left w:w="0" w:type="dxa"/>
              <w:bottom w:w="0" w:type="dxa"/>
              <w:right w:w="0" w:type="dxa"/>
            </w:tcMar>
            <w:vAlign w:val="center"/>
          </w:tcPr>
          <w:p w14:paraId="5E0AA8D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12</w:t>
            </w:r>
          </w:p>
        </w:tc>
        <w:tc>
          <w:tcPr>
            <w:tcW w:w="0" w:type="auto"/>
            <w:shd w:val="clear" w:color="auto" w:fill="FFFFFF"/>
            <w:tcMar>
              <w:top w:w="0" w:type="dxa"/>
              <w:left w:w="0" w:type="dxa"/>
              <w:bottom w:w="0" w:type="dxa"/>
              <w:right w:w="0" w:type="dxa"/>
            </w:tcMar>
            <w:vAlign w:val="center"/>
          </w:tcPr>
          <w:p w14:paraId="59FC545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403B65D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2B532F5B"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00CDB4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Synthesis methods</w:t>
            </w:r>
          </w:p>
        </w:tc>
        <w:tc>
          <w:tcPr>
            <w:tcW w:w="0" w:type="auto"/>
            <w:shd w:val="clear" w:color="auto" w:fill="FFFFFF"/>
            <w:tcMar>
              <w:top w:w="0" w:type="dxa"/>
              <w:left w:w="0" w:type="dxa"/>
              <w:bottom w:w="0" w:type="dxa"/>
              <w:right w:w="0" w:type="dxa"/>
            </w:tcMar>
            <w:vAlign w:val="center"/>
          </w:tcPr>
          <w:p w14:paraId="184537B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13a</w:t>
            </w:r>
          </w:p>
        </w:tc>
        <w:tc>
          <w:tcPr>
            <w:tcW w:w="0" w:type="auto"/>
            <w:shd w:val="clear" w:color="auto" w:fill="FFFFFF"/>
            <w:tcMar>
              <w:top w:w="0" w:type="dxa"/>
              <w:left w:w="0" w:type="dxa"/>
              <w:bottom w:w="0" w:type="dxa"/>
              <w:right w:w="0" w:type="dxa"/>
            </w:tcMar>
            <w:vAlign w:val="center"/>
          </w:tcPr>
          <w:p w14:paraId="32774A2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vAlign w:val="center"/>
          </w:tcPr>
          <w:p w14:paraId="2564E93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2F1A8C0F" w14:textId="77777777" w:rsidTr="00CC30F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314C8A21"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605BE62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13b</w:t>
            </w:r>
          </w:p>
        </w:tc>
        <w:tc>
          <w:tcPr>
            <w:tcW w:w="0" w:type="auto"/>
            <w:shd w:val="clear" w:color="auto" w:fill="FFFFFF"/>
            <w:tcMar>
              <w:top w:w="0" w:type="dxa"/>
              <w:left w:w="0" w:type="dxa"/>
              <w:bottom w:w="0" w:type="dxa"/>
              <w:right w:w="0" w:type="dxa"/>
            </w:tcMar>
            <w:vAlign w:val="center"/>
          </w:tcPr>
          <w:p w14:paraId="409A7CE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vAlign w:val="center"/>
          </w:tcPr>
          <w:p w14:paraId="01B59B7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32BAD5A0"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287BF524"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367840D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13c</w:t>
            </w:r>
          </w:p>
        </w:tc>
        <w:tc>
          <w:tcPr>
            <w:tcW w:w="0" w:type="auto"/>
            <w:shd w:val="clear" w:color="auto" w:fill="FFFFFF"/>
            <w:tcMar>
              <w:top w:w="0" w:type="dxa"/>
              <w:left w:w="0" w:type="dxa"/>
              <w:bottom w:w="0" w:type="dxa"/>
              <w:right w:w="0" w:type="dxa"/>
            </w:tcMar>
            <w:vAlign w:val="center"/>
          </w:tcPr>
          <w:p w14:paraId="3E5B6A7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vAlign w:val="center"/>
          </w:tcPr>
          <w:p w14:paraId="5411321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77A704CA"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44A222FB"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1B24D87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13d</w:t>
            </w:r>
          </w:p>
        </w:tc>
        <w:tc>
          <w:tcPr>
            <w:tcW w:w="0" w:type="auto"/>
            <w:shd w:val="clear" w:color="auto" w:fill="FFFFFF"/>
            <w:tcMar>
              <w:top w:w="0" w:type="dxa"/>
              <w:left w:w="0" w:type="dxa"/>
              <w:bottom w:w="0" w:type="dxa"/>
              <w:right w:w="0" w:type="dxa"/>
            </w:tcMar>
            <w:vAlign w:val="center"/>
          </w:tcPr>
          <w:p w14:paraId="6F90380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0AC30BC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682AC796"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5D6FA820"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1F91BF7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13e</w:t>
            </w:r>
          </w:p>
        </w:tc>
        <w:tc>
          <w:tcPr>
            <w:tcW w:w="0" w:type="auto"/>
            <w:shd w:val="clear" w:color="auto" w:fill="FFFFFF"/>
            <w:tcMar>
              <w:top w:w="0" w:type="dxa"/>
              <w:left w:w="0" w:type="dxa"/>
              <w:bottom w:w="0" w:type="dxa"/>
              <w:right w:w="0" w:type="dxa"/>
            </w:tcMar>
            <w:vAlign w:val="center"/>
          </w:tcPr>
          <w:p w14:paraId="356A60D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vAlign w:val="center"/>
          </w:tcPr>
          <w:p w14:paraId="4D12E01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417BB3BE"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4C37B669"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105DA9B9"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13f</w:t>
            </w:r>
          </w:p>
        </w:tc>
        <w:tc>
          <w:tcPr>
            <w:tcW w:w="0" w:type="auto"/>
            <w:shd w:val="clear" w:color="auto" w:fill="FFFFFF"/>
            <w:tcMar>
              <w:top w:w="0" w:type="dxa"/>
              <w:left w:w="0" w:type="dxa"/>
              <w:bottom w:w="0" w:type="dxa"/>
              <w:right w:w="0" w:type="dxa"/>
            </w:tcMar>
            <w:vAlign w:val="center"/>
          </w:tcPr>
          <w:p w14:paraId="7444CDE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0E9D3EB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55BA9B9B"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1AB61E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Reporting bias assessment</w:t>
            </w:r>
          </w:p>
        </w:tc>
        <w:tc>
          <w:tcPr>
            <w:tcW w:w="0" w:type="auto"/>
            <w:shd w:val="clear" w:color="auto" w:fill="FFFFFF"/>
            <w:tcMar>
              <w:top w:w="0" w:type="dxa"/>
              <w:left w:w="0" w:type="dxa"/>
              <w:bottom w:w="0" w:type="dxa"/>
              <w:right w:w="0" w:type="dxa"/>
            </w:tcMar>
            <w:vAlign w:val="center"/>
          </w:tcPr>
          <w:p w14:paraId="66D6D71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14</w:t>
            </w:r>
          </w:p>
        </w:tc>
        <w:tc>
          <w:tcPr>
            <w:tcW w:w="0" w:type="auto"/>
            <w:shd w:val="clear" w:color="auto" w:fill="FFFFFF"/>
            <w:tcMar>
              <w:top w:w="0" w:type="dxa"/>
              <w:left w:w="0" w:type="dxa"/>
              <w:bottom w:w="0" w:type="dxa"/>
              <w:right w:w="0" w:type="dxa"/>
            </w:tcMar>
            <w:vAlign w:val="center"/>
          </w:tcPr>
          <w:p w14:paraId="5B0786B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vAlign w:val="center"/>
          </w:tcPr>
          <w:p w14:paraId="4AC72A9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7041E474"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2F0699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Certainty assessment</w:t>
            </w:r>
          </w:p>
        </w:tc>
        <w:tc>
          <w:tcPr>
            <w:tcW w:w="0" w:type="auto"/>
            <w:shd w:val="clear" w:color="auto" w:fill="FFFFFF"/>
            <w:tcMar>
              <w:top w:w="0" w:type="dxa"/>
              <w:left w:w="0" w:type="dxa"/>
              <w:bottom w:w="0" w:type="dxa"/>
              <w:right w:w="0" w:type="dxa"/>
            </w:tcMar>
            <w:vAlign w:val="center"/>
          </w:tcPr>
          <w:p w14:paraId="0C0FAF5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15</w:t>
            </w:r>
          </w:p>
        </w:tc>
        <w:tc>
          <w:tcPr>
            <w:tcW w:w="0" w:type="auto"/>
            <w:shd w:val="clear" w:color="auto" w:fill="FFFFFF"/>
            <w:tcMar>
              <w:top w:w="0" w:type="dxa"/>
              <w:left w:w="0" w:type="dxa"/>
              <w:bottom w:w="0" w:type="dxa"/>
              <w:right w:w="0" w:type="dxa"/>
            </w:tcMar>
            <w:vAlign w:val="center"/>
          </w:tcPr>
          <w:p w14:paraId="50C7064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vAlign w:val="center"/>
          </w:tcPr>
          <w:p w14:paraId="7E49CCC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r>
      <w:tr w:rsidR="00AE09CE" w:rsidRPr="00AE09CE" w14:paraId="334326B0"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2AE6213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RESULTS</w:t>
            </w:r>
          </w:p>
        </w:tc>
        <w:tc>
          <w:tcPr>
            <w:tcW w:w="0" w:type="auto"/>
            <w:shd w:val="clear" w:color="auto" w:fill="FFFFCC"/>
            <w:tcMar>
              <w:top w:w="0" w:type="dxa"/>
              <w:left w:w="0" w:type="dxa"/>
              <w:bottom w:w="0" w:type="dxa"/>
              <w:right w:w="0" w:type="dxa"/>
            </w:tcMar>
            <w:vAlign w:val="center"/>
          </w:tcPr>
          <w:p w14:paraId="5995042F"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44CE6AAC"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3DDF1C08" w14:textId="77777777" w:rsidR="00AE09CE" w:rsidRPr="00AE09CE" w:rsidRDefault="00AE09CE" w:rsidP="00C61D0B">
            <w:pPr>
              <w:pStyle w:val="MDPI62BackMatter"/>
              <w:ind w:left="0"/>
              <w:jc w:val="left"/>
              <w:rPr>
                <w:rFonts w:ascii="Times New Roman" w:hAnsi="Times New Roman"/>
                <w:bCs/>
              </w:rPr>
            </w:pPr>
          </w:p>
        </w:tc>
      </w:tr>
      <w:tr w:rsidR="00AE09CE" w:rsidRPr="00AE09CE" w14:paraId="18D3A553"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230083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Study selection</w:t>
            </w:r>
          </w:p>
        </w:tc>
        <w:tc>
          <w:tcPr>
            <w:tcW w:w="0" w:type="auto"/>
            <w:shd w:val="clear" w:color="auto" w:fill="FFFFFF"/>
            <w:tcMar>
              <w:top w:w="0" w:type="dxa"/>
              <w:left w:w="0" w:type="dxa"/>
              <w:bottom w:w="0" w:type="dxa"/>
              <w:right w:w="0" w:type="dxa"/>
            </w:tcMar>
            <w:vAlign w:val="center"/>
          </w:tcPr>
          <w:p w14:paraId="77B86E3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16a</w:t>
            </w:r>
          </w:p>
        </w:tc>
        <w:tc>
          <w:tcPr>
            <w:tcW w:w="0" w:type="auto"/>
            <w:shd w:val="clear" w:color="auto" w:fill="FFFFFF"/>
            <w:tcMar>
              <w:top w:w="0" w:type="dxa"/>
              <w:left w:w="0" w:type="dxa"/>
              <w:bottom w:w="0" w:type="dxa"/>
              <w:right w:w="0" w:type="dxa"/>
            </w:tcMar>
            <w:vAlign w:val="center"/>
          </w:tcPr>
          <w:p w14:paraId="79680E7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vAlign w:val="center"/>
          </w:tcPr>
          <w:p w14:paraId="27FFBBC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w:t>
            </w:r>
          </w:p>
        </w:tc>
      </w:tr>
      <w:tr w:rsidR="00AE09CE" w:rsidRPr="00AE09CE" w14:paraId="489F16C2"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A7A2770"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0B47B5B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16b</w:t>
            </w:r>
          </w:p>
        </w:tc>
        <w:tc>
          <w:tcPr>
            <w:tcW w:w="0" w:type="auto"/>
            <w:shd w:val="clear" w:color="auto" w:fill="FFFFFF"/>
            <w:tcMar>
              <w:top w:w="0" w:type="dxa"/>
              <w:left w:w="0" w:type="dxa"/>
              <w:bottom w:w="0" w:type="dxa"/>
              <w:right w:w="0" w:type="dxa"/>
            </w:tcMar>
            <w:vAlign w:val="center"/>
          </w:tcPr>
          <w:p w14:paraId="59126ED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vAlign w:val="center"/>
          </w:tcPr>
          <w:p w14:paraId="33330DA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w:t>
            </w:r>
          </w:p>
        </w:tc>
      </w:tr>
      <w:tr w:rsidR="00AE09CE" w:rsidRPr="00AE09CE" w14:paraId="25267A9E"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A38E39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Study characteristics</w:t>
            </w:r>
          </w:p>
        </w:tc>
        <w:tc>
          <w:tcPr>
            <w:tcW w:w="0" w:type="auto"/>
            <w:shd w:val="clear" w:color="auto" w:fill="FFFFFF"/>
            <w:tcMar>
              <w:top w:w="0" w:type="dxa"/>
              <w:left w:w="0" w:type="dxa"/>
              <w:bottom w:w="0" w:type="dxa"/>
              <w:right w:w="0" w:type="dxa"/>
            </w:tcMar>
            <w:vAlign w:val="center"/>
          </w:tcPr>
          <w:p w14:paraId="137F42B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17</w:t>
            </w:r>
          </w:p>
        </w:tc>
        <w:tc>
          <w:tcPr>
            <w:tcW w:w="0" w:type="auto"/>
            <w:shd w:val="clear" w:color="auto" w:fill="FFFFFF"/>
            <w:tcMar>
              <w:top w:w="0" w:type="dxa"/>
              <w:left w:w="0" w:type="dxa"/>
              <w:bottom w:w="0" w:type="dxa"/>
              <w:right w:w="0" w:type="dxa"/>
            </w:tcMar>
            <w:vAlign w:val="center"/>
          </w:tcPr>
          <w:p w14:paraId="1430195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vAlign w:val="center"/>
          </w:tcPr>
          <w:p w14:paraId="1447E4F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0303B32F"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03AD86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Risk of bias in studies</w:t>
            </w:r>
          </w:p>
        </w:tc>
        <w:tc>
          <w:tcPr>
            <w:tcW w:w="0" w:type="auto"/>
            <w:shd w:val="clear" w:color="auto" w:fill="FFFFFF"/>
            <w:tcMar>
              <w:top w:w="0" w:type="dxa"/>
              <w:left w:w="0" w:type="dxa"/>
              <w:bottom w:w="0" w:type="dxa"/>
              <w:right w:w="0" w:type="dxa"/>
            </w:tcMar>
            <w:vAlign w:val="center"/>
          </w:tcPr>
          <w:p w14:paraId="7C8D2C4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18</w:t>
            </w:r>
          </w:p>
        </w:tc>
        <w:tc>
          <w:tcPr>
            <w:tcW w:w="0" w:type="auto"/>
            <w:shd w:val="clear" w:color="auto" w:fill="FFFFFF"/>
            <w:tcMar>
              <w:top w:w="0" w:type="dxa"/>
              <w:left w:w="0" w:type="dxa"/>
              <w:bottom w:w="0" w:type="dxa"/>
              <w:right w:w="0" w:type="dxa"/>
            </w:tcMar>
            <w:vAlign w:val="center"/>
          </w:tcPr>
          <w:p w14:paraId="4EE799F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vAlign w:val="center"/>
          </w:tcPr>
          <w:p w14:paraId="260AAFB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4E5E52F9"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FFDD24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Results of individual studies</w:t>
            </w:r>
          </w:p>
        </w:tc>
        <w:tc>
          <w:tcPr>
            <w:tcW w:w="0" w:type="auto"/>
            <w:shd w:val="clear" w:color="auto" w:fill="FFFFFF"/>
            <w:tcMar>
              <w:top w:w="0" w:type="dxa"/>
              <w:left w:w="0" w:type="dxa"/>
              <w:bottom w:w="0" w:type="dxa"/>
              <w:right w:w="0" w:type="dxa"/>
            </w:tcMar>
            <w:vAlign w:val="center"/>
          </w:tcPr>
          <w:p w14:paraId="07792DE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19</w:t>
            </w:r>
          </w:p>
        </w:tc>
        <w:tc>
          <w:tcPr>
            <w:tcW w:w="0" w:type="auto"/>
            <w:shd w:val="clear" w:color="auto" w:fill="FFFFFF"/>
            <w:tcMar>
              <w:top w:w="0" w:type="dxa"/>
              <w:left w:w="0" w:type="dxa"/>
              <w:bottom w:w="0" w:type="dxa"/>
              <w:right w:w="0" w:type="dxa"/>
            </w:tcMar>
            <w:vAlign w:val="center"/>
          </w:tcPr>
          <w:p w14:paraId="4EE329F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vAlign w:val="center"/>
          </w:tcPr>
          <w:p w14:paraId="7BCEFA1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79E4AABC"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3A200E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Results of syntheses</w:t>
            </w:r>
          </w:p>
        </w:tc>
        <w:tc>
          <w:tcPr>
            <w:tcW w:w="0" w:type="auto"/>
            <w:shd w:val="clear" w:color="auto" w:fill="FFFFFF"/>
            <w:tcMar>
              <w:top w:w="0" w:type="dxa"/>
              <w:left w:w="0" w:type="dxa"/>
              <w:bottom w:w="0" w:type="dxa"/>
              <w:right w:w="0" w:type="dxa"/>
            </w:tcMar>
            <w:vAlign w:val="center"/>
          </w:tcPr>
          <w:p w14:paraId="4908C38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20a</w:t>
            </w:r>
          </w:p>
        </w:tc>
        <w:tc>
          <w:tcPr>
            <w:tcW w:w="0" w:type="auto"/>
            <w:shd w:val="clear" w:color="auto" w:fill="FFFFFF"/>
            <w:tcMar>
              <w:top w:w="0" w:type="dxa"/>
              <w:left w:w="0" w:type="dxa"/>
              <w:bottom w:w="0" w:type="dxa"/>
              <w:right w:w="0" w:type="dxa"/>
            </w:tcMar>
            <w:vAlign w:val="center"/>
          </w:tcPr>
          <w:p w14:paraId="7042F62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vAlign w:val="center"/>
          </w:tcPr>
          <w:p w14:paraId="53EB032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20604DCE" w14:textId="77777777" w:rsidTr="00CC30F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5476D7A5"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6E3BBDC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20b</w:t>
            </w:r>
          </w:p>
        </w:tc>
        <w:tc>
          <w:tcPr>
            <w:tcW w:w="0" w:type="auto"/>
            <w:shd w:val="clear" w:color="auto" w:fill="FFFFFF"/>
            <w:tcMar>
              <w:top w:w="0" w:type="dxa"/>
              <w:left w:w="0" w:type="dxa"/>
              <w:bottom w:w="0" w:type="dxa"/>
              <w:right w:w="0" w:type="dxa"/>
            </w:tcMar>
            <w:vAlign w:val="center"/>
          </w:tcPr>
          <w:p w14:paraId="04EBE67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vAlign w:val="center"/>
          </w:tcPr>
          <w:p w14:paraId="68F52A2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17517815"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29958D90"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696489D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20c</w:t>
            </w:r>
          </w:p>
        </w:tc>
        <w:tc>
          <w:tcPr>
            <w:tcW w:w="0" w:type="auto"/>
            <w:shd w:val="clear" w:color="auto" w:fill="FFFFFF"/>
            <w:tcMar>
              <w:top w:w="0" w:type="dxa"/>
              <w:left w:w="0" w:type="dxa"/>
              <w:bottom w:w="0" w:type="dxa"/>
              <w:right w:w="0" w:type="dxa"/>
            </w:tcMar>
            <w:vAlign w:val="center"/>
          </w:tcPr>
          <w:p w14:paraId="5109676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70D0DA3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49ADA85F"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2B788556"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49A0079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20d</w:t>
            </w:r>
          </w:p>
        </w:tc>
        <w:tc>
          <w:tcPr>
            <w:tcW w:w="0" w:type="auto"/>
            <w:shd w:val="clear" w:color="auto" w:fill="FFFFFF"/>
            <w:tcMar>
              <w:top w:w="0" w:type="dxa"/>
              <w:left w:w="0" w:type="dxa"/>
              <w:bottom w:w="0" w:type="dxa"/>
              <w:right w:w="0" w:type="dxa"/>
            </w:tcMar>
            <w:vAlign w:val="center"/>
          </w:tcPr>
          <w:p w14:paraId="1B4EF88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3FA21FE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70503F38"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6210FB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Reporting biases</w:t>
            </w:r>
          </w:p>
        </w:tc>
        <w:tc>
          <w:tcPr>
            <w:tcW w:w="0" w:type="auto"/>
            <w:shd w:val="clear" w:color="auto" w:fill="FFFFFF"/>
            <w:tcMar>
              <w:top w:w="0" w:type="dxa"/>
              <w:left w:w="0" w:type="dxa"/>
              <w:bottom w:w="0" w:type="dxa"/>
              <w:right w:w="0" w:type="dxa"/>
            </w:tcMar>
            <w:vAlign w:val="center"/>
          </w:tcPr>
          <w:p w14:paraId="5D65AD9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21</w:t>
            </w:r>
          </w:p>
        </w:tc>
        <w:tc>
          <w:tcPr>
            <w:tcW w:w="0" w:type="auto"/>
            <w:shd w:val="clear" w:color="auto" w:fill="FFFFFF"/>
            <w:tcMar>
              <w:top w:w="0" w:type="dxa"/>
              <w:left w:w="0" w:type="dxa"/>
              <w:bottom w:w="0" w:type="dxa"/>
              <w:right w:w="0" w:type="dxa"/>
            </w:tcMar>
            <w:vAlign w:val="center"/>
          </w:tcPr>
          <w:p w14:paraId="20C12AD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vAlign w:val="center"/>
          </w:tcPr>
          <w:p w14:paraId="2D960BD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448D261E"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1962F9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Certainty of evidence</w:t>
            </w:r>
          </w:p>
        </w:tc>
        <w:tc>
          <w:tcPr>
            <w:tcW w:w="0" w:type="auto"/>
            <w:shd w:val="clear" w:color="auto" w:fill="FFFFFF"/>
            <w:tcMar>
              <w:top w:w="0" w:type="dxa"/>
              <w:left w:w="0" w:type="dxa"/>
              <w:bottom w:w="0" w:type="dxa"/>
              <w:right w:w="0" w:type="dxa"/>
            </w:tcMar>
            <w:vAlign w:val="center"/>
          </w:tcPr>
          <w:p w14:paraId="09ABC0F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22</w:t>
            </w:r>
          </w:p>
        </w:tc>
        <w:tc>
          <w:tcPr>
            <w:tcW w:w="0" w:type="auto"/>
            <w:shd w:val="clear" w:color="auto" w:fill="FFFFFF"/>
            <w:tcMar>
              <w:top w:w="0" w:type="dxa"/>
              <w:left w:w="0" w:type="dxa"/>
              <w:bottom w:w="0" w:type="dxa"/>
              <w:right w:w="0" w:type="dxa"/>
            </w:tcMar>
            <w:vAlign w:val="center"/>
          </w:tcPr>
          <w:p w14:paraId="1D1798A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vAlign w:val="center"/>
          </w:tcPr>
          <w:p w14:paraId="2D482A5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5-6</w:t>
            </w:r>
          </w:p>
        </w:tc>
      </w:tr>
      <w:tr w:rsidR="00AE09CE" w:rsidRPr="00AE09CE" w14:paraId="4928857C"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75FC36E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DISCUSSION</w:t>
            </w:r>
          </w:p>
        </w:tc>
        <w:tc>
          <w:tcPr>
            <w:tcW w:w="0" w:type="auto"/>
            <w:shd w:val="clear" w:color="auto" w:fill="FFFFCC"/>
            <w:tcMar>
              <w:top w:w="0" w:type="dxa"/>
              <w:left w:w="0" w:type="dxa"/>
              <w:bottom w:w="0" w:type="dxa"/>
              <w:right w:w="0" w:type="dxa"/>
            </w:tcMar>
            <w:vAlign w:val="center"/>
          </w:tcPr>
          <w:p w14:paraId="67D3D665"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44D4D8CD"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348E10D5" w14:textId="77777777" w:rsidR="00AE09CE" w:rsidRPr="00AE09CE" w:rsidRDefault="00AE09CE" w:rsidP="00C61D0B">
            <w:pPr>
              <w:pStyle w:val="MDPI62BackMatter"/>
              <w:ind w:left="0"/>
              <w:jc w:val="left"/>
              <w:rPr>
                <w:rFonts w:ascii="Times New Roman" w:hAnsi="Times New Roman"/>
                <w:bCs/>
              </w:rPr>
            </w:pPr>
          </w:p>
        </w:tc>
      </w:tr>
      <w:tr w:rsidR="00AE09CE" w:rsidRPr="00AE09CE" w14:paraId="25B0577F"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295B22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Discussion</w:t>
            </w:r>
          </w:p>
        </w:tc>
        <w:tc>
          <w:tcPr>
            <w:tcW w:w="0" w:type="auto"/>
            <w:shd w:val="clear" w:color="auto" w:fill="FFFFFF"/>
            <w:tcMar>
              <w:top w:w="0" w:type="dxa"/>
              <w:left w:w="0" w:type="dxa"/>
              <w:bottom w:w="0" w:type="dxa"/>
              <w:right w:w="0" w:type="dxa"/>
            </w:tcMar>
            <w:vAlign w:val="center"/>
          </w:tcPr>
          <w:p w14:paraId="33E130C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23a</w:t>
            </w:r>
          </w:p>
        </w:tc>
        <w:tc>
          <w:tcPr>
            <w:tcW w:w="0" w:type="auto"/>
            <w:shd w:val="clear" w:color="auto" w:fill="FFFFFF"/>
            <w:tcMar>
              <w:top w:w="0" w:type="dxa"/>
              <w:left w:w="0" w:type="dxa"/>
              <w:bottom w:w="0" w:type="dxa"/>
              <w:right w:w="0" w:type="dxa"/>
            </w:tcMar>
            <w:vAlign w:val="center"/>
          </w:tcPr>
          <w:p w14:paraId="611A1B1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vAlign w:val="center"/>
          </w:tcPr>
          <w:p w14:paraId="418EFDE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6-7</w:t>
            </w:r>
          </w:p>
        </w:tc>
      </w:tr>
      <w:tr w:rsidR="00AE09CE" w:rsidRPr="00AE09CE" w14:paraId="399A774C" w14:textId="77777777" w:rsidTr="00CC30F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79197A46"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6174D92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23b</w:t>
            </w:r>
          </w:p>
        </w:tc>
        <w:tc>
          <w:tcPr>
            <w:tcW w:w="0" w:type="auto"/>
            <w:shd w:val="clear" w:color="auto" w:fill="FFFFFF"/>
            <w:tcMar>
              <w:top w:w="0" w:type="dxa"/>
              <w:left w:w="0" w:type="dxa"/>
              <w:bottom w:w="0" w:type="dxa"/>
              <w:right w:w="0" w:type="dxa"/>
            </w:tcMar>
            <w:vAlign w:val="center"/>
          </w:tcPr>
          <w:p w14:paraId="5ABB5B3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60A874E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6-7</w:t>
            </w:r>
          </w:p>
        </w:tc>
      </w:tr>
      <w:tr w:rsidR="00AE09CE" w:rsidRPr="00AE09CE" w14:paraId="2F7FCD5F"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75DF7838"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191405D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23c</w:t>
            </w:r>
          </w:p>
        </w:tc>
        <w:tc>
          <w:tcPr>
            <w:tcW w:w="0" w:type="auto"/>
            <w:shd w:val="clear" w:color="auto" w:fill="FFFFFF"/>
            <w:tcMar>
              <w:top w:w="0" w:type="dxa"/>
              <w:left w:w="0" w:type="dxa"/>
              <w:bottom w:w="0" w:type="dxa"/>
              <w:right w:w="0" w:type="dxa"/>
            </w:tcMar>
            <w:vAlign w:val="center"/>
          </w:tcPr>
          <w:p w14:paraId="3030C89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5A8B5D1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7-8</w:t>
            </w:r>
          </w:p>
        </w:tc>
      </w:tr>
      <w:tr w:rsidR="00AE09CE" w:rsidRPr="00AE09CE" w14:paraId="696DB453"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54F672F4"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0DA4D26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23d</w:t>
            </w:r>
          </w:p>
        </w:tc>
        <w:tc>
          <w:tcPr>
            <w:tcW w:w="0" w:type="auto"/>
            <w:shd w:val="clear" w:color="auto" w:fill="FFFFFF"/>
            <w:tcMar>
              <w:top w:w="0" w:type="dxa"/>
              <w:left w:w="0" w:type="dxa"/>
              <w:bottom w:w="0" w:type="dxa"/>
              <w:right w:w="0" w:type="dxa"/>
            </w:tcMar>
            <w:vAlign w:val="center"/>
          </w:tcPr>
          <w:p w14:paraId="0727C7F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vAlign w:val="center"/>
          </w:tcPr>
          <w:p w14:paraId="1C2F9B8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7-8</w:t>
            </w:r>
          </w:p>
        </w:tc>
      </w:tr>
      <w:tr w:rsidR="00AE09CE" w:rsidRPr="00AE09CE" w14:paraId="2F960B71"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30ABB5C9"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OTHER INFORMATION</w:t>
            </w:r>
          </w:p>
        </w:tc>
        <w:tc>
          <w:tcPr>
            <w:tcW w:w="0" w:type="auto"/>
            <w:shd w:val="clear" w:color="auto" w:fill="FFFFCC"/>
            <w:tcMar>
              <w:top w:w="0" w:type="dxa"/>
              <w:left w:w="0" w:type="dxa"/>
              <w:bottom w:w="0" w:type="dxa"/>
              <w:right w:w="0" w:type="dxa"/>
            </w:tcMar>
            <w:vAlign w:val="center"/>
          </w:tcPr>
          <w:p w14:paraId="4669AD7F"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5F31B3EE"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10D0A6A7" w14:textId="77777777" w:rsidR="00AE09CE" w:rsidRPr="00AE09CE" w:rsidRDefault="00AE09CE" w:rsidP="00C61D0B">
            <w:pPr>
              <w:pStyle w:val="MDPI62BackMatter"/>
              <w:ind w:left="0"/>
              <w:jc w:val="left"/>
              <w:rPr>
                <w:rFonts w:ascii="Times New Roman" w:hAnsi="Times New Roman"/>
                <w:bCs/>
              </w:rPr>
            </w:pPr>
          </w:p>
        </w:tc>
      </w:tr>
      <w:tr w:rsidR="00AE09CE" w:rsidRPr="00AE09CE" w14:paraId="78F62B37"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A41BF6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Registration and protocol</w:t>
            </w:r>
          </w:p>
        </w:tc>
        <w:tc>
          <w:tcPr>
            <w:tcW w:w="0" w:type="auto"/>
            <w:shd w:val="clear" w:color="auto" w:fill="FFFFFF"/>
            <w:tcMar>
              <w:top w:w="0" w:type="dxa"/>
              <w:left w:w="0" w:type="dxa"/>
              <w:bottom w:w="0" w:type="dxa"/>
              <w:right w:w="0" w:type="dxa"/>
            </w:tcMar>
            <w:vAlign w:val="center"/>
          </w:tcPr>
          <w:p w14:paraId="3759761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24a</w:t>
            </w:r>
          </w:p>
        </w:tc>
        <w:tc>
          <w:tcPr>
            <w:tcW w:w="0" w:type="auto"/>
            <w:shd w:val="clear" w:color="auto" w:fill="FFFFFF"/>
            <w:tcMar>
              <w:top w:w="0" w:type="dxa"/>
              <w:left w:w="0" w:type="dxa"/>
              <w:bottom w:w="0" w:type="dxa"/>
              <w:right w:w="0" w:type="dxa"/>
            </w:tcMar>
            <w:vAlign w:val="center"/>
          </w:tcPr>
          <w:p w14:paraId="7E15153E" w14:textId="2E2D98E6"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registration information for the review, including register name and registration number, or state that the review was not registered.</w:t>
            </w:r>
          </w:p>
        </w:tc>
        <w:tc>
          <w:tcPr>
            <w:tcW w:w="0" w:type="auto"/>
            <w:tcBorders>
              <w:right w:val="single" w:sz="8" w:space="0" w:color="000000"/>
            </w:tcBorders>
            <w:shd w:val="clear" w:color="auto" w:fill="FFFFFF"/>
            <w:tcMar>
              <w:top w:w="0" w:type="dxa"/>
              <w:left w:w="0" w:type="dxa"/>
              <w:bottom w:w="0" w:type="dxa"/>
              <w:right w:w="0" w:type="dxa"/>
            </w:tcMar>
            <w:vAlign w:val="center"/>
          </w:tcPr>
          <w:p w14:paraId="09DCDC2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r>
      <w:tr w:rsidR="00AE09CE" w:rsidRPr="00AE09CE" w14:paraId="1FB1F0AC" w14:textId="77777777" w:rsidTr="00CC30F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16E4CA87"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623A6619"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24b</w:t>
            </w:r>
          </w:p>
        </w:tc>
        <w:tc>
          <w:tcPr>
            <w:tcW w:w="0" w:type="auto"/>
            <w:shd w:val="clear" w:color="auto" w:fill="FFFFFF"/>
            <w:tcMar>
              <w:top w:w="0" w:type="dxa"/>
              <w:left w:w="0" w:type="dxa"/>
              <w:bottom w:w="0" w:type="dxa"/>
              <w:right w:w="0" w:type="dxa"/>
            </w:tcMar>
            <w:vAlign w:val="center"/>
          </w:tcPr>
          <w:p w14:paraId="756BAAB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vAlign w:val="center"/>
          </w:tcPr>
          <w:p w14:paraId="3E8216D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r>
      <w:tr w:rsidR="00AE09CE" w:rsidRPr="00AE09CE" w14:paraId="32CD745D" w14:textId="77777777" w:rsidTr="00CC30F7">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086AB86D"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FF"/>
            <w:tcMar>
              <w:top w:w="0" w:type="dxa"/>
              <w:left w:w="0" w:type="dxa"/>
              <w:bottom w:w="0" w:type="dxa"/>
              <w:right w:w="0" w:type="dxa"/>
            </w:tcMar>
            <w:vAlign w:val="center"/>
          </w:tcPr>
          <w:p w14:paraId="0131DB1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24c</w:t>
            </w:r>
          </w:p>
        </w:tc>
        <w:tc>
          <w:tcPr>
            <w:tcW w:w="0" w:type="auto"/>
            <w:shd w:val="clear" w:color="auto" w:fill="FFFFFF"/>
            <w:tcMar>
              <w:top w:w="0" w:type="dxa"/>
              <w:left w:w="0" w:type="dxa"/>
              <w:bottom w:w="0" w:type="dxa"/>
              <w:right w:w="0" w:type="dxa"/>
            </w:tcMar>
            <w:vAlign w:val="center"/>
          </w:tcPr>
          <w:p w14:paraId="70AE71E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vAlign w:val="center"/>
          </w:tcPr>
          <w:p w14:paraId="6F55348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r>
      <w:tr w:rsidR="00AE09CE" w:rsidRPr="00AE09CE" w14:paraId="106FE36B"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EF5F2B9"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Support</w:t>
            </w:r>
          </w:p>
        </w:tc>
        <w:tc>
          <w:tcPr>
            <w:tcW w:w="0" w:type="auto"/>
            <w:shd w:val="clear" w:color="auto" w:fill="FFFFFF"/>
            <w:tcMar>
              <w:top w:w="0" w:type="dxa"/>
              <w:left w:w="0" w:type="dxa"/>
              <w:bottom w:w="0" w:type="dxa"/>
              <w:right w:w="0" w:type="dxa"/>
            </w:tcMar>
            <w:vAlign w:val="center"/>
          </w:tcPr>
          <w:p w14:paraId="0C6D5C0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25</w:t>
            </w:r>
          </w:p>
        </w:tc>
        <w:tc>
          <w:tcPr>
            <w:tcW w:w="0" w:type="auto"/>
            <w:shd w:val="clear" w:color="auto" w:fill="FFFFFF"/>
            <w:tcMar>
              <w:top w:w="0" w:type="dxa"/>
              <w:left w:w="0" w:type="dxa"/>
              <w:bottom w:w="0" w:type="dxa"/>
              <w:right w:w="0" w:type="dxa"/>
            </w:tcMar>
            <w:vAlign w:val="center"/>
          </w:tcPr>
          <w:p w14:paraId="5A6F601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7DC52D8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8</w:t>
            </w:r>
          </w:p>
        </w:tc>
      </w:tr>
      <w:tr w:rsidR="00AE09CE" w:rsidRPr="00AE09CE" w14:paraId="1C2D8380"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F7437D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lastRenderedPageBreak/>
              <w:t>Competing interests</w:t>
            </w:r>
          </w:p>
        </w:tc>
        <w:tc>
          <w:tcPr>
            <w:tcW w:w="0" w:type="auto"/>
            <w:shd w:val="clear" w:color="auto" w:fill="FFFFFF"/>
            <w:tcMar>
              <w:top w:w="0" w:type="dxa"/>
              <w:left w:w="0" w:type="dxa"/>
              <w:bottom w:w="0" w:type="dxa"/>
              <w:right w:w="0" w:type="dxa"/>
            </w:tcMar>
            <w:vAlign w:val="center"/>
          </w:tcPr>
          <w:p w14:paraId="188F273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26</w:t>
            </w:r>
          </w:p>
        </w:tc>
        <w:tc>
          <w:tcPr>
            <w:tcW w:w="0" w:type="auto"/>
            <w:shd w:val="clear" w:color="auto" w:fill="FFFFFF"/>
            <w:tcMar>
              <w:top w:w="0" w:type="dxa"/>
              <w:left w:w="0" w:type="dxa"/>
              <w:bottom w:w="0" w:type="dxa"/>
              <w:right w:w="0" w:type="dxa"/>
            </w:tcMar>
            <w:vAlign w:val="center"/>
          </w:tcPr>
          <w:p w14:paraId="46E1643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vAlign w:val="center"/>
          </w:tcPr>
          <w:p w14:paraId="4FCD908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8</w:t>
            </w:r>
          </w:p>
        </w:tc>
      </w:tr>
      <w:tr w:rsidR="00AE09CE" w:rsidRPr="00AE09CE" w14:paraId="486F2BA8" w14:textId="77777777" w:rsidTr="00CC30F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vAlign w:val="center"/>
          </w:tcPr>
          <w:p w14:paraId="191A88C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vAlign w:val="center"/>
          </w:tcPr>
          <w:p w14:paraId="29FE653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27</w:t>
            </w:r>
          </w:p>
        </w:tc>
        <w:tc>
          <w:tcPr>
            <w:tcW w:w="0" w:type="auto"/>
            <w:tcBorders>
              <w:bottom w:val="single" w:sz="8" w:space="0" w:color="000000"/>
            </w:tcBorders>
            <w:shd w:val="clear" w:color="auto" w:fill="FFFFFF"/>
            <w:tcMar>
              <w:top w:w="0" w:type="dxa"/>
              <w:left w:w="0" w:type="dxa"/>
              <w:bottom w:w="0" w:type="dxa"/>
              <w:right w:w="0" w:type="dxa"/>
            </w:tcMar>
            <w:vAlign w:val="center"/>
          </w:tcPr>
          <w:p w14:paraId="1F7D621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vAlign w:val="center"/>
          </w:tcPr>
          <w:p w14:paraId="2829034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8</w:t>
            </w:r>
          </w:p>
        </w:tc>
      </w:tr>
    </w:tbl>
    <w:p w14:paraId="6BEAB1B5" w14:textId="77777777" w:rsidR="00AE09CE" w:rsidRPr="00AE09CE" w:rsidRDefault="00AE09CE" w:rsidP="00AE09CE">
      <w:pPr>
        <w:pStyle w:val="MDPI62BackMatter"/>
        <w:rPr>
          <w:rFonts w:ascii="Times New Roman" w:hAnsi="Times New Roman"/>
          <w:b/>
          <w:bCs/>
        </w:rPr>
      </w:pPr>
      <w:bookmarkStart w:id="3" w:name="section"/>
    </w:p>
    <w:p w14:paraId="25B05941" w14:textId="77777777" w:rsidR="00AE09CE" w:rsidRPr="00AE09CE" w:rsidRDefault="00AE09CE" w:rsidP="00AE09CE">
      <w:pPr>
        <w:pStyle w:val="MDPI62BackMatter"/>
        <w:rPr>
          <w:rFonts w:ascii="Times New Roman" w:hAnsi="Times New Roman"/>
          <w:b/>
          <w:bCs/>
        </w:rPr>
      </w:pPr>
      <w:bookmarkStart w:id="4" w:name="primsa-abstract-checklist"/>
      <w:bookmarkEnd w:id="2"/>
      <w:bookmarkEnd w:id="3"/>
      <w:r w:rsidRPr="00AE09CE">
        <w:rPr>
          <w:rFonts w:ascii="Times New Roman" w:hAnsi="Times New Roman"/>
          <w:b/>
          <w:bCs/>
        </w:rPr>
        <w:t>PRIMSA Abstract Checklist</w:t>
      </w:r>
    </w:p>
    <w:tbl>
      <w:tblPr>
        <w:tblW w:w="0" w:type="auto"/>
        <w:jc w:val="center"/>
        <w:tblLook w:val="0420" w:firstRow="1" w:lastRow="0" w:firstColumn="0" w:lastColumn="0" w:noHBand="0" w:noVBand="1"/>
      </w:tblPr>
      <w:tblGrid>
        <w:gridCol w:w="1087"/>
        <w:gridCol w:w="265"/>
        <w:gridCol w:w="6463"/>
        <w:gridCol w:w="669"/>
      </w:tblGrid>
      <w:tr w:rsidR="00AE09CE" w:rsidRPr="00AE09CE" w14:paraId="10BBB715" w14:textId="77777777" w:rsidTr="00CC30F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795CC6AF" w14:textId="77777777" w:rsidR="00AE09CE" w:rsidRPr="00AE09CE" w:rsidRDefault="00AE09CE" w:rsidP="00C61D0B">
            <w:pPr>
              <w:pStyle w:val="MDPI62BackMatter"/>
              <w:ind w:left="0"/>
              <w:jc w:val="left"/>
              <w:rPr>
                <w:rFonts w:ascii="Times New Roman" w:hAnsi="Times New Roman"/>
                <w:bCs/>
                <w:color w:val="FFFFFF" w:themeColor="background1"/>
              </w:rPr>
            </w:pPr>
            <w:r w:rsidRPr="00AE09CE">
              <w:rPr>
                <w:rFonts w:ascii="Times New Roman" w:hAnsi="Times New Roman"/>
                <w:b/>
                <w:bCs/>
                <w:color w:val="FFFFFF" w:themeColor="background1"/>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773F30FD" w14:textId="77777777" w:rsidR="00AE09CE" w:rsidRPr="00AE09CE" w:rsidRDefault="00AE09CE" w:rsidP="00C61D0B">
            <w:pPr>
              <w:pStyle w:val="MDPI62BackMatter"/>
              <w:ind w:left="0"/>
              <w:jc w:val="left"/>
              <w:rPr>
                <w:rFonts w:ascii="Times New Roman" w:hAnsi="Times New Roman"/>
                <w:bCs/>
                <w:color w:val="FFFFFF" w:themeColor="background1"/>
              </w:rPr>
            </w:pPr>
            <w:r w:rsidRPr="00AE09CE">
              <w:rPr>
                <w:rFonts w:ascii="Times New Roman" w:hAnsi="Times New Roman"/>
                <w:b/>
                <w:bCs/>
                <w:color w:val="FFFFFF" w:themeColor="background1"/>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E475F35" w14:textId="77777777" w:rsidR="00AE09CE" w:rsidRPr="00AE09CE" w:rsidRDefault="00AE09CE" w:rsidP="00C61D0B">
            <w:pPr>
              <w:pStyle w:val="MDPI62BackMatter"/>
              <w:ind w:left="0"/>
              <w:jc w:val="left"/>
              <w:rPr>
                <w:rFonts w:ascii="Times New Roman" w:hAnsi="Times New Roman"/>
                <w:bCs/>
                <w:color w:val="FFFFFF" w:themeColor="background1"/>
              </w:rPr>
            </w:pPr>
            <w:r w:rsidRPr="00AE09CE">
              <w:rPr>
                <w:rFonts w:ascii="Times New Roman" w:hAnsi="Times New Roman"/>
                <w:b/>
                <w:bCs/>
                <w:color w:val="FFFFFF" w:themeColor="background1"/>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231C537D" w14:textId="77777777" w:rsidR="00AE09CE" w:rsidRPr="00AE09CE" w:rsidRDefault="00AE09CE" w:rsidP="00C61D0B">
            <w:pPr>
              <w:pStyle w:val="MDPI62BackMatter"/>
              <w:ind w:left="0"/>
              <w:jc w:val="left"/>
              <w:rPr>
                <w:rFonts w:ascii="Times New Roman" w:hAnsi="Times New Roman"/>
                <w:bCs/>
                <w:color w:val="FFFFFF" w:themeColor="background1"/>
              </w:rPr>
            </w:pPr>
            <w:r w:rsidRPr="00AE09CE">
              <w:rPr>
                <w:rFonts w:ascii="Times New Roman" w:hAnsi="Times New Roman"/>
                <w:b/>
                <w:bCs/>
                <w:color w:val="FFFFFF" w:themeColor="background1"/>
              </w:rPr>
              <w:t>Reported?</w:t>
            </w:r>
          </w:p>
        </w:tc>
      </w:tr>
      <w:tr w:rsidR="00AE09CE" w:rsidRPr="00AE09CE" w14:paraId="695833B5"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0C6B5DD9"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TITLE</w:t>
            </w:r>
          </w:p>
        </w:tc>
        <w:tc>
          <w:tcPr>
            <w:tcW w:w="0" w:type="auto"/>
            <w:shd w:val="clear" w:color="auto" w:fill="FFFFCC"/>
            <w:tcMar>
              <w:top w:w="0" w:type="dxa"/>
              <w:left w:w="0" w:type="dxa"/>
              <w:bottom w:w="0" w:type="dxa"/>
              <w:right w:w="0" w:type="dxa"/>
            </w:tcMar>
            <w:vAlign w:val="center"/>
          </w:tcPr>
          <w:p w14:paraId="0DFC10AC"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1A184ADD"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30FCB27D" w14:textId="77777777" w:rsidR="00AE09CE" w:rsidRPr="00AE09CE" w:rsidRDefault="00AE09CE" w:rsidP="00C61D0B">
            <w:pPr>
              <w:pStyle w:val="MDPI62BackMatter"/>
              <w:ind w:left="0"/>
              <w:jc w:val="left"/>
              <w:rPr>
                <w:rFonts w:ascii="Times New Roman" w:hAnsi="Times New Roman"/>
                <w:bCs/>
              </w:rPr>
            </w:pPr>
          </w:p>
        </w:tc>
      </w:tr>
      <w:tr w:rsidR="00AE09CE" w:rsidRPr="00AE09CE" w14:paraId="50C3ADB4"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7C49FD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Title</w:t>
            </w:r>
          </w:p>
        </w:tc>
        <w:tc>
          <w:tcPr>
            <w:tcW w:w="0" w:type="auto"/>
            <w:shd w:val="clear" w:color="auto" w:fill="FFFFFF"/>
            <w:tcMar>
              <w:top w:w="0" w:type="dxa"/>
              <w:left w:w="0" w:type="dxa"/>
              <w:bottom w:w="0" w:type="dxa"/>
              <w:right w:w="0" w:type="dxa"/>
            </w:tcMar>
            <w:vAlign w:val="center"/>
          </w:tcPr>
          <w:p w14:paraId="4D34C2F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w:t>
            </w:r>
          </w:p>
        </w:tc>
        <w:tc>
          <w:tcPr>
            <w:tcW w:w="0" w:type="auto"/>
            <w:shd w:val="clear" w:color="auto" w:fill="FFFFFF"/>
            <w:tcMar>
              <w:top w:w="0" w:type="dxa"/>
              <w:left w:w="0" w:type="dxa"/>
              <w:bottom w:w="0" w:type="dxa"/>
              <w:right w:w="0" w:type="dxa"/>
            </w:tcMar>
            <w:vAlign w:val="center"/>
          </w:tcPr>
          <w:p w14:paraId="7C2838B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2E1402F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591E0DC4"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7DEBADA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BACKGROUND</w:t>
            </w:r>
          </w:p>
        </w:tc>
        <w:tc>
          <w:tcPr>
            <w:tcW w:w="0" w:type="auto"/>
            <w:shd w:val="clear" w:color="auto" w:fill="FFFFCC"/>
            <w:tcMar>
              <w:top w:w="0" w:type="dxa"/>
              <w:left w:w="0" w:type="dxa"/>
              <w:bottom w:w="0" w:type="dxa"/>
              <w:right w:w="0" w:type="dxa"/>
            </w:tcMar>
            <w:vAlign w:val="center"/>
          </w:tcPr>
          <w:p w14:paraId="5571C2A6"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08453233"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61A38479" w14:textId="77777777" w:rsidR="00AE09CE" w:rsidRPr="00AE09CE" w:rsidRDefault="00AE09CE" w:rsidP="00C61D0B">
            <w:pPr>
              <w:pStyle w:val="MDPI62BackMatter"/>
              <w:ind w:left="0"/>
              <w:jc w:val="left"/>
              <w:rPr>
                <w:rFonts w:ascii="Times New Roman" w:hAnsi="Times New Roman"/>
                <w:bCs/>
              </w:rPr>
            </w:pPr>
          </w:p>
        </w:tc>
      </w:tr>
      <w:tr w:rsidR="00AE09CE" w:rsidRPr="00AE09CE" w14:paraId="30E3B955"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103030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Objectives</w:t>
            </w:r>
          </w:p>
        </w:tc>
        <w:tc>
          <w:tcPr>
            <w:tcW w:w="0" w:type="auto"/>
            <w:shd w:val="clear" w:color="auto" w:fill="FFFFFF"/>
            <w:tcMar>
              <w:top w:w="0" w:type="dxa"/>
              <w:left w:w="0" w:type="dxa"/>
              <w:bottom w:w="0" w:type="dxa"/>
              <w:right w:w="0" w:type="dxa"/>
            </w:tcMar>
            <w:vAlign w:val="center"/>
          </w:tcPr>
          <w:p w14:paraId="1B98E45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2</w:t>
            </w:r>
          </w:p>
        </w:tc>
        <w:tc>
          <w:tcPr>
            <w:tcW w:w="0" w:type="auto"/>
            <w:shd w:val="clear" w:color="auto" w:fill="FFFFFF"/>
            <w:tcMar>
              <w:top w:w="0" w:type="dxa"/>
              <w:left w:w="0" w:type="dxa"/>
              <w:bottom w:w="0" w:type="dxa"/>
              <w:right w:w="0" w:type="dxa"/>
            </w:tcMar>
            <w:vAlign w:val="center"/>
          </w:tcPr>
          <w:p w14:paraId="537B9BC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vAlign w:val="center"/>
          </w:tcPr>
          <w:p w14:paraId="48138BB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14F408E4"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2B49C12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METHODS</w:t>
            </w:r>
          </w:p>
        </w:tc>
        <w:tc>
          <w:tcPr>
            <w:tcW w:w="0" w:type="auto"/>
            <w:shd w:val="clear" w:color="auto" w:fill="FFFFCC"/>
            <w:tcMar>
              <w:top w:w="0" w:type="dxa"/>
              <w:left w:w="0" w:type="dxa"/>
              <w:bottom w:w="0" w:type="dxa"/>
              <w:right w:w="0" w:type="dxa"/>
            </w:tcMar>
            <w:vAlign w:val="center"/>
          </w:tcPr>
          <w:p w14:paraId="4783D5C0"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27AC05C3"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0D65C99B" w14:textId="77777777" w:rsidR="00AE09CE" w:rsidRPr="00AE09CE" w:rsidRDefault="00AE09CE" w:rsidP="00C61D0B">
            <w:pPr>
              <w:pStyle w:val="MDPI62BackMatter"/>
              <w:ind w:left="0"/>
              <w:jc w:val="left"/>
              <w:rPr>
                <w:rFonts w:ascii="Times New Roman" w:hAnsi="Times New Roman"/>
                <w:bCs/>
              </w:rPr>
            </w:pPr>
          </w:p>
        </w:tc>
      </w:tr>
      <w:tr w:rsidR="00AE09CE" w:rsidRPr="00AE09CE" w14:paraId="64F46E7C"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105D48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Eligibility criteria</w:t>
            </w:r>
          </w:p>
        </w:tc>
        <w:tc>
          <w:tcPr>
            <w:tcW w:w="0" w:type="auto"/>
            <w:shd w:val="clear" w:color="auto" w:fill="FFFFFF"/>
            <w:tcMar>
              <w:top w:w="0" w:type="dxa"/>
              <w:left w:w="0" w:type="dxa"/>
              <w:bottom w:w="0" w:type="dxa"/>
              <w:right w:w="0" w:type="dxa"/>
            </w:tcMar>
            <w:vAlign w:val="center"/>
          </w:tcPr>
          <w:p w14:paraId="07B7977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3</w:t>
            </w:r>
          </w:p>
        </w:tc>
        <w:tc>
          <w:tcPr>
            <w:tcW w:w="0" w:type="auto"/>
            <w:shd w:val="clear" w:color="auto" w:fill="FFFFFF"/>
            <w:tcMar>
              <w:top w:w="0" w:type="dxa"/>
              <w:left w:w="0" w:type="dxa"/>
              <w:bottom w:w="0" w:type="dxa"/>
              <w:right w:w="0" w:type="dxa"/>
            </w:tcMar>
            <w:vAlign w:val="center"/>
          </w:tcPr>
          <w:p w14:paraId="29396D5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1B2491A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06AFFAD6"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03F7B7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Information sources</w:t>
            </w:r>
          </w:p>
        </w:tc>
        <w:tc>
          <w:tcPr>
            <w:tcW w:w="0" w:type="auto"/>
            <w:shd w:val="clear" w:color="auto" w:fill="FFFFFF"/>
            <w:tcMar>
              <w:top w:w="0" w:type="dxa"/>
              <w:left w:w="0" w:type="dxa"/>
              <w:bottom w:w="0" w:type="dxa"/>
              <w:right w:w="0" w:type="dxa"/>
            </w:tcMar>
            <w:vAlign w:val="center"/>
          </w:tcPr>
          <w:p w14:paraId="6E6F633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4</w:t>
            </w:r>
          </w:p>
        </w:tc>
        <w:tc>
          <w:tcPr>
            <w:tcW w:w="0" w:type="auto"/>
            <w:shd w:val="clear" w:color="auto" w:fill="FFFFFF"/>
            <w:tcMar>
              <w:top w:w="0" w:type="dxa"/>
              <w:left w:w="0" w:type="dxa"/>
              <w:bottom w:w="0" w:type="dxa"/>
              <w:right w:w="0" w:type="dxa"/>
            </w:tcMar>
            <w:vAlign w:val="center"/>
          </w:tcPr>
          <w:p w14:paraId="423DDB32" w14:textId="5A81C984"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information sources (e.g. databases, registers) used to identify studies and the date when each was last searched.</w:t>
            </w:r>
          </w:p>
        </w:tc>
        <w:tc>
          <w:tcPr>
            <w:tcW w:w="0" w:type="auto"/>
            <w:tcBorders>
              <w:right w:val="single" w:sz="8" w:space="0" w:color="000000"/>
            </w:tcBorders>
            <w:shd w:val="clear" w:color="auto" w:fill="FFFFFF"/>
            <w:tcMar>
              <w:top w:w="0" w:type="dxa"/>
              <w:left w:w="0" w:type="dxa"/>
              <w:bottom w:w="0" w:type="dxa"/>
              <w:right w:w="0" w:type="dxa"/>
            </w:tcMar>
            <w:vAlign w:val="center"/>
          </w:tcPr>
          <w:p w14:paraId="5A0ED93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6B934AEC"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8368DC7"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Risk of bias</w:t>
            </w:r>
          </w:p>
        </w:tc>
        <w:tc>
          <w:tcPr>
            <w:tcW w:w="0" w:type="auto"/>
            <w:shd w:val="clear" w:color="auto" w:fill="FFFFFF"/>
            <w:tcMar>
              <w:top w:w="0" w:type="dxa"/>
              <w:left w:w="0" w:type="dxa"/>
              <w:bottom w:w="0" w:type="dxa"/>
              <w:right w:w="0" w:type="dxa"/>
            </w:tcMar>
            <w:vAlign w:val="center"/>
          </w:tcPr>
          <w:p w14:paraId="4FE9E14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5</w:t>
            </w:r>
          </w:p>
        </w:tc>
        <w:tc>
          <w:tcPr>
            <w:tcW w:w="0" w:type="auto"/>
            <w:shd w:val="clear" w:color="auto" w:fill="FFFFFF"/>
            <w:tcMar>
              <w:top w:w="0" w:type="dxa"/>
              <w:left w:w="0" w:type="dxa"/>
              <w:bottom w:w="0" w:type="dxa"/>
              <w:right w:w="0" w:type="dxa"/>
            </w:tcMar>
            <w:vAlign w:val="center"/>
          </w:tcPr>
          <w:p w14:paraId="5A75819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vAlign w:val="center"/>
          </w:tcPr>
          <w:p w14:paraId="68FA762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75C8C71D"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CAE25A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Synthesis of results</w:t>
            </w:r>
          </w:p>
        </w:tc>
        <w:tc>
          <w:tcPr>
            <w:tcW w:w="0" w:type="auto"/>
            <w:shd w:val="clear" w:color="auto" w:fill="FFFFFF"/>
            <w:tcMar>
              <w:top w:w="0" w:type="dxa"/>
              <w:left w:w="0" w:type="dxa"/>
              <w:bottom w:w="0" w:type="dxa"/>
              <w:right w:w="0" w:type="dxa"/>
            </w:tcMar>
            <w:vAlign w:val="center"/>
          </w:tcPr>
          <w:p w14:paraId="0FE6B94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6</w:t>
            </w:r>
          </w:p>
        </w:tc>
        <w:tc>
          <w:tcPr>
            <w:tcW w:w="0" w:type="auto"/>
            <w:shd w:val="clear" w:color="auto" w:fill="FFFFFF"/>
            <w:tcMar>
              <w:top w:w="0" w:type="dxa"/>
              <w:left w:w="0" w:type="dxa"/>
              <w:bottom w:w="0" w:type="dxa"/>
              <w:right w:w="0" w:type="dxa"/>
            </w:tcMar>
            <w:vAlign w:val="center"/>
          </w:tcPr>
          <w:p w14:paraId="215DC0B1" w14:textId="401CA2D2"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methods used to present and synthesize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24B6041E"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51690232"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328BAA0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RESULTS</w:t>
            </w:r>
          </w:p>
        </w:tc>
        <w:tc>
          <w:tcPr>
            <w:tcW w:w="0" w:type="auto"/>
            <w:shd w:val="clear" w:color="auto" w:fill="FFFFCC"/>
            <w:tcMar>
              <w:top w:w="0" w:type="dxa"/>
              <w:left w:w="0" w:type="dxa"/>
              <w:bottom w:w="0" w:type="dxa"/>
              <w:right w:w="0" w:type="dxa"/>
            </w:tcMar>
            <w:vAlign w:val="center"/>
          </w:tcPr>
          <w:p w14:paraId="3306D08B"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277B43F5"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3EEAD137" w14:textId="77777777" w:rsidR="00AE09CE" w:rsidRPr="00AE09CE" w:rsidRDefault="00AE09CE" w:rsidP="00C61D0B">
            <w:pPr>
              <w:pStyle w:val="MDPI62BackMatter"/>
              <w:ind w:left="0"/>
              <w:jc w:val="left"/>
              <w:rPr>
                <w:rFonts w:ascii="Times New Roman" w:hAnsi="Times New Roman"/>
                <w:bCs/>
              </w:rPr>
            </w:pPr>
          </w:p>
        </w:tc>
      </w:tr>
      <w:tr w:rsidR="00AE09CE" w:rsidRPr="00AE09CE" w14:paraId="0DE07DB2"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486227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Included studies</w:t>
            </w:r>
          </w:p>
        </w:tc>
        <w:tc>
          <w:tcPr>
            <w:tcW w:w="0" w:type="auto"/>
            <w:shd w:val="clear" w:color="auto" w:fill="FFFFFF"/>
            <w:tcMar>
              <w:top w:w="0" w:type="dxa"/>
              <w:left w:w="0" w:type="dxa"/>
              <w:bottom w:w="0" w:type="dxa"/>
              <w:right w:w="0" w:type="dxa"/>
            </w:tcMar>
            <w:vAlign w:val="center"/>
          </w:tcPr>
          <w:p w14:paraId="68E5E595"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7</w:t>
            </w:r>
          </w:p>
        </w:tc>
        <w:tc>
          <w:tcPr>
            <w:tcW w:w="0" w:type="auto"/>
            <w:shd w:val="clear" w:color="auto" w:fill="FFFFFF"/>
            <w:tcMar>
              <w:top w:w="0" w:type="dxa"/>
              <w:left w:w="0" w:type="dxa"/>
              <w:bottom w:w="0" w:type="dxa"/>
              <w:right w:w="0" w:type="dxa"/>
            </w:tcMar>
            <w:vAlign w:val="center"/>
          </w:tcPr>
          <w:p w14:paraId="56A56C9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vAlign w:val="center"/>
          </w:tcPr>
          <w:p w14:paraId="23444A3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7D3AD9A4"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842DB58"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Synthesis of results</w:t>
            </w:r>
          </w:p>
        </w:tc>
        <w:tc>
          <w:tcPr>
            <w:tcW w:w="0" w:type="auto"/>
            <w:shd w:val="clear" w:color="auto" w:fill="FFFFFF"/>
            <w:tcMar>
              <w:top w:w="0" w:type="dxa"/>
              <w:left w:w="0" w:type="dxa"/>
              <w:bottom w:w="0" w:type="dxa"/>
              <w:right w:w="0" w:type="dxa"/>
            </w:tcMar>
            <w:vAlign w:val="center"/>
          </w:tcPr>
          <w:p w14:paraId="37E5BC5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8</w:t>
            </w:r>
          </w:p>
        </w:tc>
        <w:tc>
          <w:tcPr>
            <w:tcW w:w="0" w:type="auto"/>
            <w:shd w:val="clear" w:color="auto" w:fill="FFFFFF"/>
            <w:tcMar>
              <w:top w:w="0" w:type="dxa"/>
              <w:left w:w="0" w:type="dxa"/>
              <w:bottom w:w="0" w:type="dxa"/>
              <w:right w:w="0" w:type="dxa"/>
            </w:tcMar>
            <w:vAlign w:val="center"/>
          </w:tcPr>
          <w:p w14:paraId="037691A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vAlign w:val="center"/>
          </w:tcPr>
          <w:p w14:paraId="76BE4A71"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7053D745"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55BC6DE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DISCUSSION</w:t>
            </w:r>
          </w:p>
        </w:tc>
        <w:tc>
          <w:tcPr>
            <w:tcW w:w="0" w:type="auto"/>
            <w:shd w:val="clear" w:color="auto" w:fill="FFFFCC"/>
            <w:tcMar>
              <w:top w:w="0" w:type="dxa"/>
              <w:left w:w="0" w:type="dxa"/>
              <w:bottom w:w="0" w:type="dxa"/>
              <w:right w:w="0" w:type="dxa"/>
            </w:tcMar>
            <w:vAlign w:val="center"/>
          </w:tcPr>
          <w:p w14:paraId="38D0099C"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200D7A58"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401B3F2F" w14:textId="77777777" w:rsidR="00AE09CE" w:rsidRPr="00AE09CE" w:rsidRDefault="00AE09CE" w:rsidP="00C61D0B">
            <w:pPr>
              <w:pStyle w:val="MDPI62BackMatter"/>
              <w:ind w:left="0"/>
              <w:jc w:val="left"/>
              <w:rPr>
                <w:rFonts w:ascii="Times New Roman" w:hAnsi="Times New Roman"/>
                <w:bCs/>
              </w:rPr>
            </w:pPr>
          </w:p>
        </w:tc>
      </w:tr>
      <w:tr w:rsidR="00AE09CE" w:rsidRPr="00AE09CE" w14:paraId="29F7C4AA"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B76732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Limitations of evidence</w:t>
            </w:r>
          </w:p>
        </w:tc>
        <w:tc>
          <w:tcPr>
            <w:tcW w:w="0" w:type="auto"/>
            <w:shd w:val="clear" w:color="auto" w:fill="FFFFFF"/>
            <w:tcMar>
              <w:top w:w="0" w:type="dxa"/>
              <w:left w:w="0" w:type="dxa"/>
              <w:bottom w:w="0" w:type="dxa"/>
              <w:right w:w="0" w:type="dxa"/>
            </w:tcMar>
            <w:vAlign w:val="center"/>
          </w:tcPr>
          <w:p w14:paraId="6A2D114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9</w:t>
            </w:r>
          </w:p>
        </w:tc>
        <w:tc>
          <w:tcPr>
            <w:tcW w:w="0" w:type="auto"/>
            <w:shd w:val="clear" w:color="auto" w:fill="FFFFFF"/>
            <w:tcMar>
              <w:top w:w="0" w:type="dxa"/>
              <w:left w:w="0" w:type="dxa"/>
              <w:bottom w:w="0" w:type="dxa"/>
              <w:right w:w="0" w:type="dxa"/>
            </w:tcMar>
            <w:vAlign w:val="center"/>
          </w:tcPr>
          <w:p w14:paraId="5DFC0C9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vAlign w:val="center"/>
          </w:tcPr>
          <w:p w14:paraId="297C8B46"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6B2E93DE"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1406522"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Interpretation</w:t>
            </w:r>
          </w:p>
        </w:tc>
        <w:tc>
          <w:tcPr>
            <w:tcW w:w="0" w:type="auto"/>
            <w:shd w:val="clear" w:color="auto" w:fill="FFFFFF"/>
            <w:tcMar>
              <w:top w:w="0" w:type="dxa"/>
              <w:left w:w="0" w:type="dxa"/>
              <w:bottom w:w="0" w:type="dxa"/>
              <w:right w:w="0" w:type="dxa"/>
            </w:tcMar>
            <w:vAlign w:val="center"/>
          </w:tcPr>
          <w:p w14:paraId="3E7485B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10</w:t>
            </w:r>
          </w:p>
        </w:tc>
        <w:tc>
          <w:tcPr>
            <w:tcW w:w="0" w:type="auto"/>
            <w:shd w:val="clear" w:color="auto" w:fill="FFFFFF"/>
            <w:tcMar>
              <w:top w:w="0" w:type="dxa"/>
              <w:left w:w="0" w:type="dxa"/>
              <w:bottom w:w="0" w:type="dxa"/>
              <w:right w:w="0" w:type="dxa"/>
            </w:tcMar>
            <w:vAlign w:val="center"/>
          </w:tcPr>
          <w:p w14:paraId="173BB34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vAlign w:val="center"/>
          </w:tcPr>
          <w:p w14:paraId="685A4C50"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58620224" w14:textId="77777777" w:rsidTr="00CC30F7">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74EBA0A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OTHER</w:t>
            </w:r>
          </w:p>
        </w:tc>
        <w:tc>
          <w:tcPr>
            <w:tcW w:w="0" w:type="auto"/>
            <w:shd w:val="clear" w:color="auto" w:fill="FFFFCC"/>
            <w:tcMar>
              <w:top w:w="0" w:type="dxa"/>
              <w:left w:w="0" w:type="dxa"/>
              <w:bottom w:w="0" w:type="dxa"/>
              <w:right w:w="0" w:type="dxa"/>
            </w:tcMar>
            <w:vAlign w:val="center"/>
          </w:tcPr>
          <w:p w14:paraId="0E804F4A" w14:textId="77777777" w:rsidR="00AE09CE" w:rsidRPr="00AE09CE" w:rsidRDefault="00AE09CE" w:rsidP="00C61D0B">
            <w:pPr>
              <w:pStyle w:val="MDPI62BackMatter"/>
              <w:ind w:left="0"/>
              <w:jc w:val="left"/>
              <w:rPr>
                <w:rFonts w:ascii="Times New Roman" w:hAnsi="Times New Roman"/>
                <w:bCs/>
              </w:rPr>
            </w:pPr>
          </w:p>
        </w:tc>
        <w:tc>
          <w:tcPr>
            <w:tcW w:w="0" w:type="auto"/>
            <w:shd w:val="clear" w:color="auto" w:fill="FFFFCC"/>
            <w:tcMar>
              <w:top w:w="0" w:type="dxa"/>
              <w:left w:w="0" w:type="dxa"/>
              <w:bottom w:w="0" w:type="dxa"/>
              <w:right w:w="0" w:type="dxa"/>
            </w:tcMar>
            <w:vAlign w:val="center"/>
          </w:tcPr>
          <w:p w14:paraId="6B6E8B25" w14:textId="77777777" w:rsidR="00AE09CE" w:rsidRPr="00AE09CE" w:rsidRDefault="00AE09CE" w:rsidP="00C61D0B">
            <w:pPr>
              <w:pStyle w:val="MDPI62BackMatter"/>
              <w:ind w:left="0"/>
              <w:jc w:val="left"/>
              <w:rPr>
                <w:rFonts w:ascii="Times New Roman" w:hAnsi="Times New Roman"/>
                <w:bCs/>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0ADCEC4D" w14:textId="77777777" w:rsidR="00AE09CE" w:rsidRPr="00AE09CE" w:rsidRDefault="00AE09CE" w:rsidP="00C61D0B">
            <w:pPr>
              <w:pStyle w:val="MDPI62BackMatter"/>
              <w:ind w:left="0"/>
              <w:jc w:val="left"/>
              <w:rPr>
                <w:rFonts w:ascii="Times New Roman" w:hAnsi="Times New Roman"/>
                <w:bCs/>
              </w:rPr>
            </w:pPr>
          </w:p>
        </w:tc>
      </w:tr>
      <w:tr w:rsidR="00AE09CE" w:rsidRPr="00AE09CE" w14:paraId="30C0A99E" w14:textId="77777777" w:rsidTr="00CC30F7">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2F8F37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Funding</w:t>
            </w:r>
          </w:p>
        </w:tc>
        <w:tc>
          <w:tcPr>
            <w:tcW w:w="0" w:type="auto"/>
            <w:shd w:val="clear" w:color="auto" w:fill="FFFFFF"/>
            <w:tcMar>
              <w:top w:w="0" w:type="dxa"/>
              <w:left w:w="0" w:type="dxa"/>
              <w:bottom w:w="0" w:type="dxa"/>
              <w:right w:w="0" w:type="dxa"/>
            </w:tcMar>
            <w:vAlign w:val="center"/>
          </w:tcPr>
          <w:p w14:paraId="63A04A7B"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11</w:t>
            </w:r>
          </w:p>
        </w:tc>
        <w:tc>
          <w:tcPr>
            <w:tcW w:w="0" w:type="auto"/>
            <w:shd w:val="clear" w:color="auto" w:fill="FFFFFF"/>
            <w:tcMar>
              <w:top w:w="0" w:type="dxa"/>
              <w:left w:w="0" w:type="dxa"/>
              <w:bottom w:w="0" w:type="dxa"/>
              <w:right w:w="0" w:type="dxa"/>
            </w:tcMar>
            <w:vAlign w:val="center"/>
          </w:tcPr>
          <w:p w14:paraId="17564A5F"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646FD163"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r w:rsidR="00AE09CE" w:rsidRPr="00AE09CE" w14:paraId="3129F897" w14:textId="77777777" w:rsidTr="00CC30F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vAlign w:val="center"/>
          </w:tcPr>
          <w:p w14:paraId="6A37E664"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
                <w:bCs/>
              </w:rPr>
              <w:t>Registration</w:t>
            </w:r>
          </w:p>
        </w:tc>
        <w:tc>
          <w:tcPr>
            <w:tcW w:w="0" w:type="auto"/>
            <w:tcBorders>
              <w:bottom w:val="single" w:sz="8" w:space="0" w:color="000000"/>
            </w:tcBorders>
            <w:shd w:val="clear" w:color="auto" w:fill="FFFFFF"/>
            <w:tcMar>
              <w:top w:w="0" w:type="dxa"/>
              <w:left w:w="0" w:type="dxa"/>
              <w:bottom w:w="0" w:type="dxa"/>
              <w:right w:w="0" w:type="dxa"/>
            </w:tcMar>
            <w:vAlign w:val="center"/>
          </w:tcPr>
          <w:p w14:paraId="7D8E7BEA"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12</w:t>
            </w:r>
          </w:p>
        </w:tc>
        <w:tc>
          <w:tcPr>
            <w:tcW w:w="0" w:type="auto"/>
            <w:tcBorders>
              <w:bottom w:val="single" w:sz="8" w:space="0" w:color="000000"/>
            </w:tcBorders>
            <w:shd w:val="clear" w:color="auto" w:fill="FFFFFF"/>
            <w:tcMar>
              <w:top w:w="0" w:type="dxa"/>
              <w:left w:w="0" w:type="dxa"/>
              <w:bottom w:w="0" w:type="dxa"/>
              <w:right w:w="0" w:type="dxa"/>
            </w:tcMar>
            <w:vAlign w:val="center"/>
          </w:tcPr>
          <w:p w14:paraId="5E34CE4C"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vAlign w:val="center"/>
          </w:tcPr>
          <w:p w14:paraId="2ADB110D" w14:textId="77777777" w:rsidR="00AE09CE" w:rsidRPr="00AE09CE" w:rsidRDefault="00AE09CE" w:rsidP="00C61D0B">
            <w:pPr>
              <w:pStyle w:val="MDPI62BackMatter"/>
              <w:ind w:left="0"/>
              <w:jc w:val="left"/>
              <w:rPr>
                <w:rFonts w:ascii="Times New Roman" w:hAnsi="Times New Roman"/>
                <w:bCs/>
              </w:rPr>
            </w:pPr>
            <w:r w:rsidRPr="00AE09CE">
              <w:rPr>
                <w:rFonts w:ascii="Times New Roman" w:hAnsi="Times New Roman"/>
                <w:bCs/>
              </w:rPr>
              <w:t>Yes</w:t>
            </w:r>
          </w:p>
        </w:tc>
      </w:tr>
    </w:tbl>
    <w:p w14:paraId="32327CAB" w14:textId="77777777" w:rsidR="00AE09CE" w:rsidRPr="00AE09CE" w:rsidRDefault="00AE09CE" w:rsidP="00AE09CE">
      <w:pPr>
        <w:pStyle w:val="MDPI62BackMatter"/>
        <w:rPr>
          <w:rFonts w:ascii="Times New Roman" w:hAnsi="Times New Roman"/>
          <w:bCs/>
        </w:rPr>
      </w:pPr>
      <w:r w:rsidRPr="00AE09CE">
        <w:rPr>
          <w:rFonts w:ascii="Times New Roman" w:hAnsi="Times New Roman"/>
          <w:bCs/>
        </w:rPr>
        <w:t> </w:t>
      </w:r>
    </w:p>
    <w:p w14:paraId="55E56E5B" w14:textId="77777777" w:rsidR="00AE09CE" w:rsidRPr="00AE09CE" w:rsidRDefault="00AE09CE" w:rsidP="00AE09CE">
      <w:pPr>
        <w:pStyle w:val="MDPI62BackMatter"/>
        <w:ind w:left="0"/>
        <w:rPr>
          <w:rFonts w:ascii="Times New Roman" w:hAnsi="Times New Roman"/>
          <w:bCs/>
        </w:rPr>
      </w:pPr>
      <w:r w:rsidRPr="00AE09CE">
        <w:rPr>
          <w:rFonts w:ascii="Times New Roman" w:hAnsi="Times New Roman"/>
          <w:bCs/>
          <w:i/>
          <w:iCs/>
        </w:rPr>
        <w:t>From:</w:t>
      </w:r>
      <w:r w:rsidRPr="00AE09CE">
        <w:rPr>
          <w:rFonts w:ascii="Times New Roman" w:hAnsi="Times New Roman"/>
          <w:bCs/>
        </w:rPr>
        <w:t xml:space="preserve"> Page MJ, McKenzie JE, Bossuyt PM, Boutron I, Hoffmann TC, Mulrow CD, et al. The PRISMA 2020 statement: an updated guideline for reporting systematic reviews. MetaArXiv. 2020, September 14. DOI: 10.31222/osf.io/v7gm2. For more information, visit: </w:t>
      </w:r>
      <w:hyperlink r:id="rId16">
        <w:r w:rsidRPr="00AE09CE">
          <w:rPr>
            <w:rStyle w:val="Hipervnculo"/>
            <w:rFonts w:ascii="Times New Roman" w:hAnsi="Times New Roman"/>
            <w:bCs/>
          </w:rPr>
          <w:t>www.prisma-statement.org</w:t>
        </w:r>
      </w:hyperlink>
    </w:p>
    <w:bookmarkEnd w:id="4"/>
    <w:p w14:paraId="18A77F77" w14:textId="77777777" w:rsidR="00123558" w:rsidRDefault="00123558" w:rsidP="00A90C11">
      <w:pPr>
        <w:pStyle w:val="MDPI62BackMatter"/>
        <w:ind w:left="0"/>
        <w:rPr>
          <w:bCs/>
        </w:rPr>
      </w:pPr>
    </w:p>
    <w:p w14:paraId="42A6B113" w14:textId="77777777" w:rsidR="00123558" w:rsidRDefault="00123558" w:rsidP="00A90C11">
      <w:pPr>
        <w:pStyle w:val="MDPI62BackMatter"/>
        <w:ind w:left="0"/>
        <w:rPr>
          <w:bCs/>
        </w:rPr>
      </w:pPr>
    </w:p>
    <w:p w14:paraId="361F4CFE" w14:textId="77777777" w:rsidR="00123558" w:rsidRDefault="00123558" w:rsidP="00A90C11">
      <w:pPr>
        <w:pStyle w:val="MDPI62BackMatter"/>
        <w:ind w:left="0"/>
        <w:rPr>
          <w:bCs/>
        </w:rPr>
      </w:pPr>
    </w:p>
    <w:p w14:paraId="58E3D93E" w14:textId="77777777" w:rsidR="00123558" w:rsidRPr="00994880" w:rsidRDefault="00123558" w:rsidP="00A90C11">
      <w:pPr>
        <w:pStyle w:val="MDPI62BackMatter"/>
        <w:ind w:left="0"/>
        <w:rPr>
          <w:bCs/>
        </w:rPr>
      </w:pPr>
    </w:p>
    <w:p w14:paraId="55649253" w14:textId="77777777" w:rsidR="00994880" w:rsidRPr="00994880" w:rsidRDefault="00994880" w:rsidP="00A90C11">
      <w:pPr>
        <w:pStyle w:val="MDPI62BackMatter"/>
        <w:ind w:left="0"/>
        <w:rPr>
          <w:bCs/>
        </w:rPr>
      </w:pPr>
    </w:p>
    <w:p w14:paraId="357DA2EB" w14:textId="439C69CF" w:rsidR="00A90C11" w:rsidRPr="006C4A3E" w:rsidRDefault="00E65C56" w:rsidP="0086023B">
      <w:pPr>
        <w:pStyle w:val="MDPI31text"/>
        <w:ind w:left="0"/>
        <w:rPr>
          <w:rFonts w:ascii="Times New Roman" w:hAnsi="Times New Roman"/>
          <w:sz w:val="22"/>
        </w:rPr>
      </w:pPr>
      <w:r w:rsidRPr="006C4A3E">
        <w:rPr>
          <w:rFonts w:ascii="Times New Roman" w:hAnsi="Times New Roman"/>
          <w:b/>
          <w:bCs/>
          <w:sz w:val="22"/>
        </w:rPr>
        <w:lastRenderedPageBreak/>
        <w:t>S</w:t>
      </w:r>
      <w:r w:rsidR="001A465A" w:rsidRPr="006C4A3E">
        <w:rPr>
          <w:rFonts w:ascii="Times New Roman" w:hAnsi="Times New Roman"/>
          <w:b/>
          <w:bCs/>
          <w:sz w:val="22"/>
        </w:rPr>
        <w:t>2</w:t>
      </w:r>
      <w:r w:rsidRPr="006C4A3E">
        <w:rPr>
          <w:rFonts w:ascii="Times New Roman" w:hAnsi="Times New Roman"/>
          <w:b/>
          <w:bCs/>
          <w:sz w:val="22"/>
        </w:rPr>
        <w:t xml:space="preserve"> Table</w:t>
      </w:r>
      <w:r w:rsidR="0086023B" w:rsidRPr="006C4A3E">
        <w:rPr>
          <w:rFonts w:ascii="Times New Roman" w:hAnsi="Times New Roman"/>
          <w:b/>
          <w:bCs/>
          <w:sz w:val="22"/>
        </w:rPr>
        <w:t xml:space="preserve">. </w:t>
      </w:r>
      <w:r w:rsidR="0086023B" w:rsidRPr="006C4A3E">
        <w:rPr>
          <w:rFonts w:ascii="Times New Roman" w:hAnsi="Times New Roman"/>
          <w:sz w:val="22"/>
        </w:rPr>
        <w:t>The adjusted search terms as per searched electronic databases.</w:t>
      </w:r>
    </w:p>
    <w:p w14:paraId="71D198BD" w14:textId="77777777" w:rsidR="0086023B" w:rsidRDefault="0086023B" w:rsidP="0086023B">
      <w:pPr>
        <w:pStyle w:val="MDPI31text"/>
        <w:ind w:left="0" w:firstLine="0"/>
        <w:rPr>
          <w:rFonts w:ascii="Times New Roman" w:hAnsi="Times New Roman"/>
          <w:sz w:val="24"/>
          <w:szCs w:val="24"/>
        </w:rPr>
      </w:pPr>
    </w:p>
    <w:p w14:paraId="1EA38C58" w14:textId="77777777" w:rsidR="0086023B" w:rsidRDefault="0086023B" w:rsidP="0086023B">
      <w:pPr>
        <w:pStyle w:val="MDPI31text"/>
        <w:ind w:left="0" w:firstLine="0"/>
        <w:rPr>
          <w:rFonts w:ascii="Times New Roman" w:hAnsi="Times New Roman"/>
          <w:sz w:val="24"/>
          <w:szCs w:val="24"/>
        </w:rPr>
      </w:pPr>
    </w:p>
    <w:p w14:paraId="0DAE39BE" w14:textId="77777777" w:rsidR="0086023B" w:rsidRDefault="0086023B" w:rsidP="0086023B">
      <w:pPr>
        <w:pStyle w:val="MDPI31text"/>
        <w:ind w:left="0" w:firstLine="0"/>
        <w:rPr>
          <w:rFonts w:ascii="Times New Roman" w:hAnsi="Times New Roman"/>
          <w:sz w:val="24"/>
          <w:szCs w:val="24"/>
        </w:rPr>
      </w:pPr>
    </w:p>
    <w:tbl>
      <w:tblPr>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2"/>
        <w:gridCol w:w="416"/>
        <w:gridCol w:w="6840"/>
        <w:gridCol w:w="1016"/>
      </w:tblGrid>
      <w:tr w:rsidR="00D524EA" w:rsidRPr="00D524EA" w14:paraId="0B581C20" w14:textId="77777777" w:rsidTr="00D524EA">
        <w:trPr>
          <w:trHeight w:val="303"/>
          <w:jc w:val="center"/>
        </w:trPr>
        <w:tc>
          <w:tcPr>
            <w:tcW w:w="0" w:type="auto"/>
            <w:gridSpan w:val="4"/>
            <w:vAlign w:val="center"/>
          </w:tcPr>
          <w:p w14:paraId="18E459DC" w14:textId="77777777" w:rsidR="00D524EA" w:rsidRPr="00D524EA" w:rsidRDefault="00D524EA" w:rsidP="00D524EA">
            <w:pPr>
              <w:jc w:val="center"/>
              <w:rPr>
                <w:rFonts w:ascii="Times New Roman" w:eastAsia="Times New Roman" w:hAnsi="Times New Roman"/>
                <w:b/>
                <w:bCs/>
              </w:rPr>
            </w:pPr>
            <w:r w:rsidRPr="00D524EA">
              <w:rPr>
                <w:rFonts w:ascii="Times New Roman" w:eastAsia="Times New Roman" w:hAnsi="Times New Roman"/>
                <w:b/>
                <w:bCs/>
              </w:rPr>
              <w:t>PubMed</w:t>
            </w:r>
          </w:p>
        </w:tc>
      </w:tr>
      <w:tr w:rsidR="00D524EA" w:rsidRPr="00D524EA" w14:paraId="4D3FEED1" w14:textId="77777777" w:rsidTr="00D524EA">
        <w:trPr>
          <w:trHeight w:val="303"/>
          <w:jc w:val="center"/>
        </w:trPr>
        <w:tc>
          <w:tcPr>
            <w:tcW w:w="0" w:type="auto"/>
            <w:vMerge w:val="restart"/>
            <w:vAlign w:val="center"/>
          </w:tcPr>
          <w:p w14:paraId="4E3BAAE0" w14:textId="77777777" w:rsidR="00D524EA" w:rsidRPr="00D524EA" w:rsidRDefault="00D524EA" w:rsidP="00453F23">
            <w:pPr>
              <w:rPr>
                <w:rFonts w:ascii="Times New Roman" w:eastAsia="Times New Roman" w:hAnsi="Times New Roman"/>
              </w:rPr>
            </w:pPr>
          </w:p>
        </w:tc>
        <w:tc>
          <w:tcPr>
            <w:tcW w:w="0" w:type="auto"/>
            <w:vAlign w:val="center"/>
          </w:tcPr>
          <w:p w14:paraId="62173681"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2F92D89E"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(Monkeypox OR “Monkey Pox”)</w:t>
            </w:r>
          </w:p>
        </w:tc>
        <w:tc>
          <w:tcPr>
            <w:tcW w:w="0" w:type="auto"/>
            <w:vAlign w:val="center"/>
          </w:tcPr>
          <w:p w14:paraId="2F8CF280"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3,412</w:t>
            </w:r>
          </w:p>
        </w:tc>
      </w:tr>
      <w:tr w:rsidR="00D524EA" w:rsidRPr="00D524EA" w14:paraId="5AE5CAD0" w14:textId="77777777" w:rsidTr="00D524EA">
        <w:trPr>
          <w:trHeight w:val="285"/>
          <w:jc w:val="center"/>
        </w:trPr>
        <w:tc>
          <w:tcPr>
            <w:tcW w:w="0" w:type="auto"/>
            <w:vMerge/>
            <w:vAlign w:val="center"/>
          </w:tcPr>
          <w:p w14:paraId="28B9AB5B"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75EF9D51"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w:t>
            </w:r>
          </w:p>
        </w:tc>
        <w:tc>
          <w:tcPr>
            <w:tcW w:w="0" w:type="auto"/>
            <w:vAlign w:val="center"/>
          </w:tcPr>
          <w:p w14:paraId="047335C6"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(“Knowledge”)</w:t>
            </w:r>
          </w:p>
        </w:tc>
        <w:tc>
          <w:tcPr>
            <w:tcW w:w="0" w:type="auto"/>
            <w:vAlign w:val="center"/>
          </w:tcPr>
          <w:p w14:paraId="52E29E75"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1,005,183</w:t>
            </w:r>
          </w:p>
        </w:tc>
      </w:tr>
      <w:tr w:rsidR="00D524EA" w:rsidRPr="00D524EA" w14:paraId="1C35AE63" w14:textId="77777777" w:rsidTr="00D524EA">
        <w:trPr>
          <w:trHeight w:val="303"/>
          <w:jc w:val="center"/>
        </w:trPr>
        <w:tc>
          <w:tcPr>
            <w:tcW w:w="0" w:type="auto"/>
            <w:vMerge/>
            <w:vAlign w:val="center"/>
          </w:tcPr>
          <w:p w14:paraId="3CA28560"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41E3785C"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w:t>
            </w:r>
          </w:p>
        </w:tc>
        <w:tc>
          <w:tcPr>
            <w:tcW w:w="0" w:type="auto"/>
            <w:vAlign w:val="center"/>
          </w:tcPr>
          <w:p w14:paraId="4E8D3C02"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 Attitude” OR “ Attitudes” OR “Sentiment” OR “Sentiments” OR “Opinions” OR “Opinion”)</w:t>
            </w:r>
          </w:p>
        </w:tc>
        <w:tc>
          <w:tcPr>
            <w:tcW w:w="0" w:type="auto"/>
            <w:vAlign w:val="center"/>
          </w:tcPr>
          <w:p w14:paraId="1B4409B9"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608,550</w:t>
            </w:r>
          </w:p>
        </w:tc>
      </w:tr>
      <w:tr w:rsidR="00D524EA" w:rsidRPr="00D524EA" w14:paraId="2BEC7836" w14:textId="77777777" w:rsidTr="00D524EA">
        <w:trPr>
          <w:trHeight w:val="303"/>
          <w:jc w:val="center"/>
        </w:trPr>
        <w:tc>
          <w:tcPr>
            <w:tcW w:w="0" w:type="auto"/>
            <w:vMerge/>
            <w:vAlign w:val="center"/>
          </w:tcPr>
          <w:p w14:paraId="526FDDF0"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28A20F17"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w:t>
            </w:r>
          </w:p>
        </w:tc>
        <w:tc>
          <w:tcPr>
            <w:tcW w:w="0" w:type="auto"/>
            <w:vAlign w:val="center"/>
          </w:tcPr>
          <w:p w14:paraId="6C29A31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 xml:space="preserve">#1 AND #2 AND #3 </w:t>
            </w:r>
          </w:p>
        </w:tc>
        <w:tc>
          <w:tcPr>
            <w:tcW w:w="0" w:type="auto"/>
            <w:vAlign w:val="center"/>
          </w:tcPr>
          <w:p w14:paraId="1462C356"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48</w:t>
            </w:r>
          </w:p>
        </w:tc>
      </w:tr>
      <w:tr w:rsidR="00D524EA" w:rsidRPr="00D524EA" w14:paraId="2241730A" w14:textId="77777777" w:rsidTr="00D524EA">
        <w:trPr>
          <w:trHeight w:val="303"/>
          <w:jc w:val="center"/>
        </w:trPr>
        <w:tc>
          <w:tcPr>
            <w:tcW w:w="0" w:type="auto"/>
            <w:gridSpan w:val="4"/>
            <w:vAlign w:val="center"/>
          </w:tcPr>
          <w:p w14:paraId="29CC6B69" w14:textId="77777777" w:rsidR="00D524EA" w:rsidRPr="00D524EA" w:rsidRDefault="00D524EA" w:rsidP="00D524EA">
            <w:pPr>
              <w:jc w:val="center"/>
              <w:rPr>
                <w:rFonts w:ascii="Times New Roman" w:eastAsia="Times New Roman" w:hAnsi="Times New Roman"/>
                <w:b/>
                <w:bCs/>
              </w:rPr>
            </w:pPr>
            <w:r w:rsidRPr="00D524EA">
              <w:rPr>
                <w:rFonts w:ascii="Times New Roman" w:eastAsia="Times New Roman" w:hAnsi="Times New Roman"/>
                <w:b/>
                <w:bCs/>
              </w:rPr>
              <w:t>Scopus</w:t>
            </w:r>
          </w:p>
        </w:tc>
      </w:tr>
      <w:tr w:rsidR="00D524EA" w:rsidRPr="00D524EA" w14:paraId="4AC386BC" w14:textId="77777777" w:rsidTr="00D524EA">
        <w:trPr>
          <w:trHeight w:val="303"/>
          <w:jc w:val="center"/>
        </w:trPr>
        <w:tc>
          <w:tcPr>
            <w:tcW w:w="0" w:type="auto"/>
            <w:vMerge w:val="restart"/>
            <w:vAlign w:val="center"/>
          </w:tcPr>
          <w:p w14:paraId="43E6FC95" w14:textId="77777777" w:rsidR="00D524EA" w:rsidRPr="00D524EA" w:rsidRDefault="00D524EA" w:rsidP="00453F23">
            <w:pPr>
              <w:rPr>
                <w:rFonts w:ascii="Times New Roman" w:eastAsia="Times New Roman" w:hAnsi="Times New Roman"/>
              </w:rPr>
            </w:pPr>
          </w:p>
        </w:tc>
        <w:tc>
          <w:tcPr>
            <w:tcW w:w="0" w:type="auto"/>
            <w:vAlign w:val="center"/>
          </w:tcPr>
          <w:p w14:paraId="0F74B194"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0ACD3F41"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TITLE-ABS-KEY ( monkeypox OR "Monkey Pox" )</w:t>
            </w:r>
          </w:p>
        </w:tc>
        <w:tc>
          <w:tcPr>
            <w:tcW w:w="0" w:type="auto"/>
            <w:vAlign w:val="center"/>
          </w:tcPr>
          <w:p w14:paraId="7F0054D6"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3,965</w:t>
            </w:r>
          </w:p>
        </w:tc>
      </w:tr>
      <w:tr w:rsidR="00D524EA" w:rsidRPr="00D524EA" w14:paraId="29F0700A" w14:textId="77777777" w:rsidTr="00D524EA">
        <w:trPr>
          <w:trHeight w:val="303"/>
          <w:jc w:val="center"/>
        </w:trPr>
        <w:tc>
          <w:tcPr>
            <w:tcW w:w="0" w:type="auto"/>
            <w:vMerge/>
            <w:vAlign w:val="center"/>
          </w:tcPr>
          <w:p w14:paraId="4A14B0D7"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16D0FA14"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w:t>
            </w:r>
          </w:p>
        </w:tc>
        <w:tc>
          <w:tcPr>
            <w:tcW w:w="0" w:type="auto"/>
            <w:vAlign w:val="center"/>
          </w:tcPr>
          <w:p w14:paraId="6A16A02A"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TITLE-ABS-KEY ( "Knowledge" )</w:t>
            </w:r>
          </w:p>
        </w:tc>
        <w:tc>
          <w:tcPr>
            <w:tcW w:w="0" w:type="auto"/>
            <w:vAlign w:val="center"/>
          </w:tcPr>
          <w:p w14:paraId="010B4F5E"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2,690,119</w:t>
            </w:r>
          </w:p>
        </w:tc>
      </w:tr>
      <w:tr w:rsidR="00D524EA" w:rsidRPr="00D524EA" w14:paraId="586B03F9" w14:textId="77777777" w:rsidTr="00D524EA">
        <w:trPr>
          <w:trHeight w:val="303"/>
          <w:jc w:val="center"/>
        </w:trPr>
        <w:tc>
          <w:tcPr>
            <w:tcW w:w="0" w:type="auto"/>
            <w:vMerge/>
            <w:vAlign w:val="center"/>
          </w:tcPr>
          <w:p w14:paraId="0806ED87"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0CD3145F"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w:t>
            </w:r>
          </w:p>
        </w:tc>
        <w:tc>
          <w:tcPr>
            <w:tcW w:w="0" w:type="auto"/>
            <w:vAlign w:val="center"/>
          </w:tcPr>
          <w:p w14:paraId="18C144D0"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TITLE-ABS-KEY ( " Attitude" OR " Attitudes" OR "Sentiment" OR "Sentiments" OR "Opinions" OR "Opinion" )</w:t>
            </w:r>
          </w:p>
        </w:tc>
        <w:tc>
          <w:tcPr>
            <w:tcW w:w="0" w:type="auto"/>
            <w:vAlign w:val="center"/>
          </w:tcPr>
          <w:p w14:paraId="4979958C"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1,411,155</w:t>
            </w:r>
          </w:p>
        </w:tc>
      </w:tr>
      <w:tr w:rsidR="00D524EA" w:rsidRPr="00D524EA" w14:paraId="14433DB7" w14:textId="77777777" w:rsidTr="00D524EA">
        <w:trPr>
          <w:trHeight w:val="303"/>
          <w:jc w:val="center"/>
        </w:trPr>
        <w:tc>
          <w:tcPr>
            <w:tcW w:w="0" w:type="auto"/>
            <w:vMerge/>
            <w:vAlign w:val="center"/>
          </w:tcPr>
          <w:p w14:paraId="1C843D07"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1825F9A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w:t>
            </w:r>
          </w:p>
        </w:tc>
        <w:tc>
          <w:tcPr>
            <w:tcW w:w="0" w:type="auto"/>
            <w:vAlign w:val="center"/>
          </w:tcPr>
          <w:p w14:paraId="03E759C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 AND #2 AND #3</w:t>
            </w:r>
          </w:p>
        </w:tc>
        <w:tc>
          <w:tcPr>
            <w:tcW w:w="0" w:type="auto"/>
            <w:vAlign w:val="center"/>
          </w:tcPr>
          <w:p w14:paraId="5D6C0686"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53</w:t>
            </w:r>
          </w:p>
        </w:tc>
      </w:tr>
      <w:tr w:rsidR="00D524EA" w:rsidRPr="00D524EA" w14:paraId="7EA85FDC" w14:textId="77777777" w:rsidTr="00D524EA">
        <w:trPr>
          <w:trHeight w:val="303"/>
          <w:jc w:val="center"/>
        </w:trPr>
        <w:tc>
          <w:tcPr>
            <w:tcW w:w="0" w:type="auto"/>
            <w:gridSpan w:val="4"/>
            <w:vAlign w:val="center"/>
          </w:tcPr>
          <w:p w14:paraId="72A352B2" w14:textId="77777777" w:rsidR="00D524EA" w:rsidRPr="00D524EA" w:rsidRDefault="00D524EA" w:rsidP="00D524EA">
            <w:pPr>
              <w:jc w:val="center"/>
              <w:rPr>
                <w:rFonts w:ascii="Times New Roman" w:eastAsia="Times New Roman" w:hAnsi="Times New Roman"/>
                <w:b/>
                <w:bCs/>
              </w:rPr>
            </w:pPr>
            <w:r w:rsidRPr="00D524EA">
              <w:rPr>
                <w:rFonts w:ascii="Times New Roman" w:eastAsia="Times New Roman" w:hAnsi="Times New Roman"/>
                <w:b/>
                <w:bCs/>
              </w:rPr>
              <w:t>Embase</w:t>
            </w:r>
          </w:p>
        </w:tc>
      </w:tr>
      <w:tr w:rsidR="00D524EA" w:rsidRPr="00D524EA" w14:paraId="3030DC32" w14:textId="77777777" w:rsidTr="00D524EA">
        <w:trPr>
          <w:trHeight w:val="303"/>
          <w:jc w:val="center"/>
        </w:trPr>
        <w:tc>
          <w:tcPr>
            <w:tcW w:w="0" w:type="auto"/>
            <w:vMerge w:val="restart"/>
            <w:vAlign w:val="center"/>
          </w:tcPr>
          <w:p w14:paraId="1C727C07" w14:textId="77777777" w:rsidR="00D524EA" w:rsidRPr="00D524EA" w:rsidRDefault="00D524EA" w:rsidP="00453F23">
            <w:pPr>
              <w:rPr>
                <w:rFonts w:ascii="Times New Roman" w:eastAsia="Times New Roman" w:hAnsi="Times New Roman"/>
              </w:rPr>
            </w:pPr>
          </w:p>
        </w:tc>
        <w:tc>
          <w:tcPr>
            <w:tcW w:w="0" w:type="auto"/>
            <w:vAlign w:val="center"/>
          </w:tcPr>
          <w:p w14:paraId="6F0CCAD1"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58CDAF8E"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 xml:space="preserve">'monkeypox'/exp OR 'monkeypox' </w:t>
            </w:r>
          </w:p>
        </w:tc>
        <w:tc>
          <w:tcPr>
            <w:tcW w:w="0" w:type="auto"/>
            <w:vAlign w:val="center"/>
          </w:tcPr>
          <w:p w14:paraId="65D4CFB2"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4,147</w:t>
            </w:r>
          </w:p>
        </w:tc>
      </w:tr>
      <w:tr w:rsidR="00D524EA" w:rsidRPr="00D524EA" w14:paraId="0A53861E" w14:textId="77777777" w:rsidTr="00D524EA">
        <w:trPr>
          <w:trHeight w:val="303"/>
          <w:jc w:val="center"/>
        </w:trPr>
        <w:tc>
          <w:tcPr>
            <w:tcW w:w="0" w:type="auto"/>
            <w:vMerge/>
            <w:vAlign w:val="center"/>
          </w:tcPr>
          <w:p w14:paraId="5D7C3FA8"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02A2F38A"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w:t>
            </w:r>
          </w:p>
        </w:tc>
        <w:tc>
          <w:tcPr>
            <w:tcW w:w="0" w:type="auto"/>
            <w:vAlign w:val="center"/>
          </w:tcPr>
          <w:p w14:paraId="4065B100"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'knowledge'</w:t>
            </w:r>
          </w:p>
        </w:tc>
        <w:tc>
          <w:tcPr>
            <w:tcW w:w="0" w:type="auto"/>
            <w:vAlign w:val="center"/>
          </w:tcPr>
          <w:p w14:paraId="18442BDD" w14:textId="77777777" w:rsidR="00D524EA" w:rsidRPr="00D524EA" w:rsidRDefault="00D524EA" w:rsidP="00453F23">
            <w:pPr>
              <w:rPr>
                <w:rFonts w:ascii="Times New Roman" w:eastAsia="Times New Roman" w:hAnsi="Times New Roman"/>
              </w:rPr>
            </w:pPr>
            <w:bookmarkStart w:id="5" w:name="_heading=h.5fuzp5fwp5t3" w:colFirst="0" w:colLast="0"/>
            <w:bookmarkEnd w:id="5"/>
            <w:r w:rsidRPr="00D524EA">
              <w:rPr>
                <w:rFonts w:ascii="Times New Roman" w:eastAsia="Times New Roman" w:hAnsi="Times New Roman"/>
              </w:rPr>
              <w:t>1,219,506</w:t>
            </w:r>
          </w:p>
        </w:tc>
      </w:tr>
      <w:tr w:rsidR="00D524EA" w:rsidRPr="00D524EA" w14:paraId="74CD09DD" w14:textId="77777777" w:rsidTr="00D524EA">
        <w:trPr>
          <w:trHeight w:val="303"/>
          <w:jc w:val="center"/>
        </w:trPr>
        <w:tc>
          <w:tcPr>
            <w:tcW w:w="0" w:type="auto"/>
            <w:vMerge/>
            <w:vAlign w:val="center"/>
          </w:tcPr>
          <w:p w14:paraId="414CF5A7"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4078EFD2"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w:t>
            </w:r>
          </w:p>
        </w:tc>
        <w:tc>
          <w:tcPr>
            <w:tcW w:w="0" w:type="auto"/>
            <w:vAlign w:val="center"/>
          </w:tcPr>
          <w:p w14:paraId="7A951132"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'attitude'</w:t>
            </w:r>
          </w:p>
        </w:tc>
        <w:tc>
          <w:tcPr>
            <w:tcW w:w="0" w:type="auto"/>
            <w:vAlign w:val="center"/>
          </w:tcPr>
          <w:p w14:paraId="43C19710"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541,342</w:t>
            </w:r>
          </w:p>
        </w:tc>
      </w:tr>
      <w:tr w:rsidR="00D524EA" w:rsidRPr="00D524EA" w14:paraId="3EB6C4DD" w14:textId="77777777" w:rsidTr="00D524EA">
        <w:trPr>
          <w:trHeight w:val="303"/>
          <w:jc w:val="center"/>
        </w:trPr>
        <w:tc>
          <w:tcPr>
            <w:tcW w:w="0" w:type="auto"/>
            <w:vMerge/>
            <w:vAlign w:val="center"/>
          </w:tcPr>
          <w:p w14:paraId="7900674E"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1F881DA3"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w:t>
            </w:r>
          </w:p>
        </w:tc>
        <w:tc>
          <w:tcPr>
            <w:tcW w:w="0" w:type="auto"/>
            <w:vAlign w:val="center"/>
          </w:tcPr>
          <w:p w14:paraId="43E5CB42"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 AND #2 AND #3</w:t>
            </w:r>
          </w:p>
        </w:tc>
        <w:tc>
          <w:tcPr>
            <w:tcW w:w="0" w:type="auto"/>
            <w:vAlign w:val="center"/>
          </w:tcPr>
          <w:p w14:paraId="61B3830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40</w:t>
            </w:r>
          </w:p>
        </w:tc>
      </w:tr>
      <w:tr w:rsidR="00D524EA" w:rsidRPr="00D524EA" w14:paraId="3632F483" w14:textId="77777777" w:rsidTr="00D524EA">
        <w:trPr>
          <w:trHeight w:val="303"/>
          <w:jc w:val="center"/>
        </w:trPr>
        <w:tc>
          <w:tcPr>
            <w:tcW w:w="0" w:type="auto"/>
            <w:gridSpan w:val="4"/>
            <w:vAlign w:val="center"/>
          </w:tcPr>
          <w:p w14:paraId="04AB2EE7" w14:textId="77777777" w:rsidR="00D524EA" w:rsidRPr="00D524EA" w:rsidRDefault="00D524EA" w:rsidP="00D524EA">
            <w:pPr>
              <w:jc w:val="center"/>
              <w:rPr>
                <w:rFonts w:ascii="Times New Roman" w:eastAsia="Times New Roman" w:hAnsi="Times New Roman"/>
                <w:b/>
                <w:bCs/>
              </w:rPr>
            </w:pPr>
            <w:r w:rsidRPr="00D524EA">
              <w:rPr>
                <w:rFonts w:ascii="Times New Roman" w:eastAsia="Times New Roman" w:hAnsi="Times New Roman"/>
                <w:b/>
                <w:bCs/>
              </w:rPr>
              <w:t>Web of Science</w:t>
            </w:r>
          </w:p>
        </w:tc>
      </w:tr>
      <w:tr w:rsidR="00D524EA" w:rsidRPr="00D524EA" w14:paraId="6B042B78" w14:textId="77777777" w:rsidTr="00D524EA">
        <w:trPr>
          <w:trHeight w:val="303"/>
          <w:jc w:val="center"/>
        </w:trPr>
        <w:tc>
          <w:tcPr>
            <w:tcW w:w="0" w:type="auto"/>
            <w:vMerge w:val="restart"/>
            <w:vAlign w:val="center"/>
          </w:tcPr>
          <w:p w14:paraId="5BDB1FF4" w14:textId="77777777" w:rsidR="00D524EA" w:rsidRPr="00D524EA" w:rsidRDefault="00D524EA" w:rsidP="00453F23">
            <w:pPr>
              <w:rPr>
                <w:rFonts w:ascii="Times New Roman" w:eastAsia="Times New Roman" w:hAnsi="Times New Roman"/>
              </w:rPr>
            </w:pPr>
          </w:p>
        </w:tc>
        <w:tc>
          <w:tcPr>
            <w:tcW w:w="0" w:type="auto"/>
            <w:vAlign w:val="center"/>
          </w:tcPr>
          <w:p w14:paraId="0065AFBB"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58135579"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ALL=(Monkeypox OR “Monkey Pox”)</w:t>
            </w:r>
          </w:p>
        </w:tc>
        <w:tc>
          <w:tcPr>
            <w:tcW w:w="0" w:type="auto"/>
            <w:vAlign w:val="center"/>
          </w:tcPr>
          <w:p w14:paraId="78C2FA2B"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3,450</w:t>
            </w:r>
          </w:p>
        </w:tc>
      </w:tr>
      <w:tr w:rsidR="00D524EA" w:rsidRPr="00D524EA" w14:paraId="6542C1B1" w14:textId="77777777" w:rsidTr="00D524EA">
        <w:trPr>
          <w:trHeight w:val="303"/>
          <w:jc w:val="center"/>
        </w:trPr>
        <w:tc>
          <w:tcPr>
            <w:tcW w:w="0" w:type="auto"/>
            <w:vMerge/>
            <w:vAlign w:val="center"/>
          </w:tcPr>
          <w:p w14:paraId="1A049182"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3C4EE5E5"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w:t>
            </w:r>
          </w:p>
        </w:tc>
        <w:tc>
          <w:tcPr>
            <w:tcW w:w="0" w:type="auto"/>
            <w:vAlign w:val="center"/>
          </w:tcPr>
          <w:p w14:paraId="39D6487A"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ALL= (“Knowledge”)</w:t>
            </w:r>
          </w:p>
        </w:tc>
        <w:tc>
          <w:tcPr>
            <w:tcW w:w="0" w:type="auto"/>
            <w:vAlign w:val="center"/>
          </w:tcPr>
          <w:p w14:paraId="6CA73254"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2,001,028</w:t>
            </w:r>
          </w:p>
        </w:tc>
      </w:tr>
      <w:tr w:rsidR="00D524EA" w:rsidRPr="00D524EA" w14:paraId="03F0E523" w14:textId="77777777" w:rsidTr="00D524EA">
        <w:trPr>
          <w:trHeight w:val="303"/>
          <w:jc w:val="center"/>
        </w:trPr>
        <w:tc>
          <w:tcPr>
            <w:tcW w:w="0" w:type="auto"/>
            <w:vMerge/>
            <w:vAlign w:val="center"/>
          </w:tcPr>
          <w:p w14:paraId="4D0D82D5"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1A6115EC"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w:t>
            </w:r>
          </w:p>
        </w:tc>
        <w:tc>
          <w:tcPr>
            <w:tcW w:w="0" w:type="auto"/>
            <w:vAlign w:val="center"/>
          </w:tcPr>
          <w:p w14:paraId="1992D1D5"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ALL= (“ Attitude” OR “ Attitudes” OR “Sentiment” OR “Sentiments” OR “Opinions” OR “Opinion”)</w:t>
            </w:r>
          </w:p>
        </w:tc>
        <w:tc>
          <w:tcPr>
            <w:tcW w:w="0" w:type="auto"/>
            <w:vAlign w:val="center"/>
          </w:tcPr>
          <w:p w14:paraId="30889CB7"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707,095</w:t>
            </w:r>
          </w:p>
        </w:tc>
      </w:tr>
      <w:tr w:rsidR="00D524EA" w:rsidRPr="00D524EA" w14:paraId="34CE8376" w14:textId="77777777" w:rsidTr="00D524EA">
        <w:trPr>
          <w:trHeight w:val="303"/>
          <w:jc w:val="center"/>
        </w:trPr>
        <w:tc>
          <w:tcPr>
            <w:tcW w:w="0" w:type="auto"/>
            <w:vMerge/>
            <w:vAlign w:val="center"/>
          </w:tcPr>
          <w:p w14:paraId="4B931C39"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65AE8C7F"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w:t>
            </w:r>
          </w:p>
        </w:tc>
        <w:tc>
          <w:tcPr>
            <w:tcW w:w="0" w:type="auto"/>
            <w:vAlign w:val="center"/>
          </w:tcPr>
          <w:p w14:paraId="7450E383"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 AND #2 AND #3</w:t>
            </w:r>
          </w:p>
        </w:tc>
        <w:tc>
          <w:tcPr>
            <w:tcW w:w="0" w:type="auto"/>
            <w:vAlign w:val="center"/>
          </w:tcPr>
          <w:p w14:paraId="5E3510B3"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54</w:t>
            </w:r>
          </w:p>
        </w:tc>
      </w:tr>
      <w:tr w:rsidR="00D524EA" w:rsidRPr="00D524EA" w14:paraId="25FAE38F" w14:textId="77777777" w:rsidTr="00D524EA">
        <w:trPr>
          <w:trHeight w:val="303"/>
          <w:jc w:val="center"/>
        </w:trPr>
        <w:tc>
          <w:tcPr>
            <w:tcW w:w="0" w:type="auto"/>
            <w:gridSpan w:val="4"/>
            <w:vAlign w:val="center"/>
          </w:tcPr>
          <w:p w14:paraId="719616F0" w14:textId="77777777" w:rsidR="00D524EA" w:rsidRPr="00D524EA" w:rsidRDefault="00D524EA" w:rsidP="00D524EA">
            <w:pPr>
              <w:jc w:val="center"/>
              <w:rPr>
                <w:rFonts w:ascii="Times New Roman" w:eastAsia="Times New Roman" w:hAnsi="Times New Roman"/>
                <w:b/>
                <w:bCs/>
              </w:rPr>
            </w:pPr>
            <w:r w:rsidRPr="00D524EA">
              <w:rPr>
                <w:rFonts w:ascii="Times New Roman" w:eastAsia="Times New Roman" w:hAnsi="Times New Roman"/>
                <w:b/>
                <w:bCs/>
              </w:rPr>
              <w:t>ScienceDirect</w:t>
            </w:r>
          </w:p>
        </w:tc>
      </w:tr>
      <w:tr w:rsidR="00D524EA" w:rsidRPr="00D524EA" w14:paraId="3870162A" w14:textId="77777777" w:rsidTr="00D524EA">
        <w:trPr>
          <w:trHeight w:val="303"/>
          <w:jc w:val="center"/>
        </w:trPr>
        <w:tc>
          <w:tcPr>
            <w:tcW w:w="0" w:type="auto"/>
            <w:vMerge w:val="restart"/>
            <w:vAlign w:val="center"/>
          </w:tcPr>
          <w:p w14:paraId="24F8ADDB" w14:textId="77777777" w:rsidR="00D524EA" w:rsidRPr="00D524EA" w:rsidRDefault="00D524EA" w:rsidP="00453F23">
            <w:pPr>
              <w:rPr>
                <w:rFonts w:ascii="Times New Roman" w:eastAsia="Times New Roman" w:hAnsi="Times New Roman"/>
              </w:rPr>
            </w:pPr>
          </w:p>
        </w:tc>
        <w:tc>
          <w:tcPr>
            <w:tcW w:w="0" w:type="auto"/>
            <w:vAlign w:val="center"/>
          </w:tcPr>
          <w:p w14:paraId="73327A4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728A002F"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(Monkeypox OR “Monkey Pox”)</w:t>
            </w:r>
          </w:p>
        </w:tc>
        <w:tc>
          <w:tcPr>
            <w:tcW w:w="0" w:type="auto"/>
            <w:vAlign w:val="center"/>
          </w:tcPr>
          <w:p w14:paraId="3335F7CC"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1,016</w:t>
            </w:r>
          </w:p>
        </w:tc>
      </w:tr>
      <w:tr w:rsidR="00D524EA" w:rsidRPr="00D524EA" w14:paraId="4C79ECED" w14:textId="77777777" w:rsidTr="00D524EA">
        <w:trPr>
          <w:trHeight w:val="303"/>
          <w:jc w:val="center"/>
        </w:trPr>
        <w:tc>
          <w:tcPr>
            <w:tcW w:w="0" w:type="auto"/>
            <w:vMerge/>
            <w:vAlign w:val="center"/>
          </w:tcPr>
          <w:p w14:paraId="3F0F26EB"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4354E129"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#2</w:t>
            </w:r>
          </w:p>
        </w:tc>
        <w:tc>
          <w:tcPr>
            <w:tcW w:w="0" w:type="auto"/>
            <w:vAlign w:val="center"/>
          </w:tcPr>
          <w:p w14:paraId="2A4EA8EE"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(“Knowledge”)</w:t>
            </w:r>
          </w:p>
        </w:tc>
        <w:tc>
          <w:tcPr>
            <w:tcW w:w="0" w:type="auto"/>
            <w:vAlign w:val="center"/>
          </w:tcPr>
          <w:p w14:paraId="26B36D6E"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421,556</w:t>
            </w:r>
          </w:p>
        </w:tc>
      </w:tr>
      <w:tr w:rsidR="00D524EA" w:rsidRPr="00D524EA" w14:paraId="7FF60C20" w14:textId="77777777" w:rsidTr="00D524EA">
        <w:trPr>
          <w:trHeight w:val="303"/>
          <w:jc w:val="center"/>
        </w:trPr>
        <w:tc>
          <w:tcPr>
            <w:tcW w:w="0" w:type="auto"/>
            <w:vMerge/>
            <w:vAlign w:val="center"/>
          </w:tcPr>
          <w:p w14:paraId="7C832360"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4DF10D90"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#3</w:t>
            </w:r>
          </w:p>
        </w:tc>
        <w:tc>
          <w:tcPr>
            <w:tcW w:w="0" w:type="auto"/>
            <w:vAlign w:val="center"/>
          </w:tcPr>
          <w:p w14:paraId="33A23889"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 Attitude” )</w:t>
            </w:r>
          </w:p>
        </w:tc>
        <w:tc>
          <w:tcPr>
            <w:tcW w:w="0" w:type="auto"/>
            <w:vAlign w:val="center"/>
          </w:tcPr>
          <w:p w14:paraId="715FB6D5"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78,759</w:t>
            </w:r>
          </w:p>
        </w:tc>
      </w:tr>
      <w:tr w:rsidR="00D524EA" w:rsidRPr="00D524EA" w14:paraId="02F44A57" w14:textId="77777777" w:rsidTr="00D524EA">
        <w:trPr>
          <w:trHeight w:val="303"/>
          <w:jc w:val="center"/>
        </w:trPr>
        <w:tc>
          <w:tcPr>
            <w:tcW w:w="0" w:type="auto"/>
            <w:vMerge/>
            <w:vAlign w:val="center"/>
          </w:tcPr>
          <w:p w14:paraId="1D3C267B" w14:textId="77777777" w:rsidR="00D524EA" w:rsidRPr="00D524EA" w:rsidRDefault="00D524EA" w:rsidP="00453F23">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279D0418"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#4</w:t>
            </w:r>
          </w:p>
        </w:tc>
        <w:tc>
          <w:tcPr>
            <w:tcW w:w="0" w:type="auto"/>
            <w:vAlign w:val="center"/>
          </w:tcPr>
          <w:p w14:paraId="4DB2C42A"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 AND #2 AND #3</w:t>
            </w:r>
          </w:p>
        </w:tc>
        <w:tc>
          <w:tcPr>
            <w:tcW w:w="0" w:type="auto"/>
            <w:vAlign w:val="center"/>
          </w:tcPr>
          <w:p w14:paraId="5E1C68FB" w14:textId="77777777" w:rsidR="00D524EA" w:rsidRPr="00D524EA" w:rsidRDefault="00D524EA" w:rsidP="00453F23">
            <w:pPr>
              <w:rPr>
                <w:rFonts w:ascii="Times New Roman" w:eastAsia="Times New Roman" w:hAnsi="Times New Roman"/>
              </w:rPr>
            </w:pPr>
            <w:r w:rsidRPr="00D524EA">
              <w:rPr>
                <w:rFonts w:ascii="Times New Roman" w:eastAsia="Times New Roman" w:hAnsi="Times New Roman"/>
              </w:rPr>
              <w:t>104</w:t>
            </w:r>
          </w:p>
        </w:tc>
      </w:tr>
    </w:tbl>
    <w:p w14:paraId="1BB6C7BF" w14:textId="3BA1FA85" w:rsidR="0086023B" w:rsidRPr="0086023B" w:rsidRDefault="0086023B" w:rsidP="0086023B">
      <w:pPr>
        <w:pStyle w:val="MDPI31text"/>
        <w:ind w:left="0" w:firstLine="0"/>
        <w:rPr>
          <w:rFonts w:ascii="Times New Roman" w:hAnsi="Times New Roman"/>
          <w:b/>
          <w:bCs/>
          <w:sz w:val="24"/>
          <w:szCs w:val="24"/>
        </w:rPr>
        <w:sectPr w:rsidR="0086023B" w:rsidRPr="0086023B" w:rsidSect="00613085">
          <w:headerReference w:type="even" r:id="rId17"/>
          <w:footerReference w:type="default" r:id="rId18"/>
          <w:footerReference w:type="first" r:id="rId19"/>
          <w:type w:val="continuous"/>
          <w:pgSz w:w="11906" w:h="16838" w:code="9"/>
          <w:pgMar w:top="1417" w:right="1701" w:bottom="1418" w:left="1701" w:header="1020" w:footer="340" w:gutter="0"/>
          <w:pgNumType w:start="1"/>
          <w:cols w:space="425"/>
          <w:titlePg/>
          <w:bidi/>
          <w:docGrid w:linePitch="326"/>
        </w:sectPr>
      </w:pPr>
    </w:p>
    <w:p w14:paraId="630AD3C6" w14:textId="77777777" w:rsidR="00086C21" w:rsidRDefault="00086C21" w:rsidP="00086C21">
      <w:pPr>
        <w:pStyle w:val="MDPI31text"/>
      </w:pPr>
    </w:p>
    <w:p w14:paraId="316B3D7B" w14:textId="64F87375" w:rsidR="00086C21" w:rsidRPr="003A4A06" w:rsidRDefault="00E65C56" w:rsidP="003A4A06">
      <w:pPr>
        <w:spacing w:line="240" w:lineRule="auto"/>
        <w:jc w:val="center"/>
        <w:rPr>
          <w:rFonts w:ascii="Times New Roman" w:eastAsia="Times New Roman" w:hAnsi="Times New Roman"/>
          <w:snapToGrid w:val="0"/>
          <w:sz w:val="22"/>
          <w:lang w:eastAsia="de-DE" w:bidi="en-US"/>
        </w:rPr>
      </w:pPr>
      <w:bookmarkStart w:id="6" w:name="_Hlk141574869"/>
      <w:r w:rsidRPr="00E65C56">
        <w:rPr>
          <w:rFonts w:ascii="Times New Roman" w:eastAsia="Times New Roman" w:hAnsi="Times New Roman"/>
          <w:b/>
          <w:bCs/>
          <w:snapToGrid w:val="0"/>
          <w:sz w:val="22"/>
          <w:lang w:eastAsia="de-DE" w:bidi="en-US"/>
        </w:rPr>
        <w:t>S</w:t>
      </w:r>
      <w:r w:rsidR="001A465A">
        <w:rPr>
          <w:rFonts w:ascii="Times New Roman" w:eastAsia="Times New Roman" w:hAnsi="Times New Roman"/>
          <w:b/>
          <w:bCs/>
          <w:snapToGrid w:val="0"/>
          <w:sz w:val="22"/>
          <w:lang w:eastAsia="de-DE" w:bidi="en-US"/>
        </w:rPr>
        <w:t>3</w:t>
      </w:r>
      <w:r w:rsidRPr="00E65C56">
        <w:rPr>
          <w:rFonts w:ascii="Times New Roman" w:eastAsia="Times New Roman" w:hAnsi="Times New Roman"/>
          <w:b/>
          <w:bCs/>
          <w:snapToGrid w:val="0"/>
          <w:sz w:val="22"/>
          <w:lang w:eastAsia="de-DE" w:bidi="en-US"/>
        </w:rPr>
        <w:t xml:space="preserve"> Table</w:t>
      </w:r>
      <w:r w:rsidR="003A4A06" w:rsidRPr="00117115">
        <w:rPr>
          <w:rFonts w:ascii="Times New Roman" w:eastAsia="Times New Roman" w:hAnsi="Times New Roman"/>
          <w:snapToGrid w:val="0"/>
          <w:sz w:val="22"/>
          <w:lang w:eastAsia="de-DE" w:bidi="en-US"/>
        </w:rPr>
        <w:t>. Quality of the included studies</w:t>
      </w:r>
    </w:p>
    <w:bookmarkEnd w:id="6"/>
    <w:p w14:paraId="7A225665" w14:textId="77777777" w:rsidR="00086C21" w:rsidRDefault="00086C21" w:rsidP="00086C21">
      <w:pPr>
        <w:pStyle w:val="MDPI31text"/>
      </w:pPr>
    </w:p>
    <w:tbl>
      <w:tblPr>
        <w:tblStyle w:val="Tablanormal2"/>
        <w:tblW w:w="5327" w:type="pct"/>
        <w:jc w:val="center"/>
        <w:tblLayout w:type="fixed"/>
        <w:tblLook w:val="04A0" w:firstRow="1" w:lastRow="0" w:firstColumn="1" w:lastColumn="0" w:noHBand="0" w:noVBand="1"/>
      </w:tblPr>
      <w:tblGrid>
        <w:gridCol w:w="343"/>
        <w:gridCol w:w="1199"/>
        <w:gridCol w:w="1026"/>
        <w:gridCol w:w="1196"/>
        <w:gridCol w:w="1541"/>
        <w:gridCol w:w="2225"/>
        <w:gridCol w:w="1538"/>
        <w:gridCol w:w="1372"/>
        <w:gridCol w:w="1541"/>
        <w:gridCol w:w="1541"/>
        <w:gridCol w:w="1368"/>
        <w:gridCol w:w="1026"/>
        <w:gridCol w:w="1361"/>
      </w:tblGrid>
      <w:tr w:rsidR="009142E0" w:rsidRPr="009142E0" w14:paraId="7A7C09B6" w14:textId="77777777" w:rsidTr="00162008">
        <w:trPr>
          <w:gridBefore w:val="1"/>
          <w:cnfStyle w:val="100000000000" w:firstRow="1" w:lastRow="0" w:firstColumn="0" w:lastColumn="0" w:oddVBand="0" w:evenVBand="0" w:oddHBand="0" w:evenHBand="0" w:firstRowFirstColumn="0" w:firstRowLastColumn="0" w:lastRowFirstColumn="0" w:lastRowLastColumn="0"/>
          <w:wBefore w:w="99" w:type="pct"/>
          <w:trHeight w:val="765"/>
          <w:jc w:val="center"/>
        </w:trPr>
        <w:tc>
          <w:tcPr>
            <w:cnfStyle w:val="001000000000" w:firstRow="0" w:lastRow="0" w:firstColumn="1" w:lastColumn="0" w:oddVBand="0" w:evenVBand="0" w:oddHBand="0" w:evenHBand="0" w:firstRowFirstColumn="0" w:firstRowLastColumn="0" w:lastRowFirstColumn="0" w:lastRowLastColumn="0"/>
            <w:tcW w:w="347" w:type="pct"/>
            <w:vAlign w:val="center"/>
          </w:tcPr>
          <w:p w14:paraId="1259622C" w14:textId="77777777" w:rsidR="003A4A06" w:rsidRPr="009142E0" w:rsidRDefault="003A4A06" w:rsidP="00E37E46">
            <w:pPr>
              <w:tabs>
                <w:tab w:val="left" w:pos="7925"/>
              </w:tabs>
              <w:autoSpaceDE w:val="0"/>
              <w:autoSpaceDN w:val="0"/>
              <w:adjustRightInd w:val="0"/>
              <w:snapToGrid w:val="0"/>
              <w:spacing w:line="240" w:lineRule="auto"/>
              <w:jc w:val="center"/>
              <w:rPr>
                <w:rFonts w:ascii="Times New Roman" w:hAnsi="Times New Roman"/>
                <w:sz w:val="18"/>
                <w:szCs w:val="18"/>
              </w:rPr>
            </w:pPr>
            <w:r w:rsidRPr="009142E0">
              <w:rPr>
                <w:rFonts w:ascii="Times New Roman" w:hAnsi="Times New Roman"/>
                <w:sz w:val="18"/>
                <w:szCs w:val="18"/>
              </w:rPr>
              <w:t>Authors</w:t>
            </w:r>
          </w:p>
        </w:tc>
        <w:tc>
          <w:tcPr>
            <w:tcW w:w="297" w:type="pct"/>
            <w:vAlign w:val="center"/>
          </w:tcPr>
          <w:p w14:paraId="0A17E0AB" w14:textId="77777777" w:rsidR="003A4A06" w:rsidRPr="009142E0" w:rsidRDefault="003A4A06"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Year</w:t>
            </w:r>
          </w:p>
        </w:tc>
        <w:tc>
          <w:tcPr>
            <w:tcW w:w="346" w:type="pct"/>
            <w:vAlign w:val="center"/>
          </w:tcPr>
          <w:p w14:paraId="61F26391" w14:textId="7E692E75" w:rsidR="003A4A06" w:rsidRPr="009142E0" w:rsidRDefault="00E242A4"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Eligibility criteria</w:t>
            </w:r>
          </w:p>
        </w:tc>
        <w:tc>
          <w:tcPr>
            <w:tcW w:w="446" w:type="pct"/>
            <w:vAlign w:val="center"/>
          </w:tcPr>
          <w:p w14:paraId="16C81CDD" w14:textId="44E18054" w:rsidR="003A4A06" w:rsidRPr="009142E0" w:rsidRDefault="00E242A4"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Study subjects and the setting</w:t>
            </w:r>
          </w:p>
        </w:tc>
        <w:tc>
          <w:tcPr>
            <w:tcW w:w="644" w:type="pct"/>
            <w:vAlign w:val="center"/>
          </w:tcPr>
          <w:p w14:paraId="5112B9D1" w14:textId="1875B7B9"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Exposure measured in a valid and reliable way 'gold standard'</w:t>
            </w:r>
          </w:p>
        </w:tc>
        <w:tc>
          <w:tcPr>
            <w:tcW w:w="445" w:type="pct"/>
            <w:vAlign w:val="center"/>
          </w:tcPr>
          <w:p w14:paraId="324A3A7A" w14:textId="7DA2D8AA"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A specified diagnosis or definition</w:t>
            </w:r>
          </w:p>
        </w:tc>
        <w:tc>
          <w:tcPr>
            <w:tcW w:w="397" w:type="pct"/>
            <w:vAlign w:val="center"/>
          </w:tcPr>
          <w:p w14:paraId="55BB1E89" w14:textId="4329B36F"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Confounding factors</w:t>
            </w:r>
          </w:p>
        </w:tc>
        <w:tc>
          <w:tcPr>
            <w:tcW w:w="446" w:type="pct"/>
            <w:vAlign w:val="center"/>
          </w:tcPr>
          <w:p w14:paraId="46BADECA" w14:textId="4865790B"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Dealing with confounding factors</w:t>
            </w:r>
          </w:p>
        </w:tc>
        <w:tc>
          <w:tcPr>
            <w:tcW w:w="446" w:type="pct"/>
            <w:vAlign w:val="center"/>
          </w:tcPr>
          <w:p w14:paraId="566F5B85" w14:textId="339167F5"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Outcomes measured in a valid and reliable way</w:t>
            </w:r>
          </w:p>
        </w:tc>
        <w:tc>
          <w:tcPr>
            <w:tcW w:w="396" w:type="pct"/>
            <w:vAlign w:val="center"/>
          </w:tcPr>
          <w:p w14:paraId="0916D9EE" w14:textId="285D43F3"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Appropriate statistical analysis</w:t>
            </w:r>
          </w:p>
        </w:tc>
        <w:tc>
          <w:tcPr>
            <w:tcW w:w="297" w:type="pct"/>
            <w:vAlign w:val="center"/>
          </w:tcPr>
          <w:p w14:paraId="4CB3466B" w14:textId="6F0C5073"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Scores (8)</w:t>
            </w:r>
          </w:p>
        </w:tc>
        <w:tc>
          <w:tcPr>
            <w:tcW w:w="394" w:type="pct"/>
            <w:vAlign w:val="center"/>
          </w:tcPr>
          <w:p w14:paraId="14A1513D" w14:textId="535B0606" w:rsidR="003A4A06" w:rsidRPr="009142E0" w:rsidRDefault="001E50EA" w:rsidP="00E37E46">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Quality (high, moderate, low)</w:t>
            </w:r>
          </w:p>
        </w:tc>
      </w:tr>
      <w:tr w:rsidR="00877F8E" w:rsidRPr="006F60BB" w14:paraId="7853F000"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3AFE6F57" w14:textId="57C5ADC8" w:rsidR="00877F8E" w:rsidRPr="006F60BB"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lang w:val="es-PE"/>
              </w:rPr>
              <w:t xml:space="preserve">Hasan M, et al. </w:t>
            </w:r>
            <w:r w:rsidRPr="006818C9">
              <w:rPr>
                <w:rFonts w:ascii="Times New Roman" w:hAnsi="Times New Roman"/>
                <w:szCs w:val="18"/>
                <w:lang w:val="es-PE"/>
              </w:rPr>
              <w:fldChar w:fldCharType="begin"/>
            </w:r>
            <w:r w:rsidR="00CD2F15">
              <w:rPr>
                <w:rFonts w:ascii="Times New Roman" w:hAnsi="Times New Roman"/>
                <w:szCs w:val="18"/>
                <w:lang w:val="es-PE"/>
              </w:rPr>
              <w:instrText xml:space="preserve"> ADDIN ZOTERO_ITEM CSL_CITATION {"citationID":"gXPl26Pn","properties":{"formattedCitation":"[1]","plainCitation":"[1]","noteIndex":0},"citationItems":[{"id":11671,"uris":["http://zotero.org/users/6456139/items/ESNXNM43"],"itemData":{"id":11671,"type":"article-journal","abstract":"OBJECTIVE: The recent increasing incidence of human monkeypox cases highlights the necessity of early detection, prompt response and preventive management to stop it in its tracks, and healthcare workers play the most crucial role here. This study aims at assessing the preparedness of Bangladeshi medical doctors by assessing their knowledge and attitude regarding monkeypox.\nMETHODOLOGY: This cross-sectional study was conducted among the practicing medical doctors all over Bangladesh. The data was collected from 26th May to 4th June of 2022 using a semi-structured and self-administered questionnaire which was distributed through the internet, and a total of 389 data was collected. The cut-off points for defining good knowledge and positive attitude towards human monkeypox were considered as 70% and 80% of total values, respectively. Multivariable logistic regression analyses were carried out to identify the factors associated with good knowledge and a positive attitude. Statistical software R version 4.2.0 was used for data analysis.\nRESULT: Of all, 330 (84.83%) doctors displayed a positive attitude towards preventive practices, but only 119 (30.59%) participants had good knowledge regarding monkeypox. In multivariable logistic regression analysis, getting any information about monkeypox in the medical curriculum and learning about monkeypox within the last one month had a significant association with good knowledge. Apart from the participant's age, no other variables revealed any significant association with a positive attitude toward preventive practices. Good knowledge showed a significant association with positive attitude (p &lt; 0.05).\nCONCLUSION: Knowledge regarding human monkeypox among medical doctors in Bangladesh was comparatively lower than the attitude towards its preventive measures. Developing and implementing practical sessions regarding the virus to enhance the knowledge and capacity of the medical doctors could be an effective strategy to get prepared for the monkeypox outbreak in Bangladesh.","container-title":"Journal of Infection and Public Health","DOI":"10.1016/j.jiph.2022.11.032","ISSN":"1876-035X","issue":"1","journalAbbreviation":"J Infect Public Health","language":"eng","note":"PMID: 36508945\nPMCID: PMC9724567","page":"90-95","source":"PubMed","title":"Human monkeypox and preparedness of Bangladesh: A knowledge and attitude assessment study among medical doctors","title-short":"Human monkeypox and preparedness of Bangladesh","volume":"16","author":[{"family":"Hasan","given":"Mehedi"},{"family":"Hossain","given":"Mohammad Ali"},{"family":"Chowdhury","given":"Sreshtha"},{"family":"Das","given":"Pranta"},{"family":"Jahan","given":"Ishrat"},{"family":"Rahman","given":"Md Ferdous"},{"family":"Haque","given":"Miah Md Akiful"},{"family":"Rashid","given":"Md Utba"},{"family":"Khan","given":"Md Abdullah Saeed"},{"family":"Hossian","given":"Mosharop"},{"family":"Nabi","given":"Mohammad Hayatun"},{"family":"Hawlader","given":"Mohammad Delwer Hossain"}],"issued":{"date-parts":[["2023",1]]}}}],"schema":"https://github.com/citation-style-language/schema/raw/master/csl-citation.json"} </w:instrText>
            </w:r>
            <w:r w:rsidRPr="006818C9">
              <w:rPr>
                <w:rFonts w:ascii="Times New Roman" w:hAnsi="Times New Roman"/>
                <w:szCs w:val="18"/>
                <w:lang w:val="es-PE"/>
              </w:rPr>
              <w:fldChar w:fldCharType="separate"/>
            </w:r>
            <w:r w:rsidR="00CD2F15" w:rsidRPr="00CD2F15">
              <w:rPr>
                <w:rFonts w:ascii="Times New Roman" w:hAnsi="Times New Roman"/>
              </w:rPr>
              <w:t>[1]</w:t>
            </w:r>
            <w:r w:rsidRPr="006818C9">
              <w:rPr>
                <w:rFonts w:ascii="Times New Roman" w:hAnsi="Times New Roman"/>
                <w:szCs w:val="18"/>
                <w:lang w:val="es-PE"/>
              </w:rPr>
              <w:fldChar w:fldCharType="end"/>
            </w:r>
            <w:r w:rsidRPr="006F60BB">
              <w:rPr>
                <w:rFonts w:ascii="Times New Roman" w:hAnsi="Times New Roman"/>
                <w:szCs w:val="18"/>
              </w:rPr>
              <w:t xml:space="preserve"> </w:t>
            </w:r>
          </w:p>
        </w:tc>
        <w:tc>
          <w:tcPr>
            <w:tcW w:w="297" w:type="pct"/>
            <w:vAlign w:val="center"/>
          </w:tcPr>
          <w:p w14:paraId="4E021E51" w14:textId="2A540834"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Cs w:val="18"/>
              </w:rPr>
              <w:t>2023</w:t>
            </w:r>
          </w:p>
        </w:tc>
        <w:tc>
          <w:tcPr>
            <w:tcW w:w="346" w:type="pct"/>
            <w:vAlign w:val="center"/>
          </w:tcPr>
          <w:p w14:paraId="552DDDA7" w14:textId="65A49A09"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6" w:type="pct"/>
            <w:vAlign w:val="center"/>
          </w:tcPr>
          <w:p w14:paraId="4F5C2872" w14:textId="7C0FE112"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644" w:type="pct"/>
            <w:vAlign w:val="center"/>
          </w:tcPr>
          <w:p w14:paraId="4251EEBB" w14:textId="79663C13"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5" w:type="pct"/>
            <w:vAlign w:val="center"/>
          </w:tcPr>
          <w:p w14:paraId="1BB392F3" w14:textId="57FD3866"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7" w:type="pct"/>
            <w:vAlign w:val="center"/>
          </w:tcPr>
          <w:p w14:paraId="26A9C00C" w14:textId="53155495"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No</w:t>
            </w:r>
          </w:p>
        </w:tc>
        <w:tc>
          <w:tcPr>
            <w:tcW w:w="446" w:type="pct"/>
            <w:vAlign w:val="center"/>
          </w:tcPr>
          <w:p w14:paraId="6B94125C" w14:textId="44652363"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NA</w:t>
            </w:r>
          </w:p>
        </w:tc>
        <w:tc>
          <w:tcPr>
            <w:tcW w:w="446" w:type="pct"/>
            <w:vAlign w:val="center"/>
          </w:tcPr>
          <w:p w14:paraId="5C404596" w14:textId="23412670"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6" w:type="pct"/>
            <w:vAlign w:val="center"/>
          </w:tcPr>
          <w:p w14:paraId="28BA7A8A" w14:textId="445418CF"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297" w:type="pct"/>
            <w:vAlign w:val="center"/>
          </w:tcPr>
          <w:p w14:paraId="14FBBAF4" w14:textId="6B3E6B7D"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7</w:t>
            </w:r>
          </w:p>
        </w:tc>
        <w:tc>
          <w:tcPr>
            <w:tcW w:w="394" w:type="pct"/>
            <w:vAlign w:val="center"/>
          </w:tcPr>
          <w:p w14:paraId="183FECAC" w14:textId="6D1DD223" w:rsidR="00877F8E" w:rsidRPr="006F60BB"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High</w:t>
            </w:r>
          </w:p>
        </w:tc>
      </w:tr>
      <w:tr w:rsidR="00877F8E" w:rsidRPr="009142E0" w14:paraId="5ED6A697"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3E0783D7" w14:textId="6240A908"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F60BB">
              <w:rPr>
                <w:rFonts w:ascii="Times New Roman" w:hAnsi="Times New Roman"/>
                <w:szCs w:val="18"/>
              </w:rPr>
              <w:t xml:space="preserve">Swed S,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{"citationID":"0rfMBjP3","properties":{"formattedCitation":"[2]","plainCitation":"[2]","noteIndex":0},"citationItems":[{"id":11730,"uris":["http://zotero.org/users/6456139/items/Q5VGZGJY"],"itemData":{"id":11730,"type":"article-journal","abstract":"Background &amp; aim\nThe monkeypox virus (MPXV), an Orthopoxvirus family member, is the zoonotic agent that causes mpox (formerly known as monkeypox). The ongoing mpox pandemic has caused cases across continents involving 110 countries. This study aimed to assess mpox knowledge and its determinants among healthcare personnel.\nMethods\nThis cross-sectional study was conducted from June 6 to June 25, 2022, among 17 Arab countries. The self-administered questionnaire consists of 53 questions assessing the knowledge about the monkeypox virus.\nResults\nIn total, 5874 medical students and clinical doctors from 17 Arab countries participated in this study. Only 13.8% (n = 812) of respondents have ever received information about mpox during their studies in medicine. The mean knowledge score was 13.84, and the median score was 15 (range 1–34). More than half (51.3%, n = 3012) have heard about mpox before. A low proportion of the participants had a good level of knowledge on mpox. Only 11.7% of respondents had correctly identified the natural host and the incubation period of mpox. More than half (58.9%) were aware of the signs and symptoms of mpox. Few respondents (28%) believed that mpox and smallpox have similar signs and symptoms. Specialist doctors had higher knowledge of mpox (AOR = 2.96, 95% CI = 2.24–3.92, p &lt; 0.001) than other cadres.\nConclusion\nMpox awareness among Arabic medical students and practitioners is low; hence immediate action in creating awareness among arab healthcare professionals is the need of the hour. This is crucial in the mpox early detection and prevention of its spread.","container-title":"New Microbes and New Infections","DOI":"10.1016/j.nmni.2023.101146","ISSN":"2052-2975","journalAbbreviation":"New Microbes and New Infections","language":"en","page":"101146","source":"ScienceDirect","title":"Knowledge of mpox and its determinants among the healthcare personnel in Arabic regions: A multi-country cross-sectional study","title-short":"Knowledge of mpox and its determinants among the healthcare personnel in Arabic regions","volume":"54","author":[{"family":"Swed","given":"Sarya"},{"family":"Bohsas","given":"Haidara"},{"family":"Patwary","given":"Muhammad Mainuddin"},{"family":"Alibrahim","given":"Hidar"},{"family":"Rakab","given":"Amine"},{"family":"Nashwan","given":"Abdulqadir J."},{"family":"Hafez","given":"Wael"},{"family":"Hassan","given":"Noheir A. I."},{"family":"Shoib","given":"Sheikh"},{"family":"Elsayed","given":"Mohamed"},{"family":"Sawaf","given":"Bisher"},{"family":"Albuni","given":"Mhd Kutaiba"},{"family":"Battikh","given":"Elias"},{"family":"Mohamed","given":"Gihan","dropping-particle":"mustafa kamal"},{"family":"AlBozom","given":"Adel"},{"family":"Shaddad","given":"Ebrahim"},{"family":"fathey","given":"Sherihan"},{"family":"Nu Htay","given":"Mila Nu"},{"family":"Sah","given":"Sanjit"},{"family":"Cherrez-Ojeda","given":"Ivan"},{"family":"Mohanty","given":"Aroop"},{"family":"Padhi","given":"Bijaya Kumar"},{"family":"Rodriguez-Morales","given":"Alfonso J."},{"family":"Gandhi P","given":"Aravind"},{"family":"Sah","given":"Ranjit"}],"issued":{"date-parts":[["2023",9,1]]}}}],"schema":"https://github.com/citation-style-language/schema/raw/master/csl-citation.json"}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[2]</w:t>
            </w:r>
            <w:r>
              <w:rPr>
                <w:rFonts w:ascii="Times New Roman" w:hAnsi="Times New Roman"/>
                <w:szCs w:val="18"/>
              </w:rPr>
              <w:fldChar w:fldCharType="end"/>
            </w:r>
          </w:p>
        </w:tc>
        <w:tc>
          <w:tcPr>
            <w:tcW w:w="297" w:type="pct"/>
            <w:vAlign w:val="center"/>
          </w:tcPr>
          <w:p w14:paraId="4159AFB0" w14:textId="3B4B0880"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3753F1A4" w14:textId="7E49D6C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1892DBEF" w14:textId="083A70C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28B5D1F3" w14:textId="621BAB06"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0647F21A" w14:textId="28697653"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04FC5ECA" w14:textId="552E16F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1F5CAB43" w14:textId="08BC1DCF"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244170A" w14:textId="156C56D4"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6934CA93" w14:textId="69488C2C"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294C517B" w14:textId="54AE8B6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6FDE9A9F" w14:textId="01E34ED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48982871"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6448B0B1" w14:textId="3715EB39"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A5CCF">
              <w:rPr>
                <w:rFonts w:ascii="Times New Roman" w:hAnsi="Times New Roman"/>
                <w:szCs w:val="18"/>
              </w:rPr>
              <w:t>Dong C,</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{"citationID":"jyg3CzGN","properties":{"formattedCitation":"[3]","plainCitation":"[3]","noteIndex":0},"citationItems":[{"id":11742,"uris":["http://zotero.org/users/6456139/items/AKLR3M3K"],"itemData":{"id":11742,"type":"article-journal","abstract":"BACKGROUND: Public awareness of monkeypox is critical in the fight against this infectious disease. However, at present a survey of the Chinese population on monkeypox is lacking. This study was conducted to compensate for the lack of knowledge and identify a vaccination intention assessment for monkeypox in China.\nMETHODS: The questionnaire comprised 20 items with the following three aspects: basic information, knowledge, and willingness to vaccinate or pay. For this study, 521 valid respondents were recruited. Utilizing logistic regression, the researchers identified the factors related with knowledge and vaccination intentions.\nRESULTS: The average total score for knowledge of monkeypox was 5.6 (score range 0-10), and 309 (59.3%) participants were categorized as having greater knowledge based on a total score of 6. Most participants (76.4%) were willing to accept a monkeypox vaccination. The average acceptable cost of the monkeypox vaccine was CNY261.2. Factors such as level of education, and working within the healthcare profession were related to monkeypox knowledge. An increased knowledge of monkeypox was related to a higher willingness to vaccinate. Participants who were willing to pay more for vaccines included those with high incomes, who suffered from chronic diseases, and healthcare workers.\nCONCLUSIONS: The Chinese population had relatively high knowledge of monkeypox and demonstrated a willingness to receive the vaccine.","container-title":"Travel Medicine and Infectious Disease","DOI":"10.1016/j.tmaid.2022.102533","ISSN":"1873-0442","journalAbbreviation":"Travel Med Infect Dis","language":"eng","note":"PMID: 36543284\nPMCID: PMC9759477","page":"102533","source":"PubMed","title":"Knowledge and vaccination intention of monkeypox in China's general population: A cross-sectional online survey","title-short":"Knowledge and vaccination intention of monkeypox in China's general population","volume":"52","author":[{"family":"Dong","given":"Chen"},{"family":"Yu","given":"Zhou"},{"family":"Zhao","given":"Ying"},{"family":"Ma","given":"Xianjie"}],"issued":{"date-parts":[["2023"]]}}}],"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[3]</w:t>
            </w:r>
            <w:r>
              <w:rPr>
                <w:rFonts w:ascii="Times New Roman" w:hAnsi="Times New Roman"/>
                <w:szCs w:val="18"/>
              </w:rPr>
              <w:fldChar w:fldCharType="end"/>
            </w:r>
          </w:p>
        </w:tc>
        <w:tc>
          <w:tcPr>
            <w:tcW w:w="297" w:type="pct"/>
            <w:vAlign w:val="center"/>
          </w:tcPr>
          <w:p w14:paraId="53AF5B14" w14:textId="2150D032"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3D6B3B8C" w14:textId="28C6E19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4BAC1E60" w14:textId="4505DBF6"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0945F3DF" w14:textId="5A7CE46A"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F563BC4" w14:textId="70ED1CC0"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62326BE" w14:textId="55900136"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7186AF35" w14:textId="575D5C8E"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5BA9712D" w14:textId="784BC912"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E67A9E9" w14:textId="1F365F0F"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9EE0BF6" w14:textId="4726C4F6"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C4DBEAB" w14:textId="08554968"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585AABE"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2F0FB7D8" w14:textId="37E9E96F"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B31C38">
              <w:rPr>
                <w:rFonts w:ascii="Times New Roman" w:hAnsi="Times New Roman"/>
                <w:szCs w:val="18"/>
              </w:rPr>
              <w:t>Swed S,</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{"citationID":"KtZiaPzR","properties":{"formattedCitation":"[4]","plainCitation":"[4]","noteIndex":0},"citationItems":[{"id":11747,"uris":["http://zotero.org/users/6456139/items/CRVHFRUN"],"itemData":{"id":11747,"type":"article-journal","abstract":"BACKGROUND: The outbreak of monkeypox was declared a global public health emergency by the World Health Organization on 23 July 2022. There have been 60,000 cases reported worldwide, most of which are in places where monkeypox has never been seen due to the travel of people who have the virus. This research aims to evaluate the general Arabic population in regard to the monkeypox disease, fears, and vaccine adoption after the WHO proclaimed a monkeypox epidemic and to compare these attitudes to those of the COVID-19 pandemic.\nMETHODS: This cross-sectional study was performed in some Arabic countries (Syria, Egypt, Qatar, Yemen, Jordan, Sudan, Algeria, and Iraq) between 18 August and 7 September 2022. The inclusion criteria were the general public residing in Arabic nations and being older than 18. This questionnaire has 32 questions separated into three sections: sociodemographic variables, prior COVID-19 exposure, and COVID-19 vaccination history. The second portion assesses the knowledge and anxieties about monkeypox, while the third section includes the generalized anxiety disorder (GAD7) scale. Logistic regression analyses were performed to compute the adjusted odds ratios (aOR) and their confidence intervals (95%CI) using STATA (version 17.0).\nRESULTS: A total of 3665 respondents from 17 Arabic countries were involved in this study. Almost two-thirds (n = 2427, 66.2%) of the participants expressed more worry about COVID-19 than monkeypox diseases. Regarding the major cause for concern about monkeypox, 39.5% of participants attributed their anxiety to the fear that they or a member of their family may contract the illness, while 38.4% were concerned about monkeypox becoming another worldwide pandemic. According to the GAD 7 score, 71.7% of the respondents showed very low anxiety toward monkeypox and 43.8% of the participants scored poor levels of knowledge about monkeypox disease. Participants with previous COVID-19 infection showed a 1.206 times greater acceptance to receive the monkeypox vaccine than those with no previous infection. A 3.097 times higher concern for monkeypox than COVID-19 was shown by the participants who perceived monkeypox as dangerous and virulent than those who did not. Participants who have a chronic disease (aOR: 1.32; 95%CI: 1.09-1.60); participants worried about monkeypox (aOR: 1.21; 95%CI: 1.04-1.40), and perceived monkeypox as a dangerous and virulent disease (aOR: 2.25; 95%CI: 1.92-2.65); and excellent knowledge level (aOR: 2.28; 95%CI: 1.79-2.90) have emerged as significant predictors.\nCONCLUSIONS: Our study reported that three-fourths of the participants were more concerned about COVID-19 than monkeypox disease. In addition, most of the participants have inadequate levels of knowledge regarding monkeypox disease. Hence, immediate action should be taken to address this problem. Consequently, learning about monkeypox and spreading information about its prevention is crucial.","container-title":"Vaccines","DOI":"10.3390/vaccines11040759","ISSN":"2076-393X","issue":"4","journalAbbreviation":"Vaccines (Basel)","language":"eng","note":"PMID: 37112671\nPMCID: PMC10141174","page":"759","source":"PubMed","title":"Monkeypox Post-COVID-19: Knowledge, Worrying, and Vaccine Adoption in the Arabic General Population","title-short":"Monkeypox Post-COVID-19","volume":"11","author":[{"family":"Swed","given":"Sarya"},{"family":"Bohsas","given":"Haidara"},{"family":"Alibrahim","given":"Hidar"},{"family":"Rakab","given":"Amine"},{"family":"Hafez","given":"Wael"},{"family":"Sawaf","given":"Bisher"},{"family":"Amir","given":"Rais Mohammed"},{"family":"Motawei","given":"Ahmed Sallam"},{"family":"Aljabali","given":"Ahmed"},{"family":"Shoib","given":"Sheikh"},{"family":"Atef Ismail Ahmed Ibrahim","given":"Ismail"},{"family":"Ahmad Almashaqbeh","given":"Sondos Hussein"},{"family":"Qaid Shaddad","given":"Ebrahim Ahmed"},{"family":"Alqaisi","given":"Maryam"},{"family":"Abdelrahman","given":"Ahmed"},{"family":"Fathey","given":"Sherihan"},{"family":"Hurlemann","given":"René"},{"family":"Elsayed","given":"Mohamed E. G."},{"family":"Barboza","given":"Joshuan J."},{"family":"Mohanty","given":"Aroop"},{"family":"Rodriguez-Morales","given":"Alfonso J."},{"family":"Padhi","given":"Bijaya Kumar"},{"family":"Sah","given":"Ranjit"}],"issued":{"date-parts":[["2023",3,29]]}}}],"schema":"https://github.com/citation-style-language/schema/raw/master/csl-citation.json"}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[4]</w:t>
            </w:r>
            <w:r>
              <w:rPr>
                <w:rFonts w:ascii="Times New Roman" w:hAnsi="Times New Roman"/>
                <w:szCs w:val="18"/>
              </w:rPr>
              <w:fldChar w:fldCharType="end"/>
            </w:r>
          </w:p>
        </w:tc>
        <w:tc>
          <w:tcPr>
            <w:tcW w:w="297" w:type="pct"/>
            <w:vAlign w:val="center"/>
          </w:tcPr>
          <w:p w14:paraId="090C94E4" w14:textId="732BFD9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617F602B" w14:textId="3EBED1EA"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FCB1ACB" w14:textId="0CD43966"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2B8A3E1" w14:textId="04538B2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6E42AD7D" w14:textId="5374E058"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B42A199" w14:textId="116C6BF2"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2E86C44B" w14:textId="2FC22A5C"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073B94B" w14:textId="0E6DB160"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29841D2" w14:textId="03E98B9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621EB62" w14:textId="355EE35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2E4FDD21" w14:textId="4AEDDB72"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184DC597"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71391D3" w14:textId="4A034208"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3E57C7">
              <w:rPr>
                <w:rFonts w:ascii="Times New Roman" w:hAnsi="Times New Roman"/>
                <w:szCs w:val="18"/>
              </w:rPr>
              <w:t>Peng X,</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{"citationID":"kL2CxLdc","properties":{"formattedCitation":"[5]","plainCitation":"[5]","noteIndex":0},"citationItems":[{"id":11758,"uris":["http://zotero.org/users/6456139/items/HW7PBEMJ"],"itemData":{"id":11758,"type":"article-journal","abstract":"BACKGROUND: The World Health Organization (WHO) declared monkeypox a \"public health emergency of international concern\" on 23 June 2022. However, there is a lack of data on monkeypox perceptions among medical workers. The purposes of this study were to evaluate perceptions, worries about monkeypox, attitudes towards monkeypox vaccination and their correlates among medical workers in China.\nMETHODS: Data were collected from medical practitioners using an online survey questionnaire between September 1 and September 30, 2022 in China. All the subjects completed an online questionnaire including general characteristics, perceptions/knowledge/worries about monkeypox, and attitudes towards monkeypox vaccination. Logistic regression was employed to examine the correlates of perceptions, worries about monkeypox, and attitudes toward monkeypox vaccination.\nRESULTS: In total, this study sample included 639 medical workers. The mean age was 37.9 ± 9.4 years old. Approximately 71.8% of individuals reported perceptions of monkeypox, 56.7% worried about monkeypox, and 64.9% supported the promotion of monkeypox vaccination. Medical workers who were older than 50 years (aOR 3.73, 95%CI 1.01-13.85), worked in the Infectious Diseases/Dermatology/Venereal Diseases departments (3.09, 1.61-5.91), and provided correct answer to monkeypox transmission route (10.19, 5.42-19.17) were more likely to know about monkeypox/monkeypox virus before investigation. 30.7% reported that they were more worried about monkeypox than the coronavirus (COVID-19). Participants reported that the key population most in need of monkeypox vaccination were health practitioners (78.2%) and people with immunodeficiency (74.3%), followed by children (65.4%) and older adults (63.2%).\nCONCLUSION: Awareness of monkeypox was high and attitude towards the promotion of monkeypox vaccination was positive among medical staff in China. Further targeted dissemination of monkeypox common knowledge among health care providers might improve their precaution measures and improve the promotion of monkeypox vaccination among key populations.","container-title":"Journal of Infection and Public Health","DOI":"10.1016/j.jiph.2023.01.010","ISSN":"1876-035X","issue":"3","journalAbbreviation":"J Infect Public Health","language":"eng","note":"PMID: 36682100\nPMCID: PMC9846950","page":"346-353","source":"PubMed","title":"Perceptions and worries about monkeypox, and attitudes towards monkeypox vaccination among medical workers in China: A cross-sectional survey","title-short":"Perceptions and worries about monkeypox, and attitudes towards monkeypox vaccination among medical workers in China","volume":"16","author":[{"family":"Peng","given":"Xin"},{"family":"Wang","given":"Bingyi"},{"family":"Li","given":"Yuwei"},{"family":"Chen","given":"Yuanyi"},{"family":"Wu","given":"Xinsheng"},{"family":"Fu","given":"Leiwen"},{"family":"Sun","given":"Yinghui"},{"family":"Liu","given":"Qi"},{"family":"Lin","given":"Yi-Fan"},{"family":"Liang","given":"Bingyu"},{"family":"Fan","given":"Yinguang"},{"family":"Zou","given":"Huachun"}],"issued":{"date-parts":[["2023",3]]}}}],"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[5]</w:t>
            </w:r>
            <w:r>
              <w:rPr>
                <w:rFonts w:ascii="Times New Roman" w:hAnsi="Times New Roman"/>
                <w:szCs w:val="18"/>
              </w:rPr>
              <w:fldChar w:fldCharType="end"/>
            </w:r>
          </w:p>
        </w:tc>
        <w:tc>
          <w:tcPr>
            <w:tcW w:w="297" w:type="pct"/>
            <w:vAlign w:val="center"/>
          </w:tcPr>
          <w:p w14:paraId="64CE1A2D" w14:textId="6BEB6B2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06C30CEC" w14:textId="455C6FAB"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83AFF33" w14:textId="44AAA70A"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1CF17F9" w14:textId="140F20EE"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9A2C6D2" w14:textId="45CF6DB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3F52E5E" w14:textId="0775D7D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450CA736" w14:textId="114C8C37"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0D78D51" w14:textId="213A70D7"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8551872" w14:textId="319C9165"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39793D9" w14:textId="14444F82"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590FBBC8" w14:textId="22088BE2"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22F3F79"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618C9480" w14:textId="372B2DCB"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A85763">
              <w:rPr>
                <w:rFonts w:ascii="Times New Roman" w:hAnsi="Times New Roman"/>
                <w:szCs w:val="18"/>
              </w:rPr>
              <w:t>Berdida DJE</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{"citationID":"zH5fbjiX","properties":{"formattedCitation":"[6]","plainCitation":"[6]","noteIndex":0},"citationItems":[{"id":11745,"uris":["http://zotero.org/users/6456139/items/GNMM4PDG"],"itemData":{"id":11745,"type":"article-journal","abstract":"AIMS: In July 2022, the human monkeypox virus was declared by the World Health Organization, a public health emergency of global concern. This study investigated the Filipinos' knowledge of monkeypox and determined the demographic variables that predicted it.\nDESIGN: Correlational and cross-sectional design adhering to STROBE guidelines.\nMETHODS: Participants were recruited conveniently through social media platforms (n = 575). This study used a 21-item monkeypox knowledge survey questionnaire to collect data from July to September 2022. Logistic regression analysis was used to analyse the data.\nRESULTS: Most participants (53.74%) were above 30 years old, females (68.87%), residing in Luzon (54.96%), college graduates (61.04%), Catholics (78.61%) and employed (68%). Social media, particularly Facebook (57.91%), is the common source of monkeypox-related information (78.61%). Participants' age (&gt;30 years old) is the only predictor of monkeypox infection knowledge (aOR: 3.13; 95%CI: 1.25-7.87, p = .015). They are three times more likely to be knowledgeable than those under 30.\nCONCLUSION: The findings highlight the importance of evidence-based strategies for increasing public knowledge and awareness. The government, healthcare workers and the public should adopt proactive preventive measures against human monkeypox to prevent future pandemics.\nPATIENT OR PUBLIC CONTRIBUTION: No patient or public contribution has been made in this study.\nIMPACT STATEMENT: What problem did the study address? Assessing people's knowledge about monkeypox will help the government and healthcare workers (HCWs) create policies to prevent the spread of the virus. To the best of my knowledge, this is the first study that used a national online survey to assess Filipinos' human monkeypox knowledge. What were the main findings? Most participants had insufficient knowledge of the monkeypox infection. Participants' primary source of monkeypox infection information is social media, specifically Facebook. Participants older than 30 had higher knowledge of monkeypox infection. Where and on whom will the research have impact? Raising public awareness and knowledge about monkeypox disease prevents viral transmission in the community. HCWs (e.g., nurses, midwives, and doctors) should report monkeypox patients to appropriate health authorities. Standard and droplet precautions should be practiced and taught to the public to prevent the virus' spread. The government and HCWs should intensify monkeypox awareness programs to increase the public's knowledge and awareness of the disease. They can utilize social media platforms to disseminate correct and relevant information.","container-title":"Journal of Advanced Nursing","DOI":"10.1111/jan.15635","ISSN":"1365-2648","issue":"7","journalAbbreviation":"J Adv Nurs","language":"eng","note":"PMID: 36908101","page":"2684-2694","source":"PubMed","title":"Population-based survey of human monkeypox disease knowledge in the Philippines: An online cross-sectional study","title-short":"Population-based survey of human monkeypox disease knowledge in the Philippines","volume":"79","author":[{"family":"Berdida","given":"Daniel Joseph E."}],"issued":{"date-parts":[["2023",7]]}}}],"schema":"https://github.com/citation-style-language/schema/raw/master/csl-citation.json"}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[6]</w:t>
            </w:r>
            <w:r>
              <w:rPr>
                <w:rFonts w:ascii="Times New Roman" w:hAnsi="Times New Roman"/>
                <w:szCs w:val="18"/>
              </w:rPr>
              <w:fldChar w:fldCharType="end"/>
            </w:r>
          </w:p>
        </w:tc>
        <w:tc>
          <w:tcPr>
            <w:tcW w:w="297" w:type="pct"/>
            <w:vAlign w:val="center"/>
          </w:tcPr>
          <w:p w14:paraId="6929E42A" w14:textId="3B895C4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5E5421D8" w14:textId="373C9114"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3667D056" w14:textId="61D7122F"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07230E28" w14:textId="236F0D4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D687ED5" w14:textId="41B0752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6E94A2F" w14:textId="4EE5298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369FE753" w14:textId="1C1DBA59"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6E2C169" w14:textId="5A07AE16"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2422D1C8" w14:textId="5E82A75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66D6AA10" w14:textId="1BAAEBF8"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544721CB" w14:textId="3CEB21B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0F698835"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30B62A14" w14:textId="1E9F2771"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1437B6">
              <w:rPr>
                <w:rFonts w:ascii="Times New Roman" w:hAnsi="Times New Roman"/>
                <w:szCs w:val="18"/>
              </w:rPr>
              <w:t xml:space="preserve">Elkhwesky Z, et al. </w:t>
            </w:r>
            <w:r>
              <w:rPr>
                <w:rFonts w:ascii="Times New Roman" w:hAnsi="Times New Roman"/>
                <w:szCs w:val="18"/>
                <w:lang w:val="es-PE"/>
              </w:rPr>
              <w:fldChar w:fldCharType="begin"/>
            </w:r>
            <w:r w:rsidR="00CD2F15">
              <w:rPr>
                <w:rFonts w:ascii="Times New Roman" w:hAnsi="Times New Roman"/>
                <w:szCs w:val="18"/>
              </w:rPr>
              <w:instrText xml:space="preserve"> ADDIN ZOTERO_ITEM CSL_CITATION {"citationID":"5Dt2JC7y","properties":{"formattedCitation":"[7]","plainCitation":"[7]","noteIndex":0},"citationItems":[{"id":11727,"uris":["http://zotero.org/users/6456139/items/RYLRF9AE"],"itemData":{"id":11727,"type":"article-journal","abstract":"BACKGROUND: The re-emerging human monkeypox virus (MPXV) poses a global threat. The rising number of confirmed MPXV cases worldwide is a significant reason for concern. This study aims to investigate (1) hotel employees' knowledge in Egypt of MPXV source, signs/symptoms, transmission, prevention, and treatment, (2) the primary sources of their information about MPXV, (3) whether or not they received information about MPXV from their hotels, and (4) the differences of employees' knowledge in terms of gender, age, marital status, level of education, type of contract, professional category, hotel department, type of hotel, seniority in the hotel, and the number of hotel rooms.\nMETHODS: Using a quantitative approach, we collected data from 453 employees in Egyptian hotels via a web-based questionnaire. The survey included questions regarding the MPXV source, signs/symptoms, transmission, prevention, and treatment, as well as its primary information sources. The questionnaire also included questions regarding participants' demographics and hotel characteristics.\nRESULTS: The findings indicated that more than half of hotel employees have inadequate knowledge of MPXV. Additionally, the majority of employees selected social media as their primary source of MPXV-related information. Surprisingly, most participants reported that their hotels neglected to provide them with the MPXV's information. Age, marital status, education, professional category, and tenure in the hotel all have a significant impact on their MPXV knowledge level.\nCONCLUSION: The current paper presents significant implications for both theory and practice. This study provides government agencies and hotels with guidelines for preventing the outbreak of MPXV. According to our knowledge, this is the first study conducted with hotel employees in the MPXV Egyptian context.","container-title":"Travel Medicine and Infectious Disease","DOI":"10.1016/j.tmaid.2023.102574","ISSN":"1873-0442","journalAbbreviation":"Travel Med Infect Dis","language":"eng","note":"PMID: 37061148\nPMCID: PMC10102563","page":"102574","source":"PubMed","title":"Hotel employees' knowledge of monkeypox's source, symptoms, transmission, prevention, and treatment in Egypt","volume":"53","author":[{"family":"Elkhwesky","given":"Zakaria"},{"family":"Derhab","given":"Neama"},{"family":"Elkhwesky","given":"Fady Fayez Youssif"},{"family":"Abuelhassan","given":"Abuelhassan Elshazly"},{"family":"Hassan","given":"Hamada"}],"issued":{"date-parts":[["2023"]]}}}],"schema":"https://github.com/citation-style-language/schema/raw/master/csl-citation.json"}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[7]</w:t>
            </w:r>
            <w:r>
              <w:rPr>
                <w:rFonts w:ascii="Times New Roman" w:hAnsi="Times New Roman"/>
                <w:szCs w:val="18"/>
                <w:lang w:val="es-PE"/>
              </w:rPr>
              <w:fldChar w:fldCharType="end"/>
            </w:r>
          </w:p>
        </w:tc>
        <w:tc>
          <w:tcPr>
            <w:tcW w:w="297" w:type="pct"/>
            <w:vAlign w:val="center"/>
          </w:tcPr>
          <w:p w14:paraId="5779139C" w14:textId="5DA48E8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7D661C2D" w14:textId="09A5975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4F6AA8BE" w14:textId="12E16FF7"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AF23969" w14:textId="765DF758"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41CC654B" w14:textId="298AF5B8"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70B08543" w14:textId="59047B05"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7BFFA095" w14:textId="717370D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9916702" w14:textId="73AE74DB"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A2986D9" w14:textId="555B3BD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6272BD8" w14:textId="67A18168"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47C9BE6E" w14:textId="70EB96DB"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464B0F43"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7816135" w14:textId="2F06AE05"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53DC0">
              <w:rPr>
                <w:rFonts w:ascii="Times New Roman" w:hAnsi="Times New Roman"/>
                <w:szCs w:val="18"/>
              </w:rPr>
              <w:t xml:space="preserve">Youssef D,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{"citationID":"ftw4fvg7","properties":{"formattedCitation":"[8]","plainCitation":"[8]","noteIndex":0},"citationItems":[{"id":11724,"uris":["http://zotero.org/users/6456139/items/C7B4X54E"],"itemData":{"id":11724,"type":"article-journal","abstract":"INTRODUCTION: The ongoing multi-country outbreak of monkeypox (MPX) that emerges in non-endemic areas is a rare and unprecedented event that has sparked a widespread public health concern. Lebanon has reported four confirmed cases of MPX so far. Since good knowledge about the MPX virus and its associated disease is paramount for helping the Lebanese population prepare for a possible outbreak, therefore, it is important to assess their current level of knowledge regarding MPX and to identify its associated factors to highlight any knowledge gaps that need to be filled.\nMETHODS: An online cross-sectional study was conducted over the first 2 weeks of August 2022 among adults aged 18 years and above recruited from all Lebanese provinces using a convenience sampling technique. An anonymous, Arabic, self-reported questionnaire covering all main aspects of knowledge regarding MPX was developed and adapted based on the available literature. The Chi-square test was used to determine the associations between knowledge levels and independent variables including baseline characteristics. Multivariable logistic regression was also carried out on the significant variables in the bivariate analyses to identify the factors associated with the good knowledge level.\nRESULTS: A total of 793 Lebanese adults participated in the study. The overall level of knowledge level regarding human MPX was poor among the Lebanese population; with only 33.04% of them having a good knowledge level </w:instrText>
            </w:r>
            <w:r w:rsidR="00CD2F15">
              <w:rPr>
                <w:rFonts w:ascii="Times New Roman" w:hAnsi="Times New Roman" w:hint="eastAsia"/>
                <w:szCs w:val="18"/>
              </w:rPr>
              <w:instrText>≥</w:instrText>
            </w:r>
            <w:r w:rsidR="00CD2F15">
              <w:rPr>
                <w:rFonts w:ascii="Times New Roman" w:hAnsi="Times New Roman"/>
                <w:szCs w:val="18"/>
              </w:rPr>
              <w:instrText xml:space="preserve"> 60%. Knowledge gaps and a substantial poor knowledge level were found in the majority of MPX knowledge domains especially those related to the routes of transmission (76.67%), clinical presentation and symptoms (71.63%), treatment (86.25%), and severity of the disease (91.3%). Interestingly, participants have a good knowledge level of the precautionary measures (80.45%), and the response to a suspected infection (65.20%). Female gender [(aOR = 0.870, CI 95% (0.613-0.941)], increased age 49 [aOR = 0.743, CI 95% (0.381-0.908)], and living in rural areas [aOR = 0.412, CI 95% (0.227-0.861)] were found negatively associated with a good level of knowledge. However, participants with higher educational levels [aOR = 1.243, CI 95% (1.032-3.801)], those working in the medical field [aOR = 1.932, CI 95% (1.331-3.419)], those suffering from chronic disease/immunodeficiency [aOR = 1.231, CI 95% (1.128-2.002)], and participants with moderate/high economic situations [aOR = 2.131, CI 95% (1.431-4.221)] were more likely to have a good knowledge score compared to their counterparts.\nCONCLUSIONS: The current study pointed out to poor knowledge level regarding MPX among the Lebanese population with substantial knowledge gaps in most aspects of MPX knowledge. The findings stress the urgent need to raise awareness and proactively fill the unveiled gaps, especially among less informed groups.","container-title":"Journal of Pharmaceutical Policy and Practice","DOI":"10.1186/s40545-023-00544-1","ISSN":"2052-3211","issue":"1","journalAbbreviation":"J Pharm Policy Pract","language":"eng","note":"PMID: 36882801\nPMCID: PMC9990574","page":"39","source":"PubMed","title":"When a neglected tropical zoonotic disease emerges in non-endemic countries: need to proactively fill the unveiled knowledge gaps towards human monkeypox among the Lebanese population","title-short":"When a neglected tropical zoonotic disease emerges in non-endemic countries","volume":"16","author":[{"family":"Youssef","given":"Dalal"},{"family":"Abboud","given":"Edmond"},{"family":"Kawtharani","given":"Malak"},{"family":"Zheim","given":"Zahraa"},{"family":"Abou Arrage","given":"Nisrine"},{"family":"Youssef","given":"Janet"}],"issued":{"date-parts":[["2023",3,7]]}}}],"schema":"https://github.com/citation-style-language/schema/raw/master/csl-citation.json"}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[8]</w:t>
            </w:r>
            <w:r>
              <w:rPr>
                <w:rFonts w:ascii="Times New Roman" w:hAnsi="Times New Roman"/>
                <w:szCs w:val="18"/>
              </w:rPr>
              <w:fldChar w:fldCharType="end"/>
            </w:r>
          </w:p>
        </w:tc>
        <w:tc>
          <w:tcPr>
            <w:tcW w:w="297" w:type="pct"/>
            <w:vAlign w:val="center"/>
          </w:tcPr>
          <w:p w14:paraId="597AF24A" w14:textId="7A19DD4C"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1B87F2E7" w14:textId="151932A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0DCEEEB1" w14:textId="6D9116D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CADD806" w14:textId="0DE6E9E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3494E83" w14:textId="53014F30"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3AF0D4C" w14:textId="1BF0550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2AE82ADE" w14:textId="74BC573E"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445418A" w14:textId="06C5E0DC"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FEFF910" w14:textId="281311D4"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7432C1E9" w14:textId="39EE6D4A"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5A460573" w14:textId="19074666"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4A8DE2D6"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51B8EF8" w14:textId="09B32F3D" w:rsidR="00877F8E" w:rsidRPr="00877F8E"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Malaeb D, et al. </w:t>
            </w:r>
            <w:r w:rsidRPr="006818C9">
              <w:rPr>
                <w:rFonts w:ascii="Times New Roman" w:hAnsi="Times New Roman"/>
                <w:szCs w:val="18"/>
              </w:rPr>
              <w:fldChar w:fldCharType="begin"/>
            </w:r>
            <w:r w:rsidR="00CD2F15">
              <w:rPr>
                <w:rFonts w:ascii="Times New Roman" w:hAnsi="Times New Roman"/>
                <w:szCs w:val="18"/>
              </w:rPr>
              <w:instrText xml:space="preserve"> ADDIN ZOTERO_ITEM CSL_CITATION {"citationID":"uuDYgPWE","properties":{"formattedCitation":"[9]","plainCitation":"[9]","noteIndex":0},"citationItems":[{"id":11677,"uris":["http://zotero.org/users/6456139/items/QXL9N8AI"],"itemData":{"id":11677,"type":"article-journal","abstract":"The emergence of a monkeypox (MPOX) outbreak in 2022 represented the most recent recognizable public health emergency at a global level. Improving knowledge and attitude towards MPOX, particularly among healthcare workers (HCWs), can be a valuable approach in public health preventive efforts aiming to halt MPOX virus spread. The aim of the current study was to evaluate the knowledge and attitude of HCWs in Lebanon towards MPOX and to assess their conspiratorial attitude towards emerging virus infections (EVIs). The current study was based on a cross-sectional online survey distributed via Google Forms during September-December 2022 implementing a convenience sampling approach. The final study sample comprised a total of 646 HCWs: physicians (n = 171, 26.5%), pharmacists (n = 283, 43.8%), and nurses (n = 168, 26.0%), among others (n = 24, 3.7%). Variable defects in MPOX knowledge were detected, with a third of the participants having MPOX knowledge above the 75th percentile (n = 218, 33.7%). Satisfactory attitude towards MPOX (&gt;75th percentile) was observed in less than a third of the participants (n = 198, 30.7%), while a quarter of the study sample endorsed conspiracy beliefs towards EVIs at a high level (&gt;75th percentile, n = 164, 25.4%). Slightly more than two thirds of the participants agreed that MPOX vaccination should be used in disease prevention (n = 440, 68.1%). Better levels of MPOX knowledge and attitude were significantly associated with postgraduate education and older age. Physicians had significantly higher MPOX knowledge compared to other occupational categories. Less endorsement of conspiracies towards EVIs was significantly associated with male sex, occupation as a physician, and postgraduate education. Higher MPOX knowledge was associated with better attitude towards the disease. The current study showed unsatisfactory MPOX knowledge among Lebanese HCWs. Educational efforts can be valuable to improve the attitude towards the disease. Despite the relatively low level of embracing conspiracy beliefs regarding EVIs among HCWs in this study compared to previous studies, this area should be considered based on its potential impact on health-seeking behavior.","container-title":"Tropical Medicine and Infectious Disease","DOI":"10.3390/tropicalmed8020081","ISSN":"2414-6366","issue":"2","journalAbbreviation":"Trop Med Infect Dis","language":"eng","note":"PMID: 36828497\nPMCID: PMC9965137","page":"81","source":"PubMed","title":"Knowledge, Attitude and Conspiracy Beliefs of Healthcare Workers in Lebanon towards Monkeypox","volume":"8","author":[{"family":"Malaeb","given":"Diana"},{"family":"Sallam","given":"Malik"},{"family":"Salim","given":"Nesreen A."},{"family":"Dabbous","given":"Mariam"},{"family":"Younes","given":"Samar"},{"family":"Nasrallah","given":"Yves"},{"family":"Iskandar","given":"Katia"},{"family":"Matta","given":"Matta"},{"family":"Obeid","given":"Sahar"},{"family":"Hallit","given":"Souheil"},{"family":"Hallit","given":"Rabih"}],"issued":{"date-parts":[["2023",1,23]]}}}],"schema":"https://github.com/citation-style-language/schema/raw/master/csl-citation.json"} </w:instrText>
            </w:r>
            <w:r w:rsidRPr="006818C9">
              <w:rPr>
                <w:rFonts w:ascii="Times New Roman" w:hAnsi="Times New Roman"/>
                <w:szCs w:val="18"/>
              </w:rPr>
              <w:fldChar w:fldCharType="separate"/>
            </w:r>
            <w:r w:rsidR="00CD2F15" w:rsidRPr="00CD2F15">
              <w:rPr>
                <w:rFonts w:ascii="Times New Roman" w:hAnsi="Times New Roman"/>
              </w:rPr>
              <w:t>[9]</w:t>
            </w:r>
            <w:r w:rsidRPr="006818C9">
              <w:rPr>
                <w:rFonts w:ascii="Times New Roman" w:hAnsi="Times New Roman"/>
                <w:szCs w:val="18"/>
              </w:rPr>
              <w:fldChar w:fldCharType="end"/>
            </w:r>
          </w:p>
        </w:tc>
        <w:tc>
          <w:tcPr>
            <w:tcW w:w="297" w:type="pct"/>
            <w:vAlign w:val="center"/>
          </w:tcPr>
          <w:p w14:paraId="5D4874FE" w14:textId="67F87E5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818C9">
              <w:rPr>
                <w:rFonts w:ascii="Times New Roman" w:hAnsi="Times New Roman"/>
                <w:szCs w:val="18"/>
              </w:rPr>
              <w:t>2023</w:t>
            </w:r>
          </w:p>
        </w:tc>
        <w:tc>
          <w:tcPr>
            <w:tcW w:w="346" w:type="pct"/>
            <w:vAlign w:val="center"/>
          </w:tcPr>
          <w:p w14:paraId="0D51657E" w14:textId="738AC76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9F55820" w14:textId="72272F1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FBD1741" w14:textId="6EA7EB0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1AE6854" w14:textId="7447B8E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0E1C17E" w14:textId="6DFA715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3F0A1F51" w14:textId="786BEAD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5431F06E" w14:textId="70500F97"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1AE1814F" w14:textId="7E9FB55F"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82A62E7" w14:textId="0AE3890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6D212263" w14:textId="47246DD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30607EF"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0D523C14" w14:textId="79C7DE4E" w:rsidR="00877F8E" w:rsidRPr="00877F8E"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Chen Y, et al. </w:t>
            </w:r>
            <w:r w:rsidRPr="006818C9">
              <w:rPr>
                <w:rFonts w:ascii="Times New Roman" w:hAnsi="Times New Roman"/>
                <w:szCs w:val="18"/>
              </w:rPr>
              <w:fldChar w:fldCharType="begin"/>
            </w:r>
            <w:r w:rsidR="00CD2F15">
              <w:rPr>
                <w:rFonts w:ascii="Times New Roman" w:hAnsi="Times New Roman"/>
                <w:szCs w:val="18"/>
              </w:rPr>
              <w:instrText xml:space="preserve"> ADDIN ZOTERO_ITEM CSL_CITATION {"citationID":"iKb2hbsX","properties":{"formattedCitation":"[10]","plainCitation":"[10]","noteIndex":0},"citationItems":[{"id":11680,"uris":["http://zotero.org/users/6456139/items/JQ7W8ZKE"],"itemData":{"id":11680,"type":"article-journal","abstract":"BACKGROUND: Re-emerging human mpox (previously known as monkeypox) is spreading around the world. According to existing studies, the current mpox pandemic mainly affects men who have sex with men (MSM), including male sex workers (MSW). Our study aimed to assess mpox knowledge and attitude towards mpox vaccination among MSW in China.\nMETHODS: A web-based, cross-sectional survey was conducted in August 2022. We collected participants' socio-demographic characteristics and knowledge with 15 knowledge items related to mpox. Modified Bloom's cut-off points of 80% (total score &gt; 12) was used to indicate good knowledge. Multivariable regression analysis was used to assess factors of mpox knowledge and attitude towards mpox vaccination.\nRESULTS: A total of 154 MSW were recruited (age: median = 22, interquartile range, IQR = 12). Of the 154 MSW, 49.4% had good knowledge of mpox, and 63.0% were willing to be vaccinated against mpox. We found that good knowledge was associated with being single [adjusted odds ratio (AOR) = 2.46, 95% confident interval (CI) (1.22-4.87)], being unemployed [5.01, 1.21-20.70] and willingness to be vaccinated [2.51, 1.14-5.54]. Willingness to get vaccinated was related to age [1.06, 1.00-1.12], chronic diseases history [8.53, 1.01-71.68], and agreement with \"priority for high-risk groups if mpox vaccine is in short supply\" [2.57, 1.01-6.54].\nCONCLUSIONS: We found that MSW had suboptimal mpox knowledge and a high willingness to be vaccinated against mpox. MSW who are single and willing to be vaccinated may have good knowledge of mpox. These findings underscore the necessity of providing health education on mpox among MSW. When the mpox vaccine is in short supply, priority should be given to high-risk groups, such as MSW.","container-title":"Vaccines","DOI":"10.3390/vaccines11020285","ISSN":"2076-393X","issue":"2","journalAbbreviation":"Vaccines (Basel)","language":"eng","note":"PMID: 36851163\nPMCID: PMC9966706","page":"285","source":"PubMed","title":"Knowledge of Human Mpox (Monkeypox) and Attitude towards Mpox Vaccination among Male Sex Workers in China: A Cross-Sectional Study","title-short":"Knowledge of Human Mpox (Monkeypox) and Attitude towards Mpox Vaccination among Male Sex Workers in China","volume":"11","author":[{"family":"Chen","given":"Yuanyi"},{"family":"Li","given":"Yuwei"},{"family":"Fu","given":"Leiwen"},{"family":"Zhou","given":"Xinyi"},{"family":"Wu","given":"Xinsheng"},{"family":"Wang","given":"Bingyi"},{"family":"Peng","given":"Xin"},{"family":"Sun","given":"Yinghui"},{"family":"Liu","given":"Qi"},{"family":"Lin","given":"Yi-Fan"},{"family":"Fan","given":"Yinguang"},{"family":"Jiang","given":"Hongbo"},{"family":"Meng","given":"Xiaojun"},{"family":"Zou","given":"Huachun"}],"issued":{"date-parts":[["2023",1,28]]}}}],"schema":"https://github.com/citation-style-language/schema/raw/master/csl-citation.json"} </w:instrText>
            </w:r>
            <w:r w:rsidRPr="006818C9">
              <w:rPr>
                <w:rFonts w:ascii="Times New Roman" w:hAnsi="Times New Roman"/>
                <w:szCs w:val="18"/>
              </w:rPr>
              <w:fldChar w:fldCharType="separate"/>
            </w:r>
            <w:r w:rsidR="00CD2F15" w:rsidRPr="00CD2F15">
              <w:rPr>
                <w:rFonts w:ascii="Times New Roman" w:hAnsi="Times New Roman"/>
              </w:rPr>
              <w:t>[10]</w:t>
            </w:r>
            <w:r w:rsidRPr="006818C9">
              <w:rPr>
                <w:rFonts w:ascii="Times New Roman" w:hAnsi="Times New Roman"/>
                <w:szCs w:val="18"/>
              </w:rPr>
              <w:fldChar w:fldCharType="end"/>
            </w:r>
          </w:p>
        </w:tc>
        <w:tc>
          <w:tcPr>
            <w:tcW w:w="297" w:type="pct"/>
            <w:vAlign w:val="center"/>
          </w:tcPr>
          <w:p w14:paraId="26D78FAD" w14:textId="748C317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818C9">
              <w:rPr>
                <w:rFonts w:ascii="Times New Roman" w:hAnsi="Times New Roman"/>
                <w:szCs w:val="18"/>
              </w:rPr>
              <w:t>2023</w:t>
            </w:r>
          </w:p>
        </w:tc>
        <w:tc>
          <w:tcPr>
            <w:tcW w:w="346" w:type="pct"/>
            <w:vAlign w:val="center"/>
          </w:tcPr>
          <w:p w14:paraId="0E26AB6A" w14:textId="4E12C7AA"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01D50AA" w14:textId="6445991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6AFB378" w14:textId="3AEF660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21821A1" w14:textId="7E8C84C6"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58A0376" w14:textId="1B98DA49"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42549974" w14:textId="5F1C5985"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0D84D159" w14:textId="4A73127C"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B5FF323" w14:textId="4FFE090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6AFF5B35" w14:textId="560D710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615AE3C2" w14:textId="5B962F63"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36AA9614"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450FD3E3" w14:textId="0C58C4F9"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Lounis M, et al. </w:t>
            </w:r>
            <w:r w:rsidRPr="006818C9">
              <w:rPr>
                <w:rFonts w:ascii="Times New Roman" w:hAnsi="Times New Roman"/>
                <w:szCs w:val="18"/>
              </w:rPr>
              <w:fldChar w:fldCharType="begin"/>
            </w:r>
            <w:r w:rsidR="00CD2F15">
              <w:rPr>
                <w:rFonts w:ascii="Times New Roman" w:hAnsi="Times New Roman"/>
                <w:szCs w:val="18"/>
              </w:rPr>
              <w:instrText xml:space="preserve"> ADDIN ZOTERO_ITEM CSL_CITATION {"citationID":"b49VsRBS","properties":{"formattedCitation":"[11]","plainCitation":"[11]","noteIndex":0},"citationItems":[{"id":11683,"uris":["http://zotero.org/users/6456139/items/48Z54XNP"],"itemData":{"id":11683,"type":"article-journal","abstract":"OBJECTIVES: This study was carried out to assess the level of knowledge of Algerian healthcare workers about human monkeypox, and their attitude toward its vaccination.\nMETHODS: An online-based cross-sectional study using social media platforms targeting Algerian healthcare workers was conducted between 28 June and 18 September 2022.\nRESULTS: 111 healthcare workers have answered the questionnaire. Overall, a medium level of knowledge (64.9%) was obtained with multiple gaps about the epidemiology and clinical features of this disease. Factors associated with high levels of knowledge included young age, being married and practicing outside the province town. Also, only 38.7% of the respondents were in favor of human monkeypox vaccination if recommended for free with COVID-19 vaccine uptake as a determinant factor of acceptance.\nCONCLUSION: Results have shown a medium level of knowledge and a low rate of vaccination willingness. The findings of this study although not representative of all Algerian healthcare workers, could be a baseline for human monkeypox knowledge and vaccination in Algeria.","container-title":"Vacunas","DOI":"10.1016/j.vacun.2022.11.003","ISSN":"1576-9887","issue":"2","journalAbbreviation":"Vacunas","language":"eng","note":"PMID: 36852211\nPMCID: PMC9946789","page":"122-127","source":"PubMed","title":"Knowledge and awareness of Algerian healthcare workers about human monkeypox and their attitude toward its vaccination: An online cross-sectional survey","title-short":"Knowledge and awareness of Algerian healthcare workers about human monkeypox and their attitude toward its vaccination","volume":"24","author":[{"family":"Lounis","given":"Mohamed"},{"family":"Bencherit","given":"Djihad"},{"family":"Abdelhadi","given":"Samir"}],"issued":{"date-parts":[["2023"]]}}}],"schema":"https://github.com/citation-style-language/schema/raw/master/csl-citation.json"} </w:instrText>
            </w:r>
            <w:r w:rsidRPr="006818C9">
              <w:rPr>
                <w:rFonts w:ascii="Times New Roman" w:hAnsi="Times New Roman"/>
                <w:szCs w:val="18"/>
              </w:rPr>
              <w:fldChar w:fldCharType="separate"/>
            </w:r>
            <w:r w:rsidR="00CD2F15" w:rsidRPr="00CD2F15">
              <w:rPr>
                <w:rFonts w:ascii="Times New Roman" w:hAnsi="Times New Roman"/>
              </w:rPr>
              <w:t>[11]</w:t>
            </w:r>
            <w:r w:rsidRPr="006818C9">
              <w:rPr>
                <w:rFonts w:ascii="Times New Roman" w:hAnsi="Times New Roman"/>
                <w:szCs w:val="18"/>
              </w:rPr>
              <w:fldChar w:fldCharType="end"/>
            </w:r>
          </w:p>
        </w:tc>
        <w:tc>
          <w:tcPr>
            <w:tcW w:w="297" w:type="pct"/>
            <w:vAlign w:val="center"/>
          </w:tcPr>
          <w:p w14:paraId="0B409485" w14:textId="1A0EAF6C"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818C9">
              <w:rPr>
                <w:rFonts w:ascii="Times New Roman" w:hAnsi="Times New Roman"/>
                <w:szCs w:val="18"/>
              </w:rPr>
              <w:t>2023</w:t>
            </w:r>
          </w:p>
        </w:tc>
        <w:tc>
          <w:tcPr>
            <w:tcW w:w="346" w:type="pct"/>
            <w:vAlign w:val="center"/>
          </w:tcPr>
          <w:p w14:paraId="72C37CE5" w14:textId="75AF38D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30597A14" w14:textId="5D0EA8D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78E58C1" w14:textId="0D29B3F2"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2C34A74" w14:textId="6FCE95A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581B144" w14:textId="51FAF205"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1FE151ED" w14:textId="5DA33E6C"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3AEFC4EC" w14:textId="3B98F7F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1B625F4A" w14:textId="5FAD33C6"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7EE4D49" w14:textId="5CB68B1C"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C17B438" w14:textId="2BA4CCD9"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0F5F9558"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8C5F7DE" w14:textId="7A03DDF9"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C66FCD">
              <w:rPr>
                <w:rFonts w:ascii="Times New Roman" w:hAnsi="Times New Roman"/>
                <w:szCs w:val="18"/>
              </w:rPr>
              <w:t>Ahmed SK,</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{"citationID":"xA7PWpBQ","properties":{"formattedCitation":"[12]","plainCitation":"[12]","noteIndex":0},"citationItems":[{"id":11686,"uris":["http://zotero.org/users/6456139/items/JFTMUR6P"],"itemData":{"id":11686,"type":"article-journal","abstract":"The rapid spread of monkeypox (mpox) has been declared as a public health emergency of international concern (PHEIC). The present study aimed to assess the knowledge, attitude, and worry levels of the general population in the Kurdistan region of Iraq regarding the ongoing mpox multi-country outbreak. An online cross-sectional survey was conducted between 27-30 July 2022, using a convenience sampling method. The questionnaire was adapted from previous studies addressing the same topic. The independent Student's t-test, one-way ANOVA, and logistic regression were used to assess possible factors associated with knowledge, attitude, and worry toward mpox. A total of 510 respondents were included in the final analysis. The participants showed a moderate level of mpox knowledge, a neutral attitude towards mpox, and a relatively moderate worry level. The logistic regression analysis showed that age, gender, marital status, religion, level of education, and place of residence were associated with mpox knowledge; however, the significant variables in the multivariate regression analysis were gender, religion, level of education, and residential area. Gender and residential area were associated with attitudes toward mpox; however, the significant variables in the multivariate regression analysis were gender and residential areas. The worry toward mpox was influenced by gender, marital status, religion, and place of residence, yet the significant variables in the multivariate regression analysis were gender, religion, educational level, and residential area. In conclusion, the Kurdish population had moderate knowledge, a neutral attitude, and a moderate level of worry about mpox. Considering the continuous rapid rise in mpox cases in several countries, and its possible risk as pandemic amid the ongoing COVID-19 pandemic, proactive control measures, adequate disease prevention strategies, and preparedness plans need to be formulated and immediately implemented to tackle the appearance of fears among people, and to safeguard the mental health of the public.","container-title":"Vaccines","DOI":"10.3390/vaccines11030610","ISSN":"2076-393X","issue":"3","journalAbbreviation":"Vaccines (Basel)","language":"eng","note":"PMID: 36992194\nPMCID: PMC10054073","page":"610","source":"PubMed","title":"Knowledge, Attitude and Worry in the Kurdistan Region of Iraq during the Mpox (Monkeypox) Outbreak in 2022: An Online Cross-Sectional Study","title-short":"Knowledge, Attitude and Worry in the Kurdistan Region of Iraq during the Mpox (Monkeypox) Outbreak in 2022","volume":"11","author":[{"family":"Ahmed","given":"Sirwan Khalid"},{"family":"Abdulqadir","given":"Salar Omar"},{"family":"Omar","given":"Rukhsar Muhammad"},{"family":"Abdullah","given":"Ardalan Jabbar"},{"family":"Rahman","given":"Hawre Asaad"},{"family":"Hussein","given":"Safin Hassan"},{"family":"Mohammed Amin","given":"Halkawt Ismail"},{"family":"Chandran","given":"Deepak"},{"family":"Sharma","given":"Anil Kumar"},{"family":"Dhama","given":"Kuldeep"},{"family":"Sallam","given":"Malik"},{"family":"Harapan","given":"Harapan"},{"family":"Salari","given":"Nader"},{"family":"Chakraborty","given":"Chiranjib"},{"family":"Abdulla","given":"Araz Qadir"}],"issued":{"date-parts":[["2023",3,8]]}}}],"schema":"https://github.com/citation-style-language/schema/raw/master/csl-citation.json"}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[12]</w:t>
            </w:r>
            <w:r>
              <w:rPr>
                <w:rFonts w:ascii="Times New Roman" w:hAnsi="Times New Roman"/>
                <w:szCs w:val="18"/>
              </w:rPr>
              <w:fldChar w:fldCharType="end"/>
            </w:r>
          </w:p>
        </w:tc>
        <w:tc>
          <w:tcPr>
            <w:tcW w:w="297" w:type="pct"/>
            <w:vAlign w:val="center"/>
          </w:tcPr>
          <w:p w14:paraId="7DC2AEB3" w14:textId="1CE6AD8A"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704720DF" w14:textId="6D838CD8"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3E2ED6C" w14:textId="16706E18"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0B50BEE" w14:textId="13E9147F"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9DF88D0" w14:textId="634F9C34"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2F29E4EB" w14:textId="232378F1"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73E268EF" w14:textId="5A9E9FC8"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C976987" w14:textId="766E6FB0"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47B81F22" w14:textId="12A811C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7D8F32F0" w14:textId="6203A263"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9A22E59" w14:textId="6C53592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1937CD9"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2E396418" w14:textId="7D96D3A7"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FC2C2C">
              <w:rPr>
                <w:rFonts w:ascii="Times New Roman" w:hAnsi="Times New Roman"/>
                <w:szCs w:val="18"/>
              </w:rPr>
              <w:t>Das SK,</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{"citationID":"Dg4OHBf2","properties":{"formattedCitation":"[13]","plainCitation":"[13]","noteIndex":0},"citationItems":[{"id":11691,"uris":["http://zotero.org/users/6456139/items/9CIPLT5S"],"itemData":{"id":11691,"type":"article-journal","abstract":"Human monkeypox is an infectious zoonotic disease and since May 2022, there has been a spike in cases worldwide. In this regard, a global health emergency has been declared by the World Health Organization (WHO) on July 23rd, 2022. Although there have been no confirmed human monkeypox cases in Nepal yet, the nation is undeniably at risk of an outbreak. Despite all preventive efforts and preparedness for monkeypox, there still remain several challenges including the literacy and knowledge of our healthcare workers regarding monkeypox. The aim of this study was to assess the level of knowledge and attitude of Nepalese healthcare workers regarding monkeypox. A cross-sectional study was performed on different healthcare workers at Tribhuvan University Teaching Hospital on the month of October 2022 using a set of validated questionnaires used previously in a Saudi Arabian study. An in-person survey was conducted where a total of 220 questionnaires were distributed. The response rate was 93%. Knowledge was categorized into high or low based on the mean knowledge score. The attitude was assessed using a 3-point Likert scale. The association of the knowledge and attitude of the respondents in accordance with their socio-demographics was statistically evaluated using Pearson's Chi-square test. The mean knowledge score was 13. A larger proportion of the respondents (60.4%) demonstrated a high knowledge and 51.1% demonstrated a positive attitude. Studying monkeypox during medical education possessed a significant difference in the attitude (p = 0.025). Knowledge did not vary based on socio-demographic characteristics. Despite almost half a year into the monkeypox outbreak, Nepalese healthcare workers still have an unsatisfying degree of knowledge and a negative attitude regarding its control which shows the need for education and awareness.","container-title":"Frontiers in Public Health","DOI":"10.3389/fpubh.2023.1161234","ISSN":"2296-2565","journalAbbreviation":"Front Public Health","language":"eng","note":"PMID: 37293610\nPMCID: PMC10244767","page":"1161234","source":"PubMed","title":"Socio-demographic determinants of the knowledge and attitude of Nepalese healthcare workers toward human monkeypox: a cross-sectional study","title-short":"Socio-demographic determinants of the knowledge and attitude of Nepalese healthcare workers toward human monkeypox","volume":"11","author":[{"family":"Das","given":"Santa Kumar"},{"family":"Bhattarai","given":"Abhinav"},{"family":"Kc","given":"Simran"},{"family":"Shah","given":"Sangam"},{"family":"Paudel","given":"Kiran"},{"family":"Timsina","given":"Sakchhyam"},{"family":"Tharu","given":"Sunraj"},{"family":"Rawal","given":"Laba"},{"family":"Leon-Figueroa","given":"Dawin A."},{"family":"Rodriguez-Morales","given":"Alfonso J."},{"family":"Barboza","given":"Joshuan J."},{"family":"Sah","given":"Ranjit"}],"issued":{"date-parts":[["2023"]]}}}],"schema":"https://github.com/citation-style-language/schema/raw/master/csl-citation.json"}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[13]</w:t>
            </w:r>
            <w:r>
              <w:rPr>
                <w:rFonts w:ascii="Times New Roman" w:hAnsi="Times New Roman"/>
                <w:szCs w:val="18"/>
              </w:rPr>
              <w:fldChar w:fldCharType="end"/>
            </w:r>
          </w:p>
        </w:tc>
        <w:tc>
          <w:tcPr>
            <w:tcW w:w="297" w:type="pct"/>
            <w:vAlign w:val="center"/>
          </w:tcPr>
          <w:p w14:paraId="6AC1BE03" w14:textId="0032F9CD"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25A37C5E" w14:textId="5EE69A67"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0BE6DE9E" w14:textId="4FBE4243"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2F71D47" w14:textId="5100E898"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4D2B0A61" w14:textId="2AE7EA68"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073A0010" w14:textId="1E1873CC"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57210A9A" w14:textId="2B1F0EA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9A096E7" w14:textId="6183248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10C9F769" w14:textId="7F1DC195"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F25224E" w14:textId="33987035"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3EA1D5CA" w14:textId="7A157D7D"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DA281DB"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7747726A" w14:textId="6422FAA2"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3B0F25">
              <w:rPr>
                <w:rFonts w:ascii="Times New Roman" w:hAnsi="Times New Roman"/>
                <w:szCs w:val="18"/>
              </w:rPr>
              <w:lastRenderedPageBreak/>
              <w:t xml:space="preserve">Al-Mustapha AI, et al. </w:t>
            </w:r>
            <w:r>
              <w:rPr>
                <w:rFonts w:ascii="Times New Roman" w:hAnsi="Times New Roman"/>
                <w:szCs w:val="18"/>
                <w:lang w:val="es-PE"/>
              </w:rPr>
              <w:fldChar w:fldCharType="begin"/>
            </w:r>
            <w:r w:rsidR="00CD2F15" w:rsidRPr="003B0F25">
              <w:rPr>
                <w:rFonts w:ascii="Times New Roman" w:hAnsi="Times New Roman"/>
                <w:szCs w:val="18"/>
              </w:rPr>
              <w:instrText xml:space="preserve"> ADDIN ZOTERO_ITEM CSL_CITATION {"citationID":"yBQyUU6G","properties":{"formattedCitation":"[14]","plainCitation":"[14]","noteIndex":0},"citationItems":[{"id":11694,"uris":["http://zotero.org/users/6456139/items/XYQ5BSUF"],"itemData":{"id":11694,"type":"article-journal","abstract":"The Monkeypox Disease (MPXD) gained attention due to its widened geographical distribution outside of Africa, Hence, a it was declared a global health emergency. The index case in Europe was from a Nigerian traveller. This study assessed public awareness and knowledge of the MPXD by conducting an online, cross-sectional survey of educated Nigerians. A total of 822 respondents were recruited using the snowball sampling method between the 16th to 29th of August 2022. More responses were retrieved from the Northeastern geopolitical region (30.1%, n=220) than other regions. Descriptive statistics revealed that 89% (n=731/822) of the study participants were aware of the MPXD but only 58.7% (n=429/731) of them had good knowledge of the disease with a mean knowledge score of 5.31±2.09. The main knowledge gaps were in the incubation period of the disease, the signs and symptoms, its mode of transmission, and preventive practices needed to curb the spread of the monkeypox virus (MPXV). Specifically, only 24.5% (n=179) of them knew that MPXV can be transmitted via sexual contact. Most of the study participants (79.2%, n=651) opined that</w:instrText>
            </w:r>
            <w:r w:rsidR="00CD2F15" w:rsidRPr="008F4C7C">
              <w:rPr>
                <w:rFonts w:ascii="Times New Roman" w:hAnsi="Times New Roman"/>
                <w:szCs w:val="18"/>
                <w:lang w:val="es-PE"/>
              </w:rPr>
              <w:instrText xml:space="preserve"> we can prevent the occurrence of public health emergencies in the future. The multivariable logistic regression analysis revealed that of the socio-demographic variables, the male gender (OR: 1.69; 95% CI: 1.22,2.33); Ph.D. level education (1.44; 95% CI: 1.048,4.23); and being homosexual (OR:1.65; 95% CI: 1.07,3.78) were significantly associated with good knowledge of MPXD. Despite the varying prevalence across the country, the region of</w:instrText>
            </w:r>
            <w:r w:rsidR="00CD2F15" w:rsidRPr="003B0F25">
              <w:rPr>
                <w:rFonts w:ascii="Times New Roman" w:hAnsi="Times New Roman"/>
                <w:szCs w:val="18"/>
              </w:rPr>
              <w:instrText xml:space="preserve"> residence within Nigeria did not influence the knowledge of MPXD among the respondents. The knowledge gaps necessitate intensified public health risk communication with a focus on modes of transmission and the preventive measures needed to curb the spread of the MPXV.","container-title":"BMC public health","DOI":"10.1186/s12889-023-15398-0","ISSN":"1471-2458","issue":"1","journalAbbreviation":"BMC Public Health","language":"eng","note":"PMID: 36991417\nPMCID: PMC10054201","page":"591","source":"PubMed","title":"A cross-sectional survey of public knowledge of the monkeypox disease in Nigeria","volume":"23","author":[{"family":"Al-Mustapha","given":"Ahmad Ibrahim"},{"family":"Ogundijo","given":"Oluwaseun Adeolu"},{"family":"Sikiru","given":"Nafisah Ayinde"},{"family":"Kolawole","given":"Barakat"},{"family":"Oyewo","given":"Muftau"},{"family":"El-Nadi","given":"Hager"},{"family":"Mustapha","given":"Ashiru Mohammed"},{"family":"Adebudo","given":"Lucky Icomiare"},{"family":"Odukoya","given":"Adesoji"},{"family":"Asiegbu","given":"Emmanuella Chinenye"},{"family":"Nanven","given":"Magdalene B."},</w:instrText>
            </w:r>
            <w:r w:rsidR="00CD2F15">
              <w:rPr>
                <w:rFonts w:ascii="Times New Roman" w:hAnsi="Times New Roman"/>
                <w:szCs w:val="18"/>
              </w:rPr>
              <w:instrText xml:space="preserve">{"family":"Lawal-Atolagbe","given":"Taibat"},{"family":"Lawal-Lah","given":"Fatima"},{"family":"Awoyale","given":"Oladayo David"},{"family":"Abubakar","given":"Ahmed Tijani"},{"family":"Sahabi","given":"Kabiru"},{"family":"Babandi","given":"Zaharadeen S."}],"issued":{"date-parts":[["2023",3,29]]}}}],"schema":"https://github.com/citation-style-language/schema/raw/master/csl-citation.json"}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[14]</w:t>
            </w:r>
            <w:r>
              <w:rPr>
                <w:rFonts w:ascii="Times New Roman" w:hAnsi="Times New Roman"/>
                <w:szCs w:val="18"/>
                <w:lang w:val="es-PE"/>
              </w:rPr>
              <w:fldChar w:fldCharType="end"/>
            </w:r>
          </w:p>
        </w:tc>
        <w:tc>
          <w:tcPr>
            <w:tcW w:w="297" w:type="pct"/>
            <w:vAlign w:val="center"/>
          </w:tcPr>
          <w:p w14:paraId="0AFD4EE3" w14:textId="7AAB535B"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32C8100A" w14:textId="257C154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401C249A" w14:textId="2448275F"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12B5010A" w14:textId="7F1B294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44F58EFC" w14:textId="500C34E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1B7B35C9" w14:textId="7F5587B5"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60CB2A7F" w14:textId="0F442125"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D2A391A" w14:textId="43B83B9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07DD9B07" w14:textId="0DD3F890"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5B910354" w14:textId="17F36FD3"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653998A9" w14:textId="7115BE60"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7431EF5C"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5047DD0E" w14:textId="454BB5EC"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B33943">
              <w:rPr>
                <w:rFonts w:ascii="Times New Roman" w:hAnsi="Times New Roman"/>
                <w:szCs w:val="18"/>
              </w:rPr>
              <w:t>Ren F,</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{"citationID":"Zcd9EqIH","properties":{"formattedCitation":"[15]","plainCitation":"[15]","noteIndex":0},"citationItems":[{"id":11718,"uris":["http://zotero.org/users/6456139/items/JK3F2L3J"],"itemData":{"id":11718,"type":"article-journal","abstract":"BACKGROUND: The mpox (monkeypox) outbreak has been declared to be a public health emergency of international concern by the Director-General of World Health Organization in July 2022. However, evidence regarding the awareness, knowledge, and worry about mpox in the general population remains scant.\nMETHODS: A community-based survey targeting community residents was preliminarily conducted in Shenzhen, China in August 2022 by using a convenience sampling method. Information on mpox-related awareness, knowledge, and worry was collected from each participant. Binary logistic regression analyses with the stepwise procedure were applied to explore the factors associated with awareness, knowledge, and worry about mpox.\nRESULTS: A total of 1028 community residents were included in the analysis (mean age: 34.70 years). Among these participants, 77.9% had ever heard of mpox, and 65.3% were aware of the global outbreak of mpox. However, only about half of them had a high level of knowledge regarding mpox (56.5%) and related symptoms (49.7%). More than one-third of them (37.1%) expressed a high level of worry about mpox. Having high knowledge levels of mpox and related symptoms were positively associated with a high level of worry (OR: 1.79, 95%CI: 1.22~2.63 for a single high knowledge level; OR: 1.98, 95%CI: 1.47~2.66 for both high knowledge levels).\nCONCLUSIONS: This study identified the gaps in public awareness and specific knowledge of mpox in Chinese people, providing scientific evidence for the prevention and control network of mpox at the community level. Targeted health education programs are of urgent need, which should be implemented along with psychological interventions to release public worry if necessary.","container-title":"Frontiers in Public Health","DOI":"10.3389/fpubh.2023.1077564","ISSN":"2296-2565","journalAbbreviation":"Front Public Health","language":"eng","note":"PMID: 36866102\nPMCID: PMC9971966","page":"1077564","source":"PubMed","title":"Public awareness, specific knowledge, and worry about mpox (monkeypox): A preliminary community-based study in Shenzhen, China","title-short":"Public awareness, specific knowledge, and worry about mpox (monkeypox)","volume":"11","author":[{"family":"Ren","given":"Fangmei"},{"family":"Liu","given":"Junchao"},{"family":"Miao","given":"Jianping"},{"family":"Xu","given":"Yucheng"},{"family":"Zhang","given":"Ruiyin"},{"family":"Fan","given":"Jingjie"},{"family":"Lin","given":"Wei"}],"issued":{"date-parts":[["2023"]]}}}],"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[15]</w:t>
            </w:r>
            <w:r>
              <w:rPr>
                <w:rFonts w:ascii="Times New Roman" w:hAnsi="Times New Roman"/>
                <w:szCs w:val="18"/>
              </w:rPr>
              <w:fldChar w:fldCharType="end"/>
            </w:r>
          </w:p>
        </w:tc>
        <w:tc>
          <w:tcPr>
            <w:tcW w:w="297" w:type="pct"/>
            <w:vAlign w:val="center"/>
          </w:tcPr>
          <w:p w14:paraId="6FF8461D" w14:textId="20A4AAD1"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22A6B32F" w14:textId="6A356913"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034D43C" w14:textId="1E0CF604"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5BEEA8C" w14:textId="7246B172"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838D44C" w14:textId="1D1252E2"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73566D7" w14:textId="6302744D"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16B70A11" w14:textId="7034A3C2"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0709FE5A" w14:textId="2E7B37F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256F83CF" w14:textId="4820087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4220701E" w14:textId="0FF21E2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17A1985" w14:textId="567C1609"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6E79CD3C"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2157D3A8" w14:textId="16E06751"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A427EB">
              <w:rPr>
                <w:rFonts w:ascii="Times New Roman" w:hAnsi="Times New Roman"/>
                <w:szCs w:val="18"/>
              </w:rPr>
              <w:t>Alrasheedy AA,</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{"citationID":"OBeQgwpo","properties":{"formattedCitation":"[16]","plainCitation":"[16]","noteIndex":0},"citationItems":[{"id":11750,"uris":["http://zotero.org/users/6456139/items/NGH94NB4"],"itemData":{"id":11750,"type":"article-journal","abstract":"Many cases of monkeypox have recently been reported in countries where this disease is not endemic, raising a global health concern. Consequently, healthcare professionals (HCPs), including pharmacists, need to be aware of the disease, its prevention, including the role of vaccines, and its management to reduce transmission. A cross-sectional, questionnaire-based study was conducted among conveniently sampled community pharmacists in the Qassim region of Saudi Arabia. A total o</w:instrText>
            </w:r>
            <w:r w:rsidR="00CD2F15">
              <w:rPr>
                <w:rFonts w:ascii="Times New Roman" w:hAnsi="Times New Roman" w:hint="eastAsia"/>
                <w:szCs w:val="18"/>
              </w:rPr>
              <w:instrText xml:space="preserve">f 189 community pharmacists participated in the study, giving a response rate of 72.97%. From these, 86.77% were male, 51.32% were </w:instrText>
            </w:r>
            <w:r w:rsidR="00CD2F15">
              <w:rPr>
                <w:rFonts w:ascii="Times New Roman" w:hAnsi="Times New Roman" w:hint="eastAsia"/>
                <w:szCs w:val="18"/>
              </w:rPr>
              <w:instrText>≤</w:instrText>
            </w:r>
            <w:r w:rsidR="00CD2F15">
              <w:rPr>
                <w:rFonts w:ascii="Times New Roman" w:hAnsi="Times New Roman" w:hint="eastAsia"/>
                <w:szCs w:val="18"/>
              </w:rPr>
              <w:instrText xml:space="preserve">30 years old, 36.51% were aged between 31-40 years, and 43.39% had 1-5 years of experience as community pharmacists. Their overall knowledge was 17.72 </w:instrText>
            </w:r>
            <w:r w:rsidR="00CD2F15">
              <w:rPr>
                <w:rFonts w:ascii="Times New Roman" w:hAnsi="Times New Roman" w:hint="eastAsia"/>
                <w:szCs w:val="18"/>
              </w:rPr>
              <w:instrText>±</w:instrText>
            </w:r>
            <w:r w:rsidR="00CD2F15">
              <w:rPr>
                <w:rFonts w:ascii="Times New Roman" w:hAnsi="Times New Roman" w:hint="eastAsia"/>
                <w:szCs w:val="18"/>
              </w:rPr>
              <w:instrText xml:space="preserve"> 5.56 out of a maximum of 28. The overall rate of correct answers for the knowledge statements was 63.29%, with 52.4% answering </w:instrText>
            </w:r>
            <w:r w:rsidR="00CD2F15">
              <w:rPr>
                <w:rFonts w:ascii="Times New Roman" w:hAnsi="Times New Roman" w:hint="eastAsia"/>
                <w:szCs w:val="18"/>
              </w:rPr>
              <w:instrText>≥</w:instrText>
            </w:r>
            <w:r w:rsidR="00CD2F15">
              <w:rPr>
                <w:rFonts w:ascii="Times New Roman" w:hAnsi="Times New Roman" w:hint="eastAsia"/>
                <w:szCs w:val="18"/>
              </w:rPr>
              <w:instrText xml:space="preserve">50-&lt;75% of the knowledge questions correctly and 31.2% answering </w:instrText>
            </w:r>
            <w:r w:rsidR="00CD2F15">
              <w:rPr>
                <w:rFonts w:ascii="Times New Roman" w:hAnsi="Times New Roman" w:hint="eastAsia"/>
                <w:szCs w:val="18"/>
              </w:rPr>
              <w:instrText>≥</w:instrText>
            </w:r>
            <w:r w:rsidR="00CD2F15">
              <w:rPr>
                <w:rFonts w:ascii="Times New Roman" w:hAnsi="Times New Roman" w:hint="eastAsia"/>
                <w:szCs w:val="18"/>
              </w:rPr>
              <w:instrText>75% of the questions correctly.</w:instrText>
            </w:r>
            <w:r w:rsidR="00CD2F15">
              <w:rPr>
                <w:rFonts w:ascii="Times New Roman" w:hAnsi="Times New Roman"/>
                <w:szCs w:val="18"/>
              </w:rPr>
              <w:instrText xml:space="preserve"> The knowledge subdomain related to diagnosis and clinical characteristics recorded the highest score, with the subdomain relating to causative pathogens and epidemiology recording a lower score. Overall, community pharmacists had moderate knowledge of monkeypox and its clinical management, prevention, and the role of vaccines, which is a concern for the future. Consequently, tailored, flexible, and timely educational interventions are needed to ensure that HCPs, including community pharmacists, are fully equipped with the latest evidence-based knowledge regarding this viral disease to reduce transmission and improve care.","container-title":"Vaccines","DOI":"10.3390/vaccines11040878","ISSN":"2076-393X","issue":"4","journalAbbreviation":"Vaccines (Basel)","language":"eng","note":"PMID: 37112790\nPMCID: PMC10143221","page":"878","source":"PubMed","title":"Knowledge of Community Pharmacists in Saudi Arabia Regarding Human Monkeypox, Its Management, Prevention, and Vaccination: Findings and Implications","title-short":"Knowledge of Community Pharmacists in Saudi Arabia Regarding Human Monkeypox, Its Management, Prevention, and Vaccination","volume":"11","author":[{"family":"Alrasheedy","given":"Alian A."},{"family":"Aldawsari","given":"Abdulrahman H."},{"family":"Alqasir","given":"Munyib I."},{"family":"Alsawyan","given":"Omar A."},{"family":"Alalwan","given":"Osama A."},{"family":"Alwaker","given":"Saleh A."},{"family":"Almutairi","given":"Masaad S."},{"family":"Godman","given":"Brian"}],"issued":{"date-parts":[["2023",4,21]]}}}],"schema":"https://github.com/citation-style-language/schema/raw/master/csl-citation.json"}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[16]</w:t>
            </w:r>
            <w:r>
              <w:rPr>
                <w:rFonts w:ascii="Times New Roman" w:hAnsi="Times New Roman"/>
                <w:szCs w:val="18"/>
              </w:rPr>
              <w:fldChar w:fldCharType="end"/>
            </w:r>
          </w:p>
        </w:tc>
        <w:tc>
          <w:tcPr>
            <w:tcW w:w="297" w:type="pct"/>
            <w:vAlign w:val="center"/>
          </w:tcPr>
          <w:p w14:paraId="415FA9F9" w14:textId="0F3882D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2023</w:t>
            </w:r>
          </w:p>
        </w:tc>
        <w:tc>
          <w:tcPr>
            <w:tcW w:w="346" w:type="pct"/>
            <w:vAlign w:val="center"/>
          </w:tcPr>
          <w:p w14:paraId="0E089C69" w14:textId="71663CDF"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B6531A5" w14:textId="7A3A1C8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742E8E69" w14:textId="2265B8C5"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91A3B92" w14:textId="336E20E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E6C1965" w14:textId="22F2094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54170ADC" w14:textId="3A59BE55"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3088B97" w14:textId="1FE793C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49DFE863" w14:textId="121DFFE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DE2F136" w14:textId="23EF385B"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64C76E3" w14:textId="2B51C31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5A98881C"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546A93F6" w14:textId="466F4501"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C80AEE">
              <w:rPr>
                <w:rFonts w:ascii="Times New Roman" w:hAnsi="Times New Roman"/>
                <w:szCs w:val="18"/>
              </w:rPr>
              <w:t>Sahin TK,</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{"citationID":"YaPPiYma","properties":{"formattedCitation":"[17]","plainCitation":"[17]","noteIndex":0},"citationItems":[{"id":11721,"uris":["http://zotero.org/users/6456139/items/CM364ISU"],"itemData":{"id":11721,"type":"article-journal","abstract":"Background: In May 2022, the monkeypox virus outbreak in multiple countries on various continents marked a potential resurgence of the disease as a global health issue. Considering the crucial role of physicians in mitigating the monkeypox outbreak, we sought to evaluate physicians’ knowledge, attitude, concerns, and vaccine acceptance for monkeypox, in the shadow of the COVID-19 pandemic. Methods: A large-scale, cross-sectional survey was conducted among 283 physicians between 20 August−2 September 2022, in Turkey. The participants’ sociodemographic characteristics, knowledge, attitudes, concerns, and vaccine acceptance toward monkeypox infection were collected via a questionnaire. Results: Our study revealed that 32.5% of phy</w:instrText>
            </w:r>
            <w:r w:rsidR="00CD2F15">
              <w:rPr>
                <w:rFonts w:ascii="Times New Roman" w:hAnsi="Times New Roman" w:hint="eastAsia"/>
                <w:szCs w:val="18"/>
              </w:rPr>
              <w:instrText>sicians achieved a good level of knowledge; similarly, 31.4% of the physicians planned to have the monkeypox vaccine. Multivariate binary logistic regression analysis showed that female physicians (p = 0.031) and older people (</w:instrText>
            </w:r>
            <w:r w:rsidR="00CD2F15">
              <w:rPr>
                <w:rFonts w:ascii="Times New Roman" w:hAnsi="Times New Roman" w:hint="eastAsia"/>
                <w:szCs w:val="18"/>
              </w:rPr>
              <w:instrText>≥</w:instrText>
            </w:r>
            <w:r w:rsidR="00CD2F15">
              <w:rPr>
                <w:rFonts w:ascii="Times New Roman" w:hAnsi="Times New Roman" w:hint="eastAsia"/>
                <w:szCs w:val="18"/>
              </w:rPr>
              <w:instrText>30 vs. &lt;30) were more likel</w:instrText>
            </w:r>
            <w:r w:rsidR="00CD2F15">
              <w:rPr>
                <w:rFonts w:ascii="Times New Roman" w:hAnsi="Times New Roman"/>
                <w:szCs w:val="18"/>
              </w:rPr>
              <w:instrText xml:space="preserve">y to be knowledgeable about monkeypox (p = 0.007). We found that participants from divisions of internal medicine (p = 0.033) who knew about the monkeypox disease during medical school or residency (p = 0.005) and were previously exposed to COVID-19 disease (p = 0.005) were more likely to have a good knowledge score of monkeypox. We also found that physicians with a good knowledge score were more worried about monkeypox compared to COVID-19 (AOR: 2.22; 95% CI:1.13−4.33; p = 0.019). Additionally, those who had information on monkeypox during medical education (AOR = 2.16, 95% CI = 1.10−4.21; p = 0.024) were more likely to receive the smallpox vaccine to prevent monkeypox viral infection when available. Conclusions: The present study pointed out that physicians in Turkey have unsatisfactory levels of knowledge about the emerging monkeypox. This study results can impede attempts to detect and manage cases of monkeypox and should be addressed through appropriate and timely awareness and educational programs, alerts, and seminars. These might serve as the basis for policymakers’ decisions about promoting national monkeypox vaccination strategies and addressing potential vaccine hesitancy and misinformation when needed.","container-title":"Vaccines","DOI":"10.3390/vaccines11010019","ISSN":"2076-393X","issue":"1","journalAbbreviation":"Vaccines (Basel)","language":"eng","note":"PMID: 36679864\nPMCID: PMC9863926","page":"19","source":"PubMed","title":"Knowledge and Attitudes of Turkish Physicians towards Human Monkeypox Disease and Related Vaccination: A Cross-Sectional Study","title-short":"Knowledge and Attitudes of Turkish Physicians towards Human Monkeypox Disease and Related Vaccination","volume":"11","author":[{"family":"Sahin","given":"Taha Koray"},{"family":"Erul","given":"Enes"},{"family":"Aksun","given":"Melek Seren"},{"family":"Sonmezer","given":"Meliha Cagla"},{"family":"Unal","given":"Serhat"},{"family":"Akova","given":"Murat"}],"issued":{"date-parts":[["2022",12,21]]}}}],"schema":"https://github.com/citation-style-language/schema/raw/master/csl-citation.json"}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[17]</w:t>
            </w:r>
            <w:r>
              <w:rPr>
                <w:rFonts w:ascii="Times New Roman" w:hAnsi="Times New Roman"/>
                <w:szCs w:val="18"/>
              </w:rPr>
              <w:fldChar w:fldCharType="end"/>
            </w:r>
          </w:p>
        </w:tc>
        <w:tc>
          <w:tcPr>
            <w:tcW w:w="297" w:type="pct"/>
            <w:vAlign w:val="center"/>
          </w:tcPr>
          <w:p w14:paraId="17BB18AA" w14:textId="4D13894B"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7FADF27E" w14:textId="7AB52C01"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4F3CC994" w14:textId="1366117C"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6A0E0BB4" w14:textId="4DB983E9"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7E3E988" w14:textId="61064E85"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D82EAE3" w14:textId="49FF2C18"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6279D031" w14:textId="5D4B5E2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634DDCF" w14:textId="2F67B1F2"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652E519F" w14:textId="38225819"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CFE31AE" w14:textId="189A7FFD"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EC4AFC8" w14:textId="7A2CDCA1"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33E0C597"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6680C350" w14:textId="1876F507"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FE2204">
              <w:rPr>
                <w:rFonts w:ascii="Times New Roman" w:hAnsi="Times New Roman"/>
                <w:szCs w:val="18"/>
              </w:rPr>
              <w:t xml:space="preserve">Alshahrani NZ, et al. </w:t>
            </w:r>
            <w:r>
              <w:rPr>
                <w:rFonts w:ascii="Times New Roman" w:hAnsi="Times New Roman"/>
                <w:szCs w:val="18"/>
                <w:lang w:val="es-PE"/>
              </w:rPr>
              <w:fldChar w:fldCharType="begin"/>
            </w:r>
            <w:r w:rsidR="00CD2F15">
              <w:rPr>
                <w:rFonts w:ascii="Times New Roman" w:hAnsi="Times New Roman"/>
                <w:szCs w:val="18"/>
              </w:rPr>
              <w:instrText xml:space="preserve"> ADDIN ZOTERO_ITEM CSL_CITATION {"citationID":"QiRvC48Z","properties":{"formattedCitation":"[18]","plainCitation":"[18]","noteIndex":0},"citationItems":[{"id":11697,"uris":["http://zotero.org/users/6456139/items/GAE2RF82"],"itemData":{"id":11697,"type":"article-journal","abstract":"INTRODUCTION: The recent multi-nation outbreaks of human monkeypox in non-endemic areas have created an emerging public health issue. Medical students who will become future healthcare providers are directly associated with community people and can easily sensitize the general population, so it is crucial to assess their degree of knowledge and attitudes regarding recently emerging infections or pathogens. However, studies on medical students' perception of the monkeypox virus are scarce in Saudi Arabia. Therefore, the objective of this study was to assess the monkeypox virus-related knowledge and attitudes among medical students in the country.\nMETHODS: A cross-sectional study was conducted from May to July 2022 among undergraduate medical students at King Khalid University, Abha, Saudi Arabia. A systematic random sampling technique was applied to select the study participants. A self-administered questionnaire was used to gather data on sociodemographic characteristics, knowledge and attitudes toward the monkeypox virus. Descriptive statistics and Chi-square tests were performed.\nRESULTS: A total of 314 medical students were recruited for this study. The findings from this study showed that the vast majority of medical students (72%) had poor knowledge about the monkeypox virus. Respondents' age, grade point average (GPA), fathers' education level, and training received about the monkeypox virus were significantly associated with the level of knowledge about the monkeypox virus (p &lt; 0.05). Nearly half of the respondents (45.9%) agreed that the monkeypox virus could be transmitted to Saudi Arabia. Overall, this study showed that the awareness levels regarding the monkeypox virus were significantly higher among seniors as compared to junior students.\nCONCLUSION: The study found poor knowledge of the monkeypox virus among currently enrolled medical students in the country's highest-ranked medical school. This finding emphasizes the urgent need to increase their knowledge because controlling outbreaks requires significant cooperation from knowledgeable and skilled healthcare providers.","container-title":"Cureus","DOI":"10.7759/cureus.28060","ISSN":"2168-8184","issue":"8","journalAbbreviation":"Cureus","language":"eng","note":"PMID: 36127980\nPMCID: PMC9477600","page":"e28060","source":"PubMed","title":"Medical Students' Perception Regarding the Re-emerging Monkeypox Virus: An Institution-Based Cross-Sectional Study From Saudi Arabia","title-short":"Medical Students' Perception Regarding the Re-emerging Monkeypox Virus","volume":"14","author":[{"family":"Alshahrani","given":"Najim Z."},{"family":"Mitra","given":"Sayan"},{"family":"Alkuwaiti","given":"Ali A."},{"family":"Alhumam","given":"Maathir N."},{"family":"Altmimi","given":"Sarah Muqbil B."},{"family":"Alamri","given":"Mohammad Hassan M."},{"family":"Albalawi","given":"Zainab Atallah S."},{"family":"Almorgi","given":"Majed W."},{"family":"Alharbi","given":"Hamad Khulaif D."},{"family":"Alshahrani","given":"Sultan M."}],"issued":{"date-parts":[["2022",8]]}}}],"schema":"https://github.com/citation-style-language/schema/raw/master/csl-citation.json"}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[18]</w:t>
            </w:r>
            <w:r>
              <w:rPr>
                <w:rFonts w:ascii="Times New Roman" w:hAnsi="Times New Roman"/>
                <w:szCs w:val="18"/>
                <w:lang w:val="es-PE"/>
              </w:rPr>
              <w:fldChar w:fldCharType="end"/>
            </w:r>
          </w:p>
        </w:tc>
        <w:tc>
          <w:tcPr>
            <w:tcW w:w="297" w:type="pct"/>
            <w:vAlign w:val="center"/>
          </w:tcPr>
          <w:p w14:paraId="74D1D0BE" w14:textId="2FB89284"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3041EC74" w14:textId="261916E2"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6C18F97A" w14:textId="2B8FA276"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527A746" w14:textId="405851D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D48D5EA" w14:textId="1748C887"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E432F4C" w14:textId="5E419C96"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527A66C7" w14:textId="16211384"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3CC5B6E9" w14:textId="0DF66D72"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806E197" w14:textId="41D1749F"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B090246" w14:textId="1B73D92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3A8F58B" w14:textId="465F258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19E5D0EC"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2FAB68E1" w14:textId="1D82F07B"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FE2204">
              <w:rPr>
                <w:rFonts w:ascii="Times New Roman" w:hAnsi="Times New Roman"/>
                <w:szCs w:val="18"/>
              </w:rPr>
              <w:t xml:space="preserve">Jairoun AA, et al. </w:t>
            </w:r>
            <w:r>
              <w:rPr>
                <w:rFonts w:ascii="Times New Roman" w:hAnsi="Times New Roman"/>
                <w:szCs w:val="18"/>
                <w:lang w:val="es-PE"/>
              </w:rPr>
              <w:fldChar w:fldCharType="begin"/>
            </w:r>
            <w:r w:rsidR="00CD2F15">
              <w:rPr>
                <w:rFonts w:ascii="Times New Roman" w:hAnsi="Times New Roman"/>
                <w:szCs w:val="18"/>
              </w:rPr>
              <w:instrText xml:space="preserve"> ADDIN ZOTERO_ITEM CSL_CITATION {"citationID":"kftJ4rEr","properties":{"formattedCitation":"[19]","plainCitation":"[19]","noteIndex":0},"citationItems":[{"id":11706,"uris":["http://zotero.org/users/6456139/items/5CGGXIG7"],"itemData":{"id":11706,"type":"article-journal","abstract":"BACKGROUND: The growing number of human monkeypox cases worldwide illustrates the importance of early detection, prevention, management and quick action from healthcare authorities. The WHO confirmed a hundred of Monkeypox cases worldwide and disclosed Monkdypox as a worldwide emergency situation OBJECTIVES: To assess the knowledge about human monkeypox' source, signs/symptoms, transmission, prevention and treatment among Al Ain university students in the UAE.\nMETHODS: This descriptive cross-sectional study aimed to assess Al Ain University students' knowledge of Human Monkeypox. A validated questionnaire was distributed to students between lectures. The respondents' knowledge of human Monkeypox was assessed by 21 questions that examined the participants' knowledge of Monkeypox as follows: 5 items examined knowledge of the source, definition, and incubation time; 2items assessed the mechanism of transmission of human Monkeypox, 7 items assessed the signs and symptoms; 7 items assessed the preventative measures; and 6 items assessed the treatment modalities. A multivariate logistic regression model was used to identify the factors influencing respondents' knowledge of human Monkeypox among university students.\nRESULTS: A total of five hundred and fifty-eight (558) students participated in the study. The average knowledge score was 70.1%, with a 95% confidence interval (CI) of 68.9 - 71.3. Of the total participants, 111 (19.9%) had poor knowledge about human Monkeypox, 320 (57.3%) had moderate knowledge, and 127 (22.8%) had good knowledge. The results of the statistical modelling showed that Old age (OR 0.681; 95% CI 1.005-1.016), female gender (OR 1.26; 95% CI 0.813 -0.961), participants from medical colleges (OR 1.22; 95% CI 1.13 -1.32) having a history of human chickenpox infection (OR 2.6; 95% CI 2.3-2.9) and receiving information on human Monkeypox during education (OR 1.14; 95% CI 1.05-1.2) were strong determinants for good knowledge about human Monkeypox.\nCONCLUSION: knowledge of Monkeypox among the participants is relatively low, particularly regarding the epidemiology, symptoms and treatments. Therefore, increasing knowledge of Monkeypox will be key to enhancing the capacity to respond to human monkeypox cases and to relay pertinent data to a disease surveillance system.","container-title":"Journal of Infection and Public Health","DOI":"10.1016/j.jiph.2022.08.015","ISSN":"1876-035X","issue":"10","journalAbbreviation":"J Infect Public Health","language":"eng","note":"PMID: 36087548\nPMCID: PMC9534110","page":"1065-1071","source":"PubMed","title":"Awareness and preparedness of human monkeypox outbreak among university student: Time to worry or one to ignore?","title-short":"Awareness and preparedness of human monkeypox outbreak among university student","volume":"15","author":[{"family":"Jairoun","given":"Ammar Abdulrahman"},{"family":"Al-Hemyari","given":"Sabaa Saleh"},{"family":"Abdulla","given":"Naseem Mohammed"},{"family":"El-Dahiyat","given":"Faris"},{"family":"Shahwan","given":"Moyad"},{"family":"Hassan","given":"Nageeb"},{"family":"Jairoun","given":"Obaida"},{"family":"Alyousef","given":"Nuha Ghazi"},{"family":"Sharif","given":"Safia"},{"family":"Jaber","given":"Ammar Ali Saleh"}],"issued":{"date-parts":[["2022",8,29]]}}}],"schema":"https://github.com/citation-style-language/schema/raw/master/csl-citation.json"}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[19]</w:t>
            </w:r>
            <w:r>
              <w:rPr>
                <w:rFonts w:ascii="Times New Roman" w:hAnsi="Times New Roman"/>
                <w:szCs w:val="18"/>
                <w:lang w:val="es-PE"/>
              </w:rPr>
              <w:fldChar w:fldCharType="end"/>
            </w:r>
          </w:p>
        </w:tc>
        <w:tc>
          <w:tcPr>
            <w:tcW w:w="297" w:type="pct"/>
            <w:vAlign w:val="center"/>
          </w:tcPr>
          <w:p w14:paraId="5DE35F92" w14:textId="763ED7D3"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76D64A17" w14:textId="4B3097B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15E53D55" w14:textId="223A4817"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66EABCA" w14:textId="30EC5BB2"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EC129EB" w14:textId="76867E1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371E56D" w14:textId="20A16FE3"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037B6443" w14:textId="6C4E1E6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FC213C4" w14:textId="0BF1EF9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437D0D3C" w14:textId="5B819CD1"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F719821" w14:textId="1669EEC5"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33E601F5" w14:textId="78F9C42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5A513BEB"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00EFFF8C" w14:textId="74F8B8A8"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B33943">
              <w:rPr>
                <w:rFonts w:ascii="Times New Roman" w:hAnsi="Times New Roman"/>
                <w:szCs w:val="18"/>
              </w:rPr>
              <w:t xml:space="preserve">Kaur A, et al. </w:t>
            </w:r>
            <w:r>
              <w:rPr>
                <w:rFonts w:ascii="Times New Roman" w:hAnsi="Times New Roman"/>
                <w:szCs w:val="18"/>
                <w:lang w:val="es-PE"/>
              </w:rPr>
              <w:fldChar w:fldCharType="begin"/>
            </w:r>
            <w:r w:rsidR="00CD2F15">
              <w:rPr>
                <w:rFonts w:ascii="Times New Roman" w:hAnsi="Times New Roman"/>
                <w:szCs w:val="18"/>
              </w:rPr>
              <w:instrText xml:space="preserve"> ADDIN ZOTERO_ITEM CSL_CITATION {"citationID":"hNSGSWoF","properties":{"formattedCitation":"[20]","plainCitation":"[20]","noteIndex":0},"citationItems":[{"id":11712,"uris":["http://zotero.org/users/6456139/items/GS375QQD"],"itemData":{"id":11712,"type":"article-journal","abstract":"BACKGROUND: The emergence of monkeypox has presented a new challenge for health agencies around the globe. There is significant increase in the number of cases that too in non-endemic countries with more than 18000 cases reported worldwide.\nOBJECTIVE: The present study was conducted to assess knowledge and awareness regarding monkeypox among dental professionals.\nMATERIALS AND METHOD: The present cross-sectional study among 410 subjects who were residing in a northern state of the country. Informed consent was obtained from all the subjects. Study sample was selected on the basis of Systematic random sampling methodology. A self-designed close-ended questionnaire written in English and verified by experts was utilized for the study. The questionnaire was delivered personally to study subjects to collect the required information. Chi-square test and ANOVA were used for statistical analysis.\nRESULTS: One-fourth (24.8%) of the subjects never heard about monkeypox disease. Negative response was given by 44.8% of subjects regarding resemblance of monkeypox with small pox. Only 31.2% of subjects had knowledge regarding oral manifestations of the disease. High knowledge scores were reported by only 28% of subjects. Higher knowledge levels were significantly related to education level and working profile of study subjects. Online media (Internet) was preferred as the main source to obtain more information by 42.2 of subjects.\nCONCLUSION: There was low level of knowledge regarding monkeypox among study subjects. There is an urgent need for dental professionals to keep themselves updated with recent knowledge on new emerging infectious diseases.","container-title":"Roczniki Panstwowego Zakladu Higieny","DOI":"10.32394/rpzh.2022.0226","ISSN":"0035-7715","issue":"3","journalAbbreviation":"Rocz Panstw Zakl Hig","language":"eng","note":"PMID: 36169392","page":"365-371","source":"PubMed","title":"Identifying monkeypox: do dental professionals have adequate knowledge and awareness?","title-short":"Identifying monkeypox","volume":"73","author":[{"family":"Kaur","given":"Ambreen"},{"family":"Goel","given":"Richa"},{"family":"Singh","given":"Ravinder"},{"family":"Bhardwaj","given":"Arvind"},{"family":"Kumari","given":"Raj"},{"family":"Gambhir","given":"Ramandeep Singh"}],"issued":{"date-parts":[["2022"]]}}}],"schema":"https://github.com/citation-style-language/schema/raw/master/csl-citation.json"}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[20]</w:t>
            </w:r>
            <w:r>
              <w:rPr>
                <w:rFonts w:ascii="Times New Roman" w:hAnsi="Times New Roman"/>
                <w:szCs w:val="18"/>
                <w:lang w:val="es-PE"/>
              </w:rPr>
              <w:fldChar w:fldCharType="end"/>
            </w:r>
          </w:p>
        </w:tc>
        <w:tc>
          <w:tcPr>
            <w:tcW w:w="297" w:type="pct"/>
            <w:vAlign w:val="center"/>
          </w:tcPr>
          <w:p w14:paraId="122B50D0" w14:textId="3C8493ED"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22C802D3" w14:textId="20E7A633"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6E210DA9" w14:textId="71DFC0AD"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05160D03" w14:textId="2FEF97FF"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9FDEAA8" w14:textId="15A6E1E3"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D1FFC35" w14:textId="3E34898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2F1B5A8A" w14:textId="008D8FAA"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76D3F71" w14:textId="51CD0B07"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4527ADB0" w14:textId="422CF412"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E3F1866" w14:textId="519C2464"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597C443" w14:textId="6E2CDF9A"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761B7BAD"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93111FD" w14:textId="43719EB3"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2546AB">
              <w:rPr>
                <w:rFonts w:ascii="Times New Roman" w:hAnsi="Times New Roman"/>
                <w:szCs w:val="18"/>
              </w:rPr>
              <w:t>Alshahrani NZ, et al.</w:t>
            </w:r>
            <w:r>
              <w:rPr>
                <w:rFonts w:ascii="Times New Roman" w:hAnsi="Times New Roman"/>
                <w:szCs w:val="18"/>
              </w:rPr>
              <w:t xml:space="preserve"> </w:t>
            </w:r>
            <w:r>
              <w:rPr>
                <w:rFonts w:ascii="Times New Roman" w:hAnsi="Times New Roman"/>
                <w:szCs w:val="18"/>
              </w:rPr>
              <w:fldChar w:fldCharType="begin"/>
            </w:r>
            <w:r w:rsidR="00CD2F15">
              <w:rPr>
                <w:rFonts w:ascii="Times New Roman" w:hAnsi="Times New Roman"/>
                <w:szCs w:val="18"/>
              </w:rPr>
              <w:instrText xml:space="preserve"> ADDIN ZOTERO_ITEM CSL_CITATION {"citationID":"Da8PZDxO","properties":{"formattedCitation":"[21]","plainCitation":"[21]","noteIndex":0},"citationItems":[{"id":11739,"uris":["http://zotero.org/users/6456139/items/DFGHMJCL"],"itemData":{"id":11739,"type":"article-journal","abstract":"Monkeypox is re-emerging and spreading over the world, posing a serious threat to human life, especially in non-endemic countries, including Saudi Arabia. Due to the paucity of research on knowledge about monkeypox in Saudi Arabia, this study aimed to evaluate the general population’s knowledge of monkeypox in a sample of the country. A web-based cross-sectional survey was conducted from 25 May 2022 to 15 July 2022. Participants’ knowledge about monkeypox on a 23-item scale and socio-demographic characteristics were gathered in the survey. Pearson’s Chi-square test was used to compare knowledge level (categorized into high and low) and explanatory variables. Out of 480, only 48% of the respondents had high knowledge (mean score &gt; 14). Participants’ age, marital status, residential region, living in the urban area, education level, employment status, being a healthcare worker, income, and smoking status were significantly associated with the level of knowledge about monkeypox (p &lt; 0.01). Overall, social media (75.0%) was the most frequently reported source from where participants obtained monkeypox-related information followed by TV and radio (45.6%), family or friend (15.6%), and healthcare provider (13.8%). We found that overall knowledge of monkeypox infection was slightly poor among the Saudi population. These findings highlight the urgent need for public education on monkeypox to promote awareness and engage the public ahead of the outbreak.","container-title":"Pathogens (Basel, Switzerland)","DOI":"10.3390/pathogens11080904","ISSN":"2076-0817","issue":"8","journalAbbreviation":"Pathogens","language":"eng","note":"PMID: 36015025\nPMCID: PMC9414752","page":"904","source":"PubMed","title":"Assessment of Knowledge of Monkeypox Viral Infection among the General Population in Saudi Arabia","volume":"11","author":[{"family":"Alshahrani","given":"Najim Z."},{"family":"Alzahrani","given":"Faris"},{"family":"Alarifi","given":"Abdullah M."},{"family":"Algethami","given":"Mohammed R."},{"family":"Alhumam","given":"Maathir Naser"},{"family":"Ayied","given":"Hatim Abdullah Mohammed"},{"family":"Awan","given":"Ahmed Zuhier"},{"family":"Almutairi","given":"Abdullah Faisal"},{"family":"Bamakhrama","given":"Saeed Abdullah"},{"family":"Almushari","given":"Budur Saad"},{"family":"Sah","given":"Ranjit"}],"issued":{"date-parts":[["2022",8,11]]}}}],"schema":"https://github.com/citation-style-language/schema/raw/master/csl-citation.json"}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[21]</w:t>
            </w:r>
            <w:r>
              <w:rPr>
                <w:rFonts w:ascii="Times New Roman" w:hAnsi="Times New Roman"/>
                <w:szCs w:val="18"/>
              </w:rPr>
              <w:fldChar w:fldCharType="end"/>
            </w:r>
          </w:p>
        </w:tc>
        <w:tc>
          <w:tcPr>
            <w:tcW w:w="297" w:type="pct"/>
            <w:vAlign w:val="center"/>
          </w:tcPr>
          <w:p w14:paraId="0A8BDD6C" w14:textId="3C850D78"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32BA28CA" w14:textId="4A8AF787"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ABB9BD6" w14:textId="5046D520"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7A561B08" w14:textId="486B19B8"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4580E3F" w14:textId="4FC693A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12768F8" w14:textId="101BC93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6FF2C304" w14:textId="1502D80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F3050E3" w14:textId="2926ACA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B9BE59E" w14:textId="4BBB8021"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76C48702" w14:textId="732F418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6C7C42CC" w14:textId="76F30767"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475EB50F"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68D57D4D" w14:textId="19F02E0B"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395977">
              <w:rPr>
                <w:rFonts w:ascii="Times New Roman" w:hAnsi="Times New Roman"/>
                <w:szCs w:val="18"/>
                <w:lang w:val="es-PE"/>
              </w:rPr>
              <w:t>Kumar N,</w:t>
            </w:r>
            <w:r>
              <w:rPr>
                <w:rFonts w:ascii="Times New Roman" w:hAnsi="Times New Roman"/>
                <w:szCs w:val="18"/>
                <w:lang w:val="es-PE"/>
              </w:rPr>
              <w:t xml:space="preserve"> et al. </w:t>
            </w:r>
            <w:r>
              <w:rPr>
                <w:rFonts w:ascii="Times New Roman" w:hAnsi="Times New Roman"/>
                <w:szCs w:val="18"/>
                <w:lang w:val="es-PE"/>
              </w:rPr>
              <w:fldChar w:fldCharType="begin"/>
            </w:r>
            <w:r w:rsidR="00CD2F15">
              <w:rPr>
                <w:rFonts w:ascii="Times New Roman" w:hAnsi="Times New Roman"/>
                <w:szCs w:val="18"/>
                <w:lang w:val="es-PE"/>
              </w:rPr>
              <w:instrText xml:space="preserve"> ADDIN ZOTERO_ITEM CSL_CITATION {"citationID":"qVUhv1RR","properties":{"formattedCitation":"[22]","plainCitation":"[22]","noteIndex":0},"citationItems":[{"id":11715,"uris":["http://zotero.org/users/6456139/items/A8B7W9GM"],"itemData":{"id":11715,"type":"article-journal","abstract":"This study aimed to explore knowledge, attitude, perceptions, and willingness regarding vaccination among university students in Pakistan. This cross-sectional study was carried out using an open online self-administered survey via Google Forms. The survey data were collected between the 15 to 30 of October 2022. A total of 946 respondents participated in the study, of which the majority were female (514, 54.3%). Most students belonged to a medical background, specifically pharmaceutical sciences. Most of the respondents did not know about monkeypox before 2022 (646, 68.3%). Regarding overall knowledge of monkeypox, most of the respondents had average knowledge (726, 76.7%), with very few having good knowledge (60, 6.3%). Regarding overall attitudes towards monkeypox, most of the respondents had neutral attitudes (648, 68.5%). There was a significant association between knowledge of Monkeypox with the type of academic degree (p &lt; 0.001), type of discipline (p &lt; 0.001), and region of respondents (p &lt; 0.001). The willingness to vaccinate among the population was (67.7%). The current study pointed out that the overall knowledge of monkeypox was average in most respondents, with considerable knowledge gaps in most aspects. The overall attitude towards monkeypox was neutral. Further, the knowledge about monkeypox was strongly associated with academic degree, study discipline, and region of respondents. Our findings emphasize the need to raise public awareness by educating students on the monkeypox virus. This will improve adherence to preventative recommendations.","container-title":"Vaccines","DOI":"10.3390/vaccines11010097","ISSN":"2076-393X","issue":"1","journalAbbreviation":"Vaccines (Basel)","language":"eng","note":"PMID: 36679942\nPMCID: PMC9862138","page":"97","source":"PubMed","title":"Monkeypox Cross-Sectional Survey of Knowledge, Attitudes, Practices, and Willingness to Vaccinate among University Students in Pakistan","volume":"11","author":[{"family":"Kumar","given":"Narendar"},{"family":"Ahmed","given":"Fatima"},{"family":"Raza","given":"Muhammad Sauban"},{"family":"Rajpoot","given":"Pushp Lata"},{"family":"Rehman","given":"Wajiha"},{"family":"Khatri","given":"Shoaib Alam"},{"family":"Mohammed","given":"Mustapha"},{"family":"Muhammad","given":"Shaib"},{"family":"Ahmad","given":"Rabbiya"}],"issued":{"date-parts":[["2022",12,31]]}}}],"schema":"https://github.com/citation-style-language/schema/raw/master/csl-citation.json"}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[22]</w:t>
            </w:r>
            <w:r>
              <w:rPr>
                <w:rFonts w:ascii="Times New Roman" w:hAnsi="Times New Roman"/>
                <w:szCs w:val="18"/>
                <w:lang w:val="es-PE"/>
              </w:rPr>
              <w:fldChar w:fldCharType="end"/>
            </w:r>
          </w:p>
        </w:tc>
        <w:tc>
          <w:tcPr>
            <w:tcW w:w="297" w:type="pct"/>
            <w:vAlign w:val="center"/>
          </w:tcPr>
          <w:p w14:paraId="6134F293" w14:textId="7C2CDC6A"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474AD80E" w14:textId="646FEF6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1D4F6515" w14:textId="353F4AE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09E5A1DC" w14:textId="58298AF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497F367C" w14:textId="4CC5C42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05A0A6A" w14:textId="5A04025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094E5668" w14:textId="66DB619B"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D559BB7" w14:textId="093C5D84"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8437D57" w14:textId="6BDC3B23"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02C65D8" w14:textId="7AD591AA"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524BF765" w14:textId="6E4232F2"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1ABAAA41"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592FE3B1" w14:textId="20D3778D"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9E67EE">
              <w:rPr>
                <w:rFonts w:ascii="Times New Roman" w:hAnsi="Times New Roman"/>
                <w:szCs w:val="18"/>
                <w:lang w:val="es-PE"/>
              </w:rPr>
              <w:t>Ajman F,</w:t>
            </w:r>
            <w:r>
              <w:rPr>
                <w:rFonts w:ascii="Times New Roman" w:hAnsi="Times New Roman"/>
                <w:szCs w:val="18"/>
                <w:lang w:val="es-PE"/>
              </w:rPr>
              <w:t xml:space="preserve"> et al. </w:t>
            </w:r>
            <w:r>
              <w:rPr>
                <w:rFonts w:ascii="Times New Roman" w:hAnsi="Times New Roman"/>
                <w:szCs w:val="18"/>
                <w:lang w:val="es-PE"/>
              </w:rPr>
              <w:fldChar w:fldCharType="begin"/>
            </w:r>
            <w:r w:rsidR="00CD2F15">
              <w:rPr>
                <w:rFonts w:ascii="Times New Roman" w:hAnsi="Times New Roman"/>
                <w:szCs w:val="18"/>
                <w:lang w:val="es-PE"/>
              </w:rPr>
              <w:instrText xml:space="preserve"> ADDIN ZOTERO_ITEM CSL_CITATION {"citationID":"3paAsqJd","properties":{"formattedCitation":"[23]","plainCitation":"[23]","noteIndex":0},"citationItems":[{"id":11755,"uris":["http://zotero.org/users/6456139/items/7M8LXW6X"],"itemData":{"id":11755,"type":"article-journal","abstract":"Background: Monkeypox virus re-surged in May 2022 as a new potential global health threat, with outbreaks bursting in multiple countries across different continents. This study was conducted in Saudi Arabia during the first month following the WHO announcement of the Monkeypox outbreak, to assess healthcare workers (HCWs) perceptions of, worries concerning, and vaccine acceptance for, Monkeypox, in light of the resolving COVID-19 pandemic. Methods: A national cross-sectional survey was conducted between 27 May and 10 June 2022, in Saudi Arabia. Data were collected on: HCWs' sociodemographic and job-related characteristics; COVID-19 infection status; and worries concerning Monkeypox, compared to COVID-19 and its sources; as well as their perceptions and awareness of, and advocacy for, supporting Monkeypox vaccination. Results: A total of 1130 HCWs completed the survey, of which 41.6% have already developed COVID-19. However, 56.5% were more concerned about COVID-19 compared to Monkeypox, while the rest were more worried about Monkeypox disease. The main cause for concern among 68.8% of the participants was the development of another worldwide pandemic, post-COVID-19, followed by their concern of either themselves or their families contracting the infection (49.6%). Most HCWs (60%) rated their level of self-awareness of Monkeypox disease as moderate to high. Males, and those who had previously developed COVID-19, were significantly less likely to worry about Monkeypox. The worry about Monkeypox developing into a pandemic, and the perception of Monkeypox being a severe disease, correlated significantly positively with the odds of high worry concerning the disease. The major predictors of participants' advocacy for vaccination against Monkeypox disease were: those who had developed COVID-19 previously; and those who supported tighter infection control measures (than those currently used) to combat the disease. A total of 74.2% of the surveyed HCWs perceived that they needed to read more about Monkeypox disease. Conclusions: Approximately half of the HCWs in this study were more concerned about Monkeypox disease than COVID-19, particularly regarding its possible progression into a new pandemic, during the first month following the WHO's Monkeypox international alert. In addition, the majority of participants were in favor of applying tighter infection prevention measures to combat the disease. The current study highlights areas requiring attention for healthcare administrators regarding HCWs' perceptions and preparedness for Monkeypox, especially in the event of a local or international pandemic.","container-title":"Vaccines","DOI":"10.3390/vaccines10091408","ISSN":"2076-393X","issue":"9","journalAbbreviation":"Vaccines (Basel)","language":"eng","note":"PMID: 36146486\nPMCID: PMC9503291","page":"1408","source":"PubMed","title":"Healthcare Workers' Worries and Monkeypox Vaccine Advocacy during the First Month of the WHO Monkeypox Alert: Cross-Sectional Survey in Saudi Arabia","title-short":"Healthcare Workers' Worries and Monkeypox Vaccine Advocacy during the First Month of the WHO Monkeypox Alert","volume":"10","author":[{"family":"Ajman","given":"Fadi"},{"family":"Alenezi","given":"Shuliweeh"},{"family":"Alhasan","given":"Khalid"},{"family":"Saddik","given":"Basema"},{"family":"Alhaboob","given":"Ali"},{"family":"Altawil","given":"Esraa S."},{"family":"Alshahrani","given":"Fatimah"},{"family":"Alrabiaah","given":"Abdulkarim"},{"family":"Alaraj","given":"Ali"},{"family":"Alkriadees","given":"Khaled"},{"family":"Alshamlani","given":"Yousef"},{"family":"Alharbi","given":"Homood"},{"family":"Jamal","given":"Amr"},{"family":"Halwani","given":"Rabih"},{"family":"AlZamil","given":"Fahad"},{"family":"Al-Subaie","given":"Sarah"},{"family":"Barry","given":"Mazin"},{"family":"Memish","given":"Ziad A."},{"family":"Al-Tawfiq","given":"Jaffar A."},{"family":"Temsah","given":"Mohamad-Hani"}],"issued":{"date-parts":[["2022",8,28]]}}}],"schema":"https://github.com/citation-style-language/schema/raw/master/csl-citation.json"} </w:instrText>
            </w:r>
            <w:r>
              <w:rPr>
                <w:rFonts w:ascii="Times New Roman" w:hAnsi="Times New Roman"/>
                <w:szCs w:val="18"/>
                <w:lang w:val="es-PE"/>
              </w:rPr>
              <w:fldChar w:fldCharType="separate"/>
            </w:r>
            <w:r w:rsidR="00CD2F15" w:rsidRPr="00CD2F15">
              <w:rPr>
                <w:rFonts w:ascii="Times New Roman" w:hAnsi="Times New Roman"/>
              </w:rPr>
              <w:t>[23]</w:t>
            </w:r>
            <w:r>
              <w:rPr>
                <w:rFonts w:ascii="Times New Roman" w:hAnsi="Times New Roman"/>
                <w:szCs w:val="18"/>
                <w:lang w:val="es-PE"/>
              </w:rPr>
              <w:fldChar w:fldCharType="end"/>
            </w:r>
          </w:p>
        </w:tc>
        <w:tc>
          <w:tcPr>
            <w:tcW w:w="297" w:type="pct"/>
            <w:vAlign w:val="center"/>
          </w:tcPr>
          <w:p w14:paraId="1D3EEFDE" w14:textId="7E2AA134"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346" w:type="pct"/>
            <w:vAlign w:val="center"/>
          </w:tcPr>
          <w:p w14:paraId="1284E713" w14:textId="7CA9686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0FA18C10" w14:textId="0A17D07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386F237" w14:textId="4EA598A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B070EDC" w14:textId="41DF4C8A"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8D1D075" w14:textId="2E88113E"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3436FDBC" w14:textId="350A397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3CB0D7FC" w14:textId="644B37B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675AAB59" w14:textId="34A524C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C6C5624" w14:textId="3E8089BC"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033170A2" w14:textId="6430C7E9"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31CE2D60"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0938523C" w14:textId="3C52BB18"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Alshahrani NZ, et al. </w:t>
            </w:r>
            <w:r w:rsidRPr="006818C9">
              <w:rPr>
                <w:rFonts w:ascii="Times New Roman" w:hAnsi="Times New Roman"/>
                <w:szCs w:val="18"/>
              </w:rPr>
              <w:fldChar w:fldCharType="begin"/>
            </w:r>
            <w:r w:rsidR="00CD2F15">
              <w:rPr>
                <w:rFonts w:ascii="Times New Roman" w:hAnsi="Times New Roman"/>
                <w:szCs w:val="18"/>
              </w:rPr>
              <w:instrText xml:space="preserve"> ADDIN ZOTERO_ITEM CSL_CITATION {"citationID":"SFGsSOhQ","properties":{"formattedCitation":"[24]","plainCitation":"[24]","noteIndex":0},"citationItems":[{"id":11674,"uris":["http://zotero.org/users/6456139/items/GGGREDY3"],"itemData":{"id":11674,"type":"article-journal","abstract":"The growing incidence of human monkeypox cases emphasizes the significance of prevention, early detection, and prompt responses for healthcare providers. The aim of this study was to assess the knowledge and attitudes toward monkeypox infection among physicians, a frontline healthcare worker group, in Saudi Arabia. A cross-sectional survey assessing knowledge and attitudes towards monkeypox infection on multiple-item scales was sent to physicians in Saudi Arabia. The associations between independent factors and either knowledge or attitude were assessed. The final analysis included 398 participants. Approximately 55% of the surveyed participants had a \"good knowledge\" score about human monkeypox. The adjusted logistic regression analysis showed that being a female physician, working in the private sector, and having information on human monkeypox during medical school or residency years were the only factors associated with a good level of knowledge about human monkeypox. However, physicians' knowledge and attitudes regarding monkeypox infection are inadequate and influenced by various factors. There is a significant knowledge gap between the therapeutic management of monkeypox and its vaccination. Training and knowledge assessments are important, especially when studies show significant improvement in related and specific knowledge.","container-title":"Vaccines","DOI":"10.3390/vaccines10122099","ISSN":"2076-393X","issue":"12","journalAbbreviation":"Vaccines (Basel)","language":"eng","note":"PMID: 36560508\nPMCID: PMC9781185","page":"2099","source":"PubMed","title":"Knowledge and Attitude Regarding Monkeypox Virus among Physicians in Saudi Arabia: A Cross-Sectional Study","title-short":"Knowledge and Attitude Regarding Monkeypox Virus among Physicians in Saudi Arabia","volume":"10","author":[{"family":"Alshahrani","given":"Najim Z."},{"family":"Algethami","given":"Mohammed R."},{"family":"Alarifi","given":"Abdullah M."},{"family":"Alzahrani","given":"Faris"},{"family":"Alshehri","given":"Eman A."},{"family":"Alshehri","given":"Aishah M."},{"family":"Sheerah","given":"Haytham Abdulwhab"},{"family":"Abdelaal","given":"Abdelaziz"},{"family":"Sah","given":"Ranjit"},{"family":"Rodriguez-Morales","given":"Alfonso J."}],"issued":{"date-parts":[["2022",12,8]]}}}],"schema":"https://github.com/citation-style-language/schema/raw/master/csl-citation.json"} </w:instrText>
            </w:r>
            <w:r w:rsidRPr="006818C9">
              <w:rPr>
                <w:rFonts w:ascii="Times New Roman" w:hAnsi="Times New Roman"/>
                <w:szCs w:val="18"/>
              </w:rPr>
              <w:fldChar w:fldCharType="separate"/>
            </w:r>
            <w:r w:rsidR="00CD2F15" w:rsidRPr="00CD2F15">
              <w:rPr>
                <w:rFonts w:ascii="Times New Roman" w:hAnsi="Times New Roman"/>
              </w:rPr>
              <w:t>[24]</w:t>
            </w:r>
            <w:r w:rsidRPr="006818C9">
              <w:rPr>
                <w:rFonts w:ascii="Times New Roman" w:hAnsi="Times New Roman"/>
                <w:szCs w:val="18"/>
              </w:rPr>
              <w:fldChar w:fldCharType="end"/>
            </w:r>
          </w:p>
        </w:tc>
        <w:tc>
          <w:tcPr>
            <w:tcW w:w="297" w:type="pct"/>
            <w:vAlign w:val="center"/>
          </w:tcPr>
          <w:p w14:paraId="50B78696" w14:textId="31239AE0"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818C9">
              <w:rPr>
                <w:rFonts w:ascii="Times New Roman" w:hAnsi="Times New Roman"/>
                <w:szCs w:val="18"/>
              </w:rPr>
              <w:t>2022</w:t>
            </w:r>
          </w:p>
        </w:tc>
        <w:tc>
          <w:tcPr>
            <w:tcW w:w="346" w:type="pct"/>
            <w:vAlign w:val="center"/>
          </w:tcPr>
          <w:p w14:paraId="2BB30A93" w14:textId="3E7234F3"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0EA97A54" w14:textId="3E66190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6C6A297" w14:textId="6DDC1290"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D582590" w14:textId="2EC10E68"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19A5F3AF" w14:textId="3F527B6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0E824968" w14:textId="5A560805"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3746E38A" w14:textId="317E9896"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593E6EC" w14:textId="60B07421"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60EB1A5" w14:textId="6C63F452"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7CC1CC79" w14:textId="51A0E1ED"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09ADC0A8"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1FCFE70B" w14:textId="71908B7A"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99576E">
              <w:rPr>
                <w:rFonts w:ascii="Times New Roman" w:hAnsi="Times New Roman"/>
                <w:szCs w:val="18"/>
              </w:rPr>
              <w:t>Harapan H,</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{"citationID":"bJb4ozDV","properties":{"formattedCitation":"[25]","plainCitation":"[25]","noteIndex":0},"citationItems":[{"id":11703,"uris":["http://zotero.org/users/6456139/items/JE923GEV"],"itemData":{"id":11703,"type":"article-journal","abstract":"After the first, imported, laboratory-confirmed case of monkeypox in human was reported in Singapore on May 2019, countries in Asia started to strengthen disease surveillance systems. One challenge in preventing monkeypox is a lack of knowledge, particularly among healthcare workers. The aim of this study was to assess the knowledge of monkeypox among general practitioners (GPs) in Indonesia. A cross-sectional online survey was conducted. The survey collected participants' knowledge on a 21-item scale and explanatory variables. A two-step logistic regression analysis was employed to assess the predictors of knowledge of monkeypox. A total of 432 GPs were included; 10.0% and 36.5% of them had a good knowledge using an 80% and 70% cutoff point for knowledge domain, respectively. No explanatory variables were associated with knowledge when using 80% cutoff point. Using the lower cutoff, there was lower knowledge among GPs who graduated from universities located in Sumatra or other islands versus Java (adjusted odds ratio (aOR): 0.53; 95%CI: 0.28-0.97, p = 0.041) and among those were older than 30 years compared to younger GPs (aOR: 0.61; 95%CI: 0.39-0.96, p = 0.033). GPs working in private clinics had less knowledge compared to GPs in community health centers (aOR: 0.55; 95%CI: 0.31-0.99, p = 0.047). In conclusion, knowledge of monkeypox among GPs in Indonesia is relatively low in all groups. Increasing knowledge of monkeypox will be key to improving the capacity of GPs to respond to human monkeypox cases and to report into a disease surveillance system.","container-title":"Pathogens and Global Health","DOI":"10.1080/20477724.2020.1743037","ISSN":"2047-7732","issue":"2","journalAbbreviation":"Pathog Glob Health","language":"eng","note":"PMID: 32202967\nPMCID: PMC7170312","page":"68-75","source":"PubMed","title":"Knowledge of human monkeypox viral infection among general practitioners: a cross-sectional study in Indonesia","title-short":"Knowledge of human monkeypox viral infection among general practitioners","volume":"114","author":[{"family":"Harapan","given":"Harapan"},{"family":"Setiawan","given":"Abdul M."},{"family":"Yufika","given":"Amanda"},{"family":"Anwar","given":"Samsul"},{"family":"Wahyuni","given":"Sri"},{"family":"Asrizal","given":"Febrivan W."},{"family":"Sufri","given":"Muhammad R."},{"family":"Putra","given":"Reza P."},{"family":"Wijayanti","given":"Nanda P."},{"family":"Salwiyadi","given":"Salwiyadi"},{"family":"Maulana","given":"Razi"},{"family":"Khusna","given":"Afriyani"},{"family":"Nusrina","given":"Ina"},{"family":"Shidiq","given":"Muhammad"},{"family":"Fitriani","given":"Devi"},{"family":"Muharrir","given":"Muharrir"},{"family":"Husna","given":"Cut A."},{"family":"Yusri","given":"Fitria"},{"family":"Maulana","given":"Reza"},{"family":"Andalas","given":"Mohd"},{"family":"Wagner","given":"Abram L."},{"family":"Mudatsir","given":"Mudatsir"}],"issued":{"date-parts":[["2020",3]]}}}],"schema":"https://github.com/citation-style-language/schema/raw/master/csl-citation.json"}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[25]</w:t>
            </w:r>
            <w:r>
              <w:rPr>
                <w:rFonts w:ascii="Times New Roman" w:hAnsi="Times New Roman"/>
                <w:szCs w:val="18"/>
              </w:rPr>
              <w:fldChar w:fldCharType="end"/>
            </w:r>
          </w:p>
        </w:tc>
        <w:tc>
          <w:tcPr>
            <w:tcW w:w="297" w:type="pct"/>
            <w:vAlign w:val="center"/>
          </w:tcPr>
          <w:p w14:paraId="05DF45E6" w14:textId="20B68CF5"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2020</w:t>
            </w:r>
          </w:p>
        </w:tc>
        <w:tc>
          <w:tcPr>
            <w:tcW w:w="346" w:type="pct"/>
            <w:vAlign w:val="center"/>
          </w:tcPr>
          <w:p w14:paraId="6189452C" w14:textId="24082FE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6A2F80CC" w14:textId="692316A5"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B6D0DD1" w14:textId="0228B4B3"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61B7E07E" w14:textId="6EA8FB0F"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62C2C3F" w14:textId="63B46BF4"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47AA4AFF" w14:textId="1B9E6A00"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B0BF7DE" w14:textId="27554D3B"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4530FAAE" w14:textId="0E809200"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30DC8F2" w14:textId="756DBB00"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42E29653" w14:textId="0DABE743"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7123257F" w14:textId="77777777" w:rsidTr="00162008">
        <w:trPr>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7D8C74F9" w14:textId="182DC8AF"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3774F7">
              <w:rPr>
                <w:rFonts w:ascii="Times New Roman" w:hAnsi="Times New Roman"/>
                <w:szCs w:val="18"/>
              </w:rPr>
              <w:t>Harapan H,</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{"citationID":"vMIQTUPM","properties":{"formattedCitation":"[26]","plainCitation":"[26]","noteIndex":0},"citationItems":[{"id":11733,"uris":["http://zotero.org/users/6456139/items/7LGRUTZG"],"itemData":{"id":11733,"type":"article-journal","abstract":"Background\nAlthough there is no licensed vaccine for monkeypox, smallpox vaccine has been shown to be 85% effective in preventing the monkeypox. This study was conducted to assess the willingness of frontline healthcare providers to be vaccinated with smallpox vaccine to prevent monkeypox.\nMethods\nA cross-sectional study was conducted in Indonesia. The willingness was assessed under two scenarios: fully subsidized and non-subsidized vaccine. Explanatory variables such as sociodemographic profile, workplace and professional characteristics, and knowledge of monkeypox were collected. A logistic regression assessed the influence of these explanatory variables on participants’ willingness.\nResults\nOut of 510 received participants’ responses, 407 (79.8%) were analyzed. With a fully subsidized vaccine scenario, 381 (93.6%) of the participants were willing to be vaccinated and in an unadjusted analysis, gender, education, monthly income, and type of workplace were associated with willingness. With a non-subsidized vaccine (i.e. the vaccine price was US$ 17.9), the proportion who were willing to be vaccinated decreased to 71.9%. In adjusted analyses for both scenarios, gender was the only independent predictor for willingness; men were less willing to be vaccinated than women, adjusted odds ratio (aOR): 0.37; 95% confidence interval (CI): 0.16, 0.87 and aOR: 0.42; 95%CI: 0.27, 0.67, respectively for subsidized and non-subsidized scenario.\nConclusion\nVaccine price and gender are important factors for physicians' willingness to be vaccinated for smallpox vaccine prevent monkeypox in Indonesia. These findings indicate that achieving high vaccine converge may require partially or fully subsidized vaccines, along with a clear guideline and recommendation from authorities.","container-title":"Clinical Epidemiology and Global Health","DOI":"10.1016/j.cegh.2020.04.024","ISSN":"2213-3984","issue":"4","journalAbbreviation":"Clinical Epidemiology and Global Health","language":"en","page":"1259-1263","source":"ScienceDirect","title":"Physicians’ willingness to be vaccinated with a smallpox vaccine to prevent monkeypox viral infection: A cross-sectional study in Indonesia","title-short":"Physicians’ willingness to be vaccinated with a smallpox vaccine to prevent monkeypox viral infection","volume":"8","author":[{"family":"Harapan","given":"Harapan"},{"family":"Setiawan","given":"Abdul M."},{"family":"Yufika","given":"Amanda"},{"family":"Anwar","given":"Samsul"},{"family":"Wahyuni","given":"Sri"},{"family":"Asrizal","given":"Febrivan W."},{"family":"Sufri","given":"Muhammad R."},{"family":"Putra","given":"Reza P."},{"family":"Wijayanti","given":"Nanda P."},{"family":"Salwiyadi","given":"Salwiyadi"},{"family":"Maulana","given":"Razi"},{"family":"Khusna","given":"Afriyani"},{"family":"Nusrina","given":"Ina"},{"family":"Shidiq","given":"Muhammad"},{"family":"Fitriani","given":"Devi"},{"family":"Muharrir","given":"Muharrir"},{"family":"Husna","given":"Cut A."},{"family":"Yusri","given":"Fitria"},{"family":"Maulana","given":"Reza"},{"family":"Itoh","given":"Naoya"},{"family":"Andalas","given":"Mohd"},{"family":"Wagner","given":"Abram L."},{"family":"Mudatsir","given":"Mudatsir"}],"issued":{"date-parts":[["2020",12,1]]}}}],"schema":"https://github.com/citation-style-language/schema/raw/master/csl-citation.json"}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[26]</w:t>
            </w:r>
            <w:r>
              <w:rPr>
                <w:rFonts w:ascii="Times New Roman" w:hAnsi="Times New Roman"/>
                <w:szCs w:val="18"/>
              </w:rPr>
              <w:fldChar w:fldCharType="end"/>
            </w:r>
          </w:p>
        </w:tc>
        <w:tc>
          <w:tcPr>
            <w:tcW w:w="297" w:type="pct"/>
            <w:vAlign w:val="center"/>
          </w:tcPr>
          <w:p w14:paraId="1070817A" w14:textId="3F66D5D7" w:rsidR="00877F8E" w:rsidRPr="009142E0"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2020</w:t>
            </w:r>
          </w:p>
        </w:tc>
        <w:tc>
          <w:tcPr>
            <w:tcW w:w="346" w:type="pct"/>
            <w:vAlign w:val="center"/>
          </w:tcPr>
          <w:p w14:paraId="4723D31A" w14:textId="16D3BD5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4466659C" w14:textId="5413C829"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2754F15B" w14:textId="15F2BC04"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00BC082E" w14:textId="1C23A73E"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48927133" w14:textId="1ED3BB6F"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350D9CFA" w14:textId="3BCA56DC"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64BF3E4" w14:textId="5C72FEFA"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0AD86033" w14:textId="42AC9A7B"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29EF4D5C" w14:textId="72AF3C78"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5C778B2D" w14:textId="47AFB4FD" w:rsidR="00877F8E" w:rsidRDefault="00877F8E" w:rsidP="00877F8E">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r w:rsidR="00877F8E" w:rsidRPr="009142E0" w14:paraId="1EB3AD67" w14:textId="77777777" w:rsidTr="00162008">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446" w:type="pct"/>
            <w:gridSpan w:val="2"/>
            <w:vAlign w:val="center"/>
          </w:tcPr>
          <w:p w14:paraId="7782CC09" w14:textId="4F3F59CF" w:rsidR="00877F8E" w:rsidRPr="009142E0" w:rsidRDefault="00877F8E" w:rsidP="00877F8E">
            <w:pPr>
              <w:tabs>
                <w:tab w:val="left" w:pos="7925"/>
              </w:tabs>
              <w:autoSpaceDE w:val="0"/>
              <w:autoSpaceDN w:val="0"/>
              <w:adjustRightInd w:val="0"/>
              <w:snapToGrid w:val="0"/>
              <w:spacing w:line="240" w:lineRule="auto"/>
              <w:jc w:val="center"/>
              <w:rPr>
                <w:rFonts w:ascii="Times New Roman" w:hAnsi="Times New Roman"/>
                <w:sz w:val="18"/>
                <w:szCs w:val="18"/>
              </w:rPr>
            </w:pPr>
            <w:r w:rsidRPr="00AA3F08">
              <w:rPr>
                <w:rFonts w:ascii="Times New Roman" w:hAnsi="Times New Roman"/>
                <w:szCs w:val="18"/>
              </w:rPr>
              <w:t>Harapan H,</w:t>
            </w:r>
            <w:r>
              <w:rPr>
                <w:rFonts w:ascii="Times New Roman" w:hAnsi="Times New Roman"/>
                <w:szCs w:val="18"/>
              </w:rPr>
              <w:t xml:space="preserve"> et al. </w:t>
            </w:r>
            <w:r>
              <w:rPr>
                <w:rFonts w:ascii="Times New Roman" w:hAnsi="Times New Roman"/>
                <w:szCs w:val="18"/>
              </w:rPr>
              <w:fldChar w:fldCharType="begin"/>
            </w:r>
            <w:r w:rsidR="00CD2F15">
              <w:rPr>
                <w:rFonts w:ascii="Times New Roman" w:hAnsi="Times New Roman"/>
                <w:szCs w:val="18"/>
              </w:rPr>
              <w:instrText xml:space="preserve"> ADDIN ZOTERO_ITEM CSL_CITATION {"citationID":"PqCvkrsA","properties":{"formattedCitation":"[27]","plainCitation":"[27]","noteIndex":0},"citationItems":[{"id":11736,"uris":["http://zotero.org/users/6456139/items/2L8NQ9ZN"],"itemData":{"id":11736,"type":"article-journal","abstract":"The current re-emergence of human monkeypox (HMPX) is a global concern for endemic and non-endemic countries, but healthcare workers in some regions, like Asia, have less experience with identifying and treating HMPX cases. This study aimed to assess the confidence and its predictors in HMPX case management among general practitioners (GPs), the frontline doctors in Indonesia, and to explore their perspectives on HMPX. Between May and July 2019, GPs in Indonesia completed an online-based survey. The questionnaire collected information on GPs' confidence, perspective, sociodemographic, workplace and professional characteristics, exposure to HMPX information and knowledge on HMPX. A logistic regression analysis was employed to explore the explanatory variables influencing the confidence and the perspective. We included 395 GPs in our analysis (77.4% out of 510 responses received) of which 10.1% and 34.9% were classified having good confidence using an 80% and 70% cut-off for confidence score, respectively. In the adjusted analysis, receiving information about HMPX during medical training was the only variable significantly associated with good confidence (adjusted odds ratio 2.74, 95% confidence interval 1.57 to 4.78 and p &lt; 0.001). Approximately 73.6% and 77.9% of GPs agreed that HMPX is an important infectious disease and it has potential to detrimentally impact the Indonesian economy, respectively. In addition, 88.8% of GPs suggested that the disease should be incorporated into the National Medical Curriculum of Indonesia. In conclusion, in case of HMPX outbreak, majority of the GPs in Indonesia seem to be less confident in diagnosing and treating cases, using their current knowledge, skills and their workplace facilities. Therefore, a systematic strategy to improve their confidence in managing HMPX is required.","container-title":"Acta Tropica","DOI":"10.1016/j.actatropica.2020.105450","ISSN":"1873-6254","journalAbbreviation":"Acta Trop","language":"eng","note":"PMID: 32194068\nPMCID: PMC7111046","page":"105450","source":"PubMed","title":"Confidence in managing human monkeypox cases in Asia: A cross-sectional survey among general practitioners in Indonesia","title-short":"Confidence in managing human monkeypox cases in Asia","volume":"206","author":[{"family":"Harapan","given":"Harapan"},{"family":"Setiawan","given":"Abdul M."},{"family":"Yufika","given":"Amanda"},{"family":"Anwar","given":"Samsul"},{"family":"Wahyuni","given":"Sri"},{"family":"Asrizal","given":"Febrivan W."},{"family":"Sufri","given":"Muhammad R."},{"family":"Putra","given":"Reza P."},{"family":"Wijayanti","given":"Nanda P."},{"family":"Salwiyadi","given":"Salwiyadi"},{"family":"Maulana","given":"Razi"},{"family":"Khusna","given":"Afriyani"},{"family":"Nusrina","given":"Ina"},{"family":"Shidiq","given":"Muhammad"},{"family":"Fitriani","given":"Devi"},{"family":"Muharrir","given":"Muharrir"},{"family":"Husna","given":"Cut A."},{"family":"Yusri","given":"Fitria"},{"family":"Maulana","given":"Reza"},{"family":"Utomo","given":"Prattama S."},{"family":"Andalas","given":"Mohd"},{"family":"Wagner","given":"Abram L."},{"family":"Mudatsir","given":"Mudatsir"}],"issued":{"date-parts":[["2020",6]]}}}],"schema":"https://github.com/citation-style-language/schema/raw/master/csl-citation.json"} </w:instrText>
            </w:r>
            <w:r>
              <w:rPr>
                <w:rFonts w:ascii="Times New Roman" w:hAnsi="Times New Roman"/>
                <w:szCs w:val="18"/>
              </w:rPr>
              <w:fldChar w:fldCharType="separate"/>
            </w:r>
            <w:r w:rsidR="00CD2F15" w:rsidRPr="00CD2F15">
              <w:rPr>
                <w:rFonts w:ascii="Times New Roman" w:hAnsi="Times New Roman"/>
              </w:rPr>
              <w:t>[27]</w:t>
            </w:r>
            <w:r>
              <w:rPr>
                <w:rFonts w:ascii="Times New Roman" w:hAnsi="Times New Roman"/>
                <w:szCs w:val="18"/>
              </w:rPr>
              <w:fldChar w:fldCharType="end"/>
            </w:r>
          </w:p>
        </w:tc>
        <w:tc>
          <w:tcPr>
            <w:tcW w:w="297" w:type="pct"/>
            <w:vAlign w:val="center"/>
          </w:tcPr>
          <w:p w14:paraId="6FDA782B" w14:textId="49569C9C" w:rsidR="00877F8E" w:rsidRPr="009142E0"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2020</w:t>
            </w:r>
          </w:p>
        </w:tc>
        <w:tc>
          <w:tcPr>
            <w:tcW w:w="346" w:type="pct"/>
            <w:vAlign w:val="center"/>
          </w:tcPr>
          <w:p w14:paraId="2B40F00D" w14:textId="3ABF2F3E"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545E1E2" w14:textId="5384357D"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4F7A007" w14:textId="1204DFB1"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AC2E902" w14:textId="600656A0"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2271E1F9" w14:textId="6E362358"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No</w:t>
            </w:r>
          </w:p>
        </w:tc>
        <w:tc>
          <w:tcPr>
            <w:tcW w:w="446" w:type="pct"/>
            <w:vAlign w:val="center"/>
          </w:tcPr>
          <w:p w14:paraId="05F6C4D5" w14:textId="2DF6E46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6E9DBC5" w14:textId="73A4F997"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4A0FDD7" w14:textId="1B07FC36"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F3702D0" w14:textId="1C635BE4"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7</w:t>
            </w:r>
          </w:p>
        </w:tc>
        <w:tc>
          <w:tcPr>
            <w:tcW w:w="394" w:type="pct"/>
            <w:vAlign w:val="center"/>
          </w:tcPr>
          <w:p w14:paraId="1C73BA02" w14:textId="2AC8FD1E" w:rsidR="00877F8E" w:rsidRDefault="00877F8E" w:rsidP="00877F8E">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High</w:t>
            </w:r>
          </w:p>
        </w:tc>
      </w:tr>
    </w:tbl>
    <w:p w14:paraId="5436371C" w14:textId="3A30E60B" w:rsidR="007F2C86" w:rsidRDefault="00DC5131" w:rsidP="00086C21">
      <w:pPr>
        <w:pStyle w:val="MDPI31text"/>
        <w:jc w:val="center"/>
        <w:rPr>
          <w:rFonts w:ascii="Times New Roman" w:hAnsi="Times New Roman"/>
          <w:sz w:val="22"/>
          <w:szCs w:val="24"/>
        </w:rPr>
      </w:pPr>
      <w:r w:rsidRPr="00DC5131">
        <w:rPr>
          <w:rFonts w:ascii="Times New Roman" w:hAnsi="Times New Roman"/>
          <w:snapToGrid/>
          <w:szCs w:val="20"/>
        </w:rPr>
        <w:t>NA: Not assessed</w:t>
      </w:r>
    </w:p>
    <w:p w14:paraId="359CC0DC" w14:textId="77777777" w:rsidR="00FA20F9" w:rsidRDefault="00FA20F9" w:rsidP="00086C21">
      <w:pPr>
        <w:pStyle w:val="MDPI31text"/>
        <w:jc w:val="center"/>
        <w:rPr>
          <w:rFonts w:ascii="Times New Roman" w:hAnsi="Times New Roman"/>
          <w:sz w:val="22"/>
          <w:szCs w:val="24"/>
        </w:rPr>
      </w:pPr>
    </w:p>
    <w:p w14:paraId="4E19B7F0" w14:textId="580A4709" w:rsidR="0007489C" w:rsidRPr="0007489C" w:rsidRDefault="0007489C" w:rsidP="0007489C">
      <w:pPr>
        <w:tabs>
          <w:tab w:val="center" w:pos="8108"/>
        </w:tabs>
        <w:rPr>
          <w:lang w:eastAsia="de-DE" w:bidi="en-US"/>
        </w:rPr>
        <w:sectPr w:rsidR="0007489C" w:rsidRPr="0007489C" w:rsidSect="00E43D79">
          <w:pgSz w:w="19618" w:h="11907" w:orient="landscape" w:code="9"/>
          <w:pgMar w:top="720" w:right="1701" w:bottom="1418" w:left="1701" w:header="1021" w:footer="340" w:gutter="0"/>
          <w:pgNumType w:start="1"/>
          <w:cols w:space="425"/>
          <w:titlePg/>
          <w:bidi/>
          <w:docGrid w:linePitch="326"/>
        </w:sectPr>
      </w:pPr>
    </w:p>
    <w:p w14:paraId="258478AD" w14:textId="11BA1644" w:rsidR="00D712EC" w:rsidRDefault="009A0B6F" w:rsidP="0038322E">
      <w:pPr>
        <w:pStyle w:val="MDPI31text"/>
        <w:ind w:left="0" w:firstLine="0"/>
        <w:rPr>
          <w:rFonts w:ascii="Times New Roman" w:hAnsi="Times New Roman"/>
        </w:rPr>
      </w:pPr>
      <w:r>
        <w:rPr>
          <w:rFonts w:ascii="Times New Roman" w:hAnsi="Times New Roman"/>
          <w:noProof/>
          <w:snapToGrid/>
        </w:rPr>
        <w:lastRenderedPageBreak/>
        <w:drawing>
          <wp:anchor distT="0" distB="0" distL="114300" distR="114300" simplePos="0" relativeHeight="251664384" behindDoc="0" locked="0" layoutInCell="1" allowOverlap="1" wp14:anchorId="2AF4DF8F" wp14:editId="4D74EE49">
            <wp:simplePos x="0" y="0"/>
            <wp:positionH relativeFrom="column">
              <wp:posOffset>-299085</wp:posOffset>
            </wp:positionH>
            <wp:positionV relativeFrom="paragraph">
              <wp:posOffset>1905</wp:posOffset>
            </wp:positionV>
            <wp:extent cx="6337300" cy="2832100"/>
            <wp:effectExtent l="0" t="0" r="6350" b="6350"/>
            <wp:wrapSquare wrapText="bothSides"/>
            <wp:docPr id="1010506052" name="Imagen 1" descr="Gráfico, Gráfico de cajas y bigot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506052" name="Imagen 1" descr="Gráfico, Gráfico de cajas y bigotes&#10;&#10;Descripción generada automáticamente"/>
                    <pic:cNvPicPr/>
                  </pic:nvPicPr>
                  <pic:blipFill>
                    <a:blip r:embed="rId20"/>
                    <a:stretch>
                      <a:fillRect/>
                    </a:stretch>
                  </pic:blipFill>
                  <pic:spPr>
                    <a:xfrm>
                      <a:off x="0" y="0"/>
                      <a:ext cx="6337300" cy="2832100"/>
                    </a:xfrm>
                    <a:prstGeom prst="rect">
                      <a:avLst/>
                    </a:prstGeom>
                  </pic:spPr>
                </pic:pic>
              </a:graphicData>
            </a:graphic>
            <wp14:sizeRelH relativeFrom="page">
              <wp14:pctWidth>0</wp14:pctWidth>
            </wp14:sizeRelH>
            <wp14:sizeRelV relativeFrom="page">
              <wp14:pctHeight>0</wp14:pctHeight>
            </wp14:sizeRelV>
          </wp:anchor>
        </w:drawing>
      </w:r>
    </w:p>
    <w:p w14:paraId="2CFD08D3" w14:textId="51E4D959" w:rsidR="00080693" w:rsidRPr="006C4A3E" w:rsidRDefault="00D80C12" w:rsidP="00085AA7">
      <w:pPr>
        <w:pStyle w:val="MDPI31text"/>
        <w:ind w:left="0"/>
        <w:jc w:val="center"/>
        <w:rPr>
          <w:rFonts w:ascii="Times New Roman" w:hAnsi="Times New Roman"/>
          <w:sz w:val="22"/>
          <w:szCs w:val="24"/>
        </w:rPr>
      </w:pPr>
      <w:r w:rsidRPr="006C4A3E">
        <w:rPr>
          <w:rFonts w:ascii="Times New Roman" w:hAnsi="Times New Roman"/>
          <w:b/>
          <w:bCs/>
          <w:sz w:val="22"/>
          <w:szCs w:val="24"/>
        </w:rPr>
        <w:t xml:space="preserve">S1 </w:t>
      </w:r>
      <w:r w:rsidR="00080693" w:rsidRPr="006C4A3E">
        <w:rPr>
          <w:rFonts w:ascii="Times New Roman" w:hAnsi="Times New Roman"/>
          <w:b/>
          <w:bCs/>
          <w:sz w:val="22"/>
          <w:szCs w:val="24"/>
        </w:rPr>
        <w:t>Figure.</w:t>
      </w:r>
      <w:r w:rsidR="00080693" w:rsidRPr="006C4A3E">
        <w:rPr>
          <w:rFonts w:ascii="Times New Roman" w:hAnsi="Times New Roman"/>
          <w:sz w:val="22"/>
          <w:szCs w:val="24"/>
        </w:rPr>
        <w:t xml:space="preserve"> </w:t>
      </w:r>
      <w:r w:rsidR="00754D95" w:rsidRPr="006C4A3E">
        <w:rPr>
          <w:rFonts w:ascii="Times New Roman" w:hAnsi="Times New Roman"/>
          <w:sz w:val="22"/>
          <w:szCs w:val="24"/>
        </w:rPr>
        <w:t>Forest plot showing prevalence of intention to vaccinate against monkeypox among study participants.</w:t>
      </w:r>
    </w:p>
    <w:p w14:paraId="34F76C69" w14:textId="6374EF77" w:rsidR="007F2C86" w:rsidRDefault="007F2C86" w:rsidP="00D81521">
      <w:pPr>
        <w:pStyle w:val="MDPI31text"/>
      </w:pPr>
    </w:p>
    <w:p w14:paraId="181382AC" w14:textId="4DCC05F2" w:rsidR="007F2C86" w:rsidRDefault="007F2C86" w:rsidP="00D81521">
      <w:pPr>
        <w:pStyle w:val="MDPI31text"/>
      </w:pPr>
    </w:p>
    <w:p w14:paraId="270CFDD1" w14:textId="758A9CD4" w:rsidR="007F2C86" w:rsidRDefault="007F2C86" w:rsidP="00D81521">
      <w:pPr>
        <w:pStyle w:val="MDPI31text"/>
      </w:pPr>
    </w:p>
    <w:p w14:paraId="03185523" w14:textId="4006D696" w:rsidR="007F2C86" w:rsidRDefault="00864C80" w:rsidP="00864C80">
      <w:pPr>
        <w:pStyle w:val="MDPI31text"/>
        <w:ind w:left="0" w:firstLine="0"/>
        <w:jc w:val="center"/>
      </w:pPr>
      <w:r>
        <w:rPr>
          <w:noProof/>
          <w:snapToGrid/>
        </w:rPr>
        <w:lastRenderedPageBreak/>
        <w:drawing>
          <wp:inline distT="0" distB="0" distL="0" distR="0" wp14:anchorId="150434A8" wp14:editId="5B5AA8B4">
            <wp:extent cx="5400040" cy="8526780"/>
            <wp:effectExtent l="0" t="0" r="0" b="7620"/>
            <wp:docPr id="1604986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98611" name="Imagen 160498611"/>
                    <pic:cNvPicPr/>
                  </pic:nvPicPr>
                  <pic:blipFill>
                    <a:blip r:embed="rId21"/>
                    <a:stretch>
                      <a:fillRect/>
                    </a:stretch>
                  </pic:blipFill>
                  <pic:spPr>
                    <a:xfrm>
                      <a:off x="0" y="0"/>
                      <a:ext cx="5400040" cy="8526780"/>
                    </a:xfrm>
                    <a:prstGeom prst="rect">
                      <a:avLst/>
                    </a:prstGeom>
                  </pic:spPr>
                </pic:pic>
              </a:graphicData>
            </a:graphic>
          </wp:inline>
        </w:drawing>
      </w:r>
    </w:p>
    <w:p w14:paraId="1631DF01" w14:textId="68851B05" w:rsidR="005D4697" w:rsidRPr="006C4A3E" w:rsidRDefault="00D80C12" w:rsidP="00DF14ED">
      <w:pPr>
        <w:pStyle w:val="MDPI31text"/>
        <w:ind w:left="0" w:firstLine="0"/>
        <w:jc w:val="center"/>
        <w:rPr>
          <w:rFonts w:ascii="Times New Roman" w:hAnsi="Times New Roman"/>
          <w:sz w:val="22"/>
          <w:szCs w:val="24"/>
        </w:rPr>
      </w:pPr>
      <w:r w:rsidRPr="006C4A3E">
        <w:rPr>
          <w:rFonts w:ascii="Times New Roman" w:hAnsi="Times New Roman"/>
          <w:b/>
          <w:bCs/>
          <w:sz w:val="22"/>
          <w:szCs w:val="24"/>
        </w:rPr>
        <w:t xml:space="preserve">S2 </w:t>
      </w:r>
      <w:r w:rsidR="000550A9" w:rsidRPr="006C4A3E">
        <w:rPr>
          <w:rFonts w:ascii="Times New Roman" w:hAnsi="Times New Roman"/>
          <w:b/>
          <w:bCs/>
          <w:sz w:val="22"/>
          <w:szCs w:val="24"/>
        </w:rPr>
        <w:t>Figure</w:t>
      </w:r>
      <w:r w:rsidR="000550A9" w:rsidRPr="006C4A3E">
        <w:rPr>
          <w:rFonts w:ascii="Times New Roman" w:hAnsi="Times New Roman"/>
          <w:sz w:val="22"/>
          <w:szCs w:val="24"/>
        </w:rPr>
        <w:t>. Subgroup analysis by country on good knowledge of monkeypox.</w:t>
      </w:r>
    </w:p>
    <w:p w14:paraId="7157C510" w14:textId="77777777" w:rsidR="0009193E" w:rsidRDefault="0009193E" w:rsidP="00DF14ED">
      <w:pPr>
        <w:pStyle w:val="MDPI31text"/>
        <w:ind w:left="0" w:firstLine="0"/>
        <w:jc w:val="center"/>
        <w:rPr>
          <w:rFonts w:ascii="Times New Roman" w:hAnsi="Times New Roman"/>
          <w:sz w:val="24"/>
          <w:szCs w:val="28"/>
        </w:rPr>
      </w:pPr>
    </w:p>
    <w:p w14:paraId="03AD133B" w14:textId="77777777" w:rsidR="0009193E" w:rsidRDefault="0009193E" w:rsidP="00DF14ED">
      <w:pPr>
        <w:pStyle w:val="MDPI31text"/>
        <w:ind w:left="0" w:firstLine="0"/>
        <w:jc w:val="center"/>
        <w:rPr>
          <w:rFonts w:ascii="Times New Roman" w:hAnsi="Times New Roman"/>
          <w:sz w:val="24"/>
          <w:szCs w:val="28"/>
        </w:rPr>
      </w:pPr>
    </w:p>
    <w:p w14:paraId="7902A4FD" w14:textId="77777777" w:rsidR="0009193E" w:rsidRDefault="0009193E" w:rsidP="00DF14ED">
      <w:pPr>
        <w:pStyle w:val="MDPI31text"/>
        <w:ind w:left="0" w:firstLine="0"/>
        <w:jc w:val="center"/>
        <w:rPr>
          <w:rFonts w:ascii="Times New Roman" w:hAnsi="Times New Roman"/>
          <w:sz w:val="24"/>
          <w:szCs w:val="28"/>
        </w:rPr>
      </w:pPr>
    </w:p>
    <w:p w14:paraId="5D5071D5" w14:textId="77777777" w:rsidR="0009193E" w:rsidRDefault="0009193E" w:rsidP="00DF14ED">
      <w:pPr>
        <w:pStyle w:val="MDPI31text"/>
        <w:ind w:left="0" w:firstLine="0"/>
        <w:jc w:val="center"/>
        <w:rPr>
          <w:rFonts w:ascii="Times New Roman" w:hAnsi="Times New Roman"/>
          <w:sz w:val="24"/>
          <w:szCs w:val="28"/>
        </w:rPr>
      </w:pPr>
    </w:p>
    <w:p w14:paraId="18D2E17F" w14:textId="77777777" w:rsidR="0009193E" w:rsidRDefault="0009193E" w:rsidP="00DF14ED">
      <w:pPr>
        <w:pStyle w:val="MDPI31text"/>
        <w:ind w:left="0" w:firstLine="0"/>
        <w:jc w:val="center"/>
        <w:rPr>
          <w:rFonts w:ascii="Times New Roman" w:hAnsi="Times New Roman"/>
          <w:sz w:val="24"/>
          <w:szCs w:val="28"/>
        </w:rPr>
      </w:pPr>
    </w:p>
    <w:p w14:paraId="3BCBC64A" w14:textId="77777777" w:rsidR="0009193E" w:rsidRDefault="0009193E" w:rsidP="00DF14ED">
      <w:pPr>
        <w:pStyle w:val="MDPI31text"/>
        <w:ind w:left="0" w:firstLine="0"/>
        <w:jc w:val="center"/>
        <w:rPr>
          <w:rFonts w:ascii="Times New Roman" w:hAnsi="Times New Roman"/>
          <w:sz w:val="24"/>
          <w:szCs w:val="28"/>
        </w:rPr>
      </w:pPr>
    </w:p>
    <w:p w14:paraId="1D42C0EB" w14:textId="77777777" w:rsidR="0009193E" w:rsidRDefault="0009193E" w:rsidP="00DF14ED">
      <w:pPr>
        <w:pStyle w:val="MDPI31text"/>
        <w:ind w:left="0" w:firstLine="0"/>
        <w:jc w:val="center"/>
        <w:rPr>
          <w:rFonts w:ascii="Times New Roman" w:hAnsi="Times New Roman"/>
          <w:sz w:val="24"/>
          <w:szCs w:val="28"/>
        </w:rPr>
      </w:pPr>
    </w:p>
    <w:p w14:paraId="1B404413" w14:textId="77777777" w:rsidR="0009193E" w:rsidRDefault="0009193E" w:rsidP="00DF14ED">
      <w:pPr>
        <w:pStyle w:val="MDPI31text"/>
        <w:ind w:left="0" w:firstLine="0"/>
        <w:jc w:val="center"/>
        <w:rPr>
          <w:rFonts w:ascii="Times New Roman" w:hAnsi="Times New Roman"/>
          <w:sz w:val="24"/>
          <w:szCs w:val="28"/>
        </w:rPr>
      </w:pPr>
    </w:p>
    <w:p w14:paraId="7B24A8A7" w14:textId="12B697CC" w:rsidR="0009193E" w:rsidRDefault="0009193E" w:rsidP="0009193E">
      <w:pPr>
        <w:pStyle w:val="MDPI31text"/>
        <w:ind w:left="0" w:firstLine="0"/>
        <w:jc w:val="center"/>
        <w:rPr>
          <w:rFonts w:ascii="Times New Roman" w:hAnsi="Times New Roman"/>
          <w:sz w:val="24"/>
          <w:szCs w:val="28"/>
        </w:rPr>
      </w:pPr>
      <w:r>
        <w:rPr>
          <w:rFonts w:ascii="Times New Roman" w:hAnsi="Times New Roman"/>
          <w:noProof/>
          <w:snapToGrid/>
          <w:sz w:val="24"/>
          <w:szCs w:val="28"/>
        </w:rPr>
        <w:drawing>
          <wp:inline distT="0" distB="0" distL="0" distR="0" wp14:anchorId="01EA2635" wp14:editId="04EBF7B7">
            <wp:extent cx="5759961" cy="3031701"/>
            <wp:effectExtent l="0" t="0" r="0" b="0"/>
            <wp:docPr id="1791612714" name="Imagen 2" descr="Gráfico de cajas y bigot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612714" name="Imagen 2" descr="Gráfico de cajas y bigotes&#10;&#10;Descripción generada automáticamente con confianza media"/>
                    <pic:cNvPicPr/>
                  </pic:nvPicPr>
                  <pic:blipFill>
                    <a:blip r:embed="rId22"/>
                    <a:stretch>
                      <a:fillRect/>
                    </a:stretch>
                  </pic:blipFill>
                  <pic:spPr>
                    <a:xfrm>
                      <a:off x="0" y="0"/>
                      <a:ext cx="5764846" cy="3034272"/>
                    </a:xfrm>
                    <a:prstGeom prst="rect">
                      <a:avLst/>
                    </a:prstGeom>
                  </pic:spPr>
                </pic:pic>
              </a:graphicData>
            </a:graphic>
          </wp:inline>
        </w:drawing>
      </w:r>
    </w:p>
    <w:p w14:paraId="2E563964" w14:textId="77777777" w:rsidR="0009193E" w:rsidRDefault="0009193E" w:rsidP="0009193E">
      <w:pPr>
        <w:pStyle w:val="MDPI31text"/>
        <w:ind w:left="0" w:firstLine="0"/>
        <w:rPr>
          <w:rFonts w:ascii="Times New Roman" w:hAnsi="Times New Roman"/>
          <w:sz w:val="24"/>
          <w:szCs w:val="28"/>
        </w:rPr>
      </w:pPr>
    </w:p>
    <w:p w14:paraId="5B36E54D" w14:textId="0659FFDA" w:rsidR="0009193E" w:rsidRPr="006C4A3E" w:rsidRDefault="00D80C12" w:rsidP="0009193E">
      <w:pPr>
        <w:pStyle w:val="MDPI31text"/>
        <w:ind w:left="0" w:firstLine="0"/>
        <w:jc w:val="center"/>
        <w:rPr>
          <w:rFonts w:ascii="Times New Roman" w:hAnsi="Times New Roman"/>
          <w:sz w:val="22"/>
          <w:szCs w:val="24"/>
        </w:rPr>
      </w:pPr>
      <w:r w:rsidRPr="006C4A3E">
        <w:rPr>
          <w:rFonts w:ascii="Times New Roman" w:hAnsi="Times New Roman"/>
          <w:b/>
          <w:bCs/>
          <w:sz w:val="22"/>
          <w:szCs w:val="24"/>
        </w:rPr>
        <w:t xml:space="preserve">S3 </w:t>
      </w:r>
      <w:r w:rsidR="0009193E" w:rsidRPr="006C4A3E">
        <w:rPr>
          <w:rFonts w:ascii="Times New Roman" w:hAnsi="Times New Roman"/>
          <w:b/>
          <w:bCs/>
          <w:sz w:val="22"/>
          <w:szCs w:val="24"/>
        </w:rPr>
        <w:t>Figure</w:t>
      </w:r>
      <w:r w:rsidR="0009193E" w:rsidRPr="006C4A3E">
        <w:rPr>
          <w:rFonts w:ascii="Times New Roman" w:hAnsi="Times New Roman"/>
          <w:sz w:val="22"/>
          <w:szCs w:val="24"/>
        </w:rPr>
        <w:t xml:space="preserve">. </w:t>
      </w:r>
      <w:r w:rsidR="00E9368C" w:rsidRPr="006C4A3E">
        <w:rPr>
          <w:rFonts w:ascii="Times New Roman" w:hAnsi="Times New Roman"/>
          <w:sz w:val="22"/>
          <w:szCs w:val="24"/>
        </w:rPr>
        <w:t>Subgroup analysis by country on positive attitude toward monkeypox.</w:t>
      </w:r>
    </w:p>
    <w:p w14:paraId="23BC44D3" w14:textId="77777777" w:rsidR="0009193E" w:rsidRDefault="0009193E" w:rsidP="00DF14ED">
      <w:pPr>
        <w:pStyle w:val="MDPI31text"/>
        <w:ind w:left="0" w:firstLine="0"/>
        <w:jc w:val="center"/>
        <w:rPr>
          <w:rFonts w:ascii="Times New Roman" w:hAnsi="Times New Roman"/>
          <w:sz w:val="24"/>
          <w:szCs w:val="28"/>
        </w:rPr>
      </w:pPr>
    </w:p>
    <w:p w14:paraId="669743D8" w14:textId="77777777" w:rsidR="001A5520" w:rsidRDefault="001A5520" w:rsidP="008B20C0">
      <w:pPr>
        <w:pStyle w:val="MDPI31text"/>
        <w:ind w:left="0" w:firstLine="0"/>
        <w:rPr>
          <w:rFonts w:ascii="Times New Roman" w:hAnsi="Times New Roman"/>
          <w:b/>
          <w:bCs/>
          <w:sz w:val="24"/>
          <w:szCs w:val="28"/>
        </w:rPr>
      </w:pPr>
    </w:p>
    <w:p w14:paraId="6A6654F6" w14:textId="77777777" w:rsidR="001A5520" w:rsidRDefault="001A5520" w:rsidP="008B20C0">
      <w:pPr>
        <w:pStyle w:val="MDPI31text"/>
        <w:ind w:left="0" w:firstLine="0"/>
        <w:rPr>
          <w:rFonts w:ascii="Times New Roman" w:hAnsi="Times New Roman"/>
          <w:b/>
          <w:bCs/>
          <w:sz w:val="24"/>
          <w:szCs w:val="28"/>
        </w:rPr>
      </w:pPr>
    </w:p>
    <w:p w14:paraId="2025CC5E" w14:textId="77777777" w:rsidR="001A5520" w:rsidRDefault="001A5520" w:rsidP="008B20C0">
      <w:pPr>
        <w:pStyle w:val="MDPI31text"/>
        <w:ind w:left="0" w:firstLine="0"/>
        <w:rPr>
          <w:rFonts w:ascii="Times New Roman" w:hAnsi="Times New Roman"/>
          <w:b/>
          <w:bCs/>
          <w:sz w:val="24"/>
          <w:szCs w:val="28"/>
        </w:rPr>
      </w:pPr>
    </w:p>
    <w:p w14:paraId="4921243A" w14:textId="77777777" w:rsidR="001A5520" w:rsidRDefault="001A5520" w:rsidP="008B20C0">
      <w:pPr>
        <w:pStyle w:val="MDPI31text"/>
        <w:ind w:left="0" w:firstLine="0"/>
        <w:rPr>
          <w:rFonts w:ascii="Times New Roman" w:hAnsi="Times New Roman"/>
          <w:b/>
          <w:bCs/>
          <w:sz w:val="24"/>
          <w:szCs w:val="28"/>
        </w:rPr>
      </w:pPr>
    </w:p>
    <w:p w14:paraId="60AB3E40" w14:textId="77777777" w:rsidR="001A5520" w:rsidRDefault="001A5520" w:rsidP="008B20C0">
      <w:pPr>
        <w:pStyle w:val="MDPI31text"/>
        <w:ind w:left="0" w:firstLine="0"/>
        <w:rPr>
          <w:rFonts w:ascii="Times New Roman" w:hAnsi="Times New Roman"/>
          <w:b/>
          <w:bCs/>
          <w:sz w:val="24"/>
          <w:szCs w:val="28"/>
        </w:rPr>
      </w:pPr>
    </w:p>
    <w:p w14:paraId="4B5ABAFD" w14:textId="77777777" w:rsidR="001A5520" w:rsidRDefault="001A5520" w:rsidP="008B20C0">
      <w:pPr>
        <w:pStyle w:val="MDPI31text"/>
        <w:ind w:left="0" w:firstLine="0"/>
        <w:rPr>
          <w:rFonts w:ascii="Times New Roman" w:hAnsi="Times New Roman"/>
          <w:b/>
          <w:bCs/>
          <w:sz w:val="24"/>
          <w:szCs w:val="28"/>
        </w:rPr>
      </w:pPr>
    </w:p>
    <w:p w14:paraId="73DAB8BC" w14:textId="77777777" w:rsidR="001A5520" w:rsidRDefault="001A5520" w:rsidP="008B20C0">
      <w:pPr>
        <w:pStyle w:val="MDPI31text"/>
        <w:ind w:left="0" w:firstLine="0"/>
        <w:rPr>
          <w:rFonts w:ascii="Times New Roman" w:hAnsi="Times New Roman"/>
          <w:b/>
          <w:bCs/>
          <w:sz w:val="24"/>
          <w:szCs w:val="28"/>
        </w:rPr>
      </w:pPr>
    </w:p>
    <w:p w14:paraId="4C4C89F9" w14:textId="77777777" w:rsidR="001A5520" w:rsidRDefault="001A5520" w:rsidP="008B20C0">
      <w:pPr>
        <w:pStyle w:val="MDPI31text"/>
        <w:ind w:left="0" w:firstLine="0"/>
        <w:rPr>
          <w:rFonts w:ascii="Times New Roman" w:hAnsi="Times New Roman"/>
          <w:b/>
          <w:bCs/>
          <w:sz w:val="24"/>
          <w:szCs w:val="28"/>
        </w:rPr>
      </w:pPr>
    </w:p>
    <w:p w14:paraId="100919EE" w14:textId="77777777" w:rsidR="001A5520" w:rsidRDefault="001A5520" w:rsidP="008B20C0">
      <w:pPr>
        <w:pStyle w:val="MDPI31text"/>
        <w:ind w:left="0" w:firstLine="0"/>
        <w:rPr>
          <w:rFonts w:ascii="Times New Roman" w:hAnsi="Times New Roman"/>
          <w:b/>
          <w:bCs/>
          <w:sz w:val="24"/>
          <w:szCs w:val="28"/>
        </w:rPr>
      </w:pPr>
    </w:p>
    <w:p w14:paraId="1F890E98" w14:textId="77777777" w:rsidR="001A5520" w:rsidRDefault="001A5520" w:rsidP="008B20C0">
      <w:pPr>
        <w:pStyle w:val="MDPI31text"/>
        <w:ind w:left="0" w:firstLine="0"/>
        <w:rPr>
          <w:rFonts w:ascii="Times New Roman" w:hAnsi="Times New Roman"/>
          <w:b/>
          <w:bCs/>
          <w:sz w:val="24"/>
          <w:szCs w:val="28"/>
        </w:rPr>
      </w:pPr>
    </w:p>
    <w:p w14:paraId="21A550FB" w14:textId="77777777" w:rsidR="001A5520" w:rsidRDefault="001A5520" w:rsidP="008B20C0">
      <w:pPr>
        <w:pStyle w:val="MDPI31text"/>
        <w:ind w:left="0" w:firstLine="0"/>
        <w:rPr>
          <w:rFonts w:ascii="Times New Roman" w:hAnsi="Times New Roman"/>
          <w:b/>
          <w:bCs/>
          <w:sz w:val="24"/>
          <w:szCs w:val="28"/>
        </w:rPr>
      </w:pPr>
    </w:p>
    <w:p w14:paraId="1EA13D1B" w14:textId="77777777" w:rsidR="001A5520" w:rsidRDefault="001A5520" w:rsidP="008B20C0">
      <w:pPr>
        <w:pStyle w:val="MDPI31text"/>
        <w:ind w:left="0" w:firstLine="0"/>
        <w:rPr>
          <w:rFonts w:ascii="Times New Roman" w:hAnsi="Times New Roman"/>
          <w:b/>
          <w:bCs/>
          <w:sz w:val="24"/>
          <w:szCs w:val="28"/>
        </w:rPr>
      </w:pPr>
    </w:p>
    <w:p w14:paraId="0ABAF58F" w14:textId="77777777" w:rsidR="001A5520" w:rsidRDefault="001A5520" w:rsidP="008B20C0">
      <w:pPr>
        <w:pStyle w:val="MDPI31text"/>
        <w:ind w:left="0" w:firstLine="0"/>
        <w:rPr>
          <w:rFonts w:ascii="Times New Roman" w:hAnsi="Times New Roman"/>
          <w:b/>
          <w:bCs/>
          <w:sz w:val="24"/>
          <w:szCs w:val="28"/>
        </w:rPr>
      </w:pPr>
    </w:p>
    <w:p w14:paraId="479E4F8D" w14:textId="77777777" w:rsidR="001A5520" w:rsidRDefault="001A5520" w:rsidP="008B20C0">
      <w:pPr>
        <w:pStyle w:val="MDPI31text"/>
        <w:ind w:left="0" w:firstLine="0"/>
        <w:rPr>
          <w:rFonts w:ascii="Times New Roman" w:hAnsi="Times New Roman"/>
          <w:b/>
          <w:bCs/>
          <w:sz w:val="24"/>
          <w:szCs w:val="28"/>
        </w:rPr>
      </w:pPr>
    </w:p>
    <w:p w14:paraId="0FD7FB83" w14:textId="77777777" w:rsidR="001A5520" w:rsidRDefault="001A5520" w:rsidP="008B20C0">
      <w:pPr>
        <w:pStyle w:val="MDPI31text"/>
        <w:ind w:left="0" w:firstLine="0"/>
        <w:rPr>
          <w:rFonts w:ascii="Times New Roman" w:hAnsi="Times New Roman"/>
          <w:b/>
          <w:bCs/>
          <w:sz w:val="24"/>
          <w:szCs w:val="28"/>
        </w:rPr>
      </w:pPr>
    </w:p>
    <w:p w14:paraId="6CA2AE18" w14:textId="77777777" w:rsidR="001A5520" w:rsidRDefault="001A5520" w:rsidP="008B20C0">
      <w:pPr>
        <w:pStyle w:val="MDPI31text"/>
        <w:ind w:left="0" w:firstLine="0"/>
        <w:rPr>
          <w:rFonts w:ascii="Times New Roman" w:hAnsi="Times New Roman"/>
          <w:b/>
          <w:bCs/>
          <w:sz w:val="24"/>
          <w:szCs w:val="28"/>
        </w:rPr>
      </w:pPr>
    </w:p>
    <w:p w14:paraId="1E400DC3" w14:textId="77777777" w:rsidR="001A5520" w:rsidRDefault="001A5520" w:rsidP="008B20C0">
      <w:pPr>
        <w:pStyle w:val="MDPI31text"/>
        <w:ind w:left="0" w:firstLine="0"/>
        <w:rPr>
          <w:rFonts w:ascii="Times New Roman" w:hAnsi="Times New Roman"/>
          <w:b/>
          <w:bCs/>
          <w:sz w:val="24"/>
          <w:szCs w:val="28"/>
        </w:rPr>
      </w:pPr>
    </w:p>
    <w:p w14:paraId="6F81031F" w14:textId="77777777" w:rsidR="001A5520" w:rsidRDefault="001A5520" w:rsidP="008B20C0">
      <w:pPr>
        <w:pStyle w:val="MDPI31text"/>
        <w:ind w:left="0" w:firstLine="0"/>
        <w:rPr>
          <w:rFonts w:ascii="Times New Roman" w:hAnsi="Times New Roman"/>
          <w:b/>
          <w:bCs/>
          <w:sz w:val="24"/>
          <w:szCs w:val="28"/>
        </w:rPr>
      </w:pPr>
    </w:p>
    <w:p w14:paraId="14C1F2D9" w14:textId="77777777" w:rsidR="001A5520" w:rsidRDefault="001A5520" w:rsidP="008B20C0">
      <w:pPr>
        <w:pStyle w:val="MDPI31text"/>
        <w:ind w:left="0" w:firstLine="0"/>
        <w:rPr>
          <w:rFonts w:ascii="Times New Roman" w:hAnsi="Times New Roman"/>
          <w:b/>
          <w:bCs/>
          <w:sz w:val="24"/>
          <w:szCs w:val="28"/>
        </w:rPr>
      </w:pPr>
    </w:p>
    <w:p w14:paraId="3DC67FD7" w14:textId="77777777" w:rsidR="001A5520" w:rsidRDefault="001A5520" w:rsidP="008B20C0">
      <w:pPr>
        <w:pStyle w:val="MDPI31text"/>
        <w:ind w:left="0" w:firstLine="0"/>
        <w:rPr>
          <w:rFonts w:ascii="Times New Roman" w:hAnsi="Times New Roman"/>
          <w:b/>
          <w:bCs/>
          <w:sz w:val="24"/>
          <w:szCs w:val="28"/>
        </w:rPr>
      </w:pPr>
    </w:p>
    <w:p w14:paraId="7A792526" w14:textId="77777777" w:rsidR="001A5520" w:rsidRDefault="001A5520" w:rsidP="008B20C0">
      <w:pPr>
        <w:pStyle w:val="MDPI31text"/>
        <w:ind w:left="0" w:firstLine="0"/>
        <w:rPr>
          <w:rFonts w:ascii="Times New Roman" w:hAnsi="Times New Roman"/>
          <w:b/>
          <w:bCs/>
          <w:sz w:val="24"/>
          <w:szCs w:val="28"/>
        </w:rPr>
      </w:pPr>
    </w:p>
    <w:p w14:paraId="6BC9EB5D" w14:textId="77777777" w:rsidR="001A5520" w:rsidRDefault="001A5520" w:rsidP="008B20C0">
      <w:pPr>
        <w:pStyle w:val="MDPI31text"/>
        <w:ind w:left="0" w:firstLine="0"/>
        <w:rPr>
          <w:rFonts w:ascii="Times New Roman" w:hAnsi="Times New Roman"/>
          <w:b/>
          <w:bCs/>
          <w:sz w:val="24"/>
          <w:szCs w:val="28"/>
        </w:rPr>
      </w:pPr>
    </w:p>
    <w:p w14:paraId="7BDFF8B1" w14:textId="77777777" w:rsidR="001A5520" w:rsidRDefault="001A5520" w:rsidP="008B20C0">
      <w:pPr>
        <w:pStyle w:val="MDPI31text"/>
        <w:ind w:left="0" w:firstLine="0"/>
        <w:rPr>
          <w:rFonts w:ascii="Times New Roman" w:hAnsi="Times New Roman"/>
          <w:b/>
          <w:bCs/>
          <w:sz w:val="24"/>
          <w:szCs w:val="28"/>
        </w:rPr>
      </w:pPr>
    </w:p>
    <w:p w14:paraId="7AB93389" w14:textId="77777777" w:rsidR="001A5520" w:rsidRDefault="001A5520" w:rsidP="008B20C0">
      <w:pPr>
        <w:pStyle w:val="MDPI31text"/>
        <w:ind w:left="0" w:firstLine="0"/>
        <w:rPr>
          <w:rFonts w:ascii="Times New Roman" w:hAnsi="Times New Roman"/>
          <w:b/>
          <w:bCs/>
          <w:sz w:val="24"/>
          <w:szCs w:val="28"/>
        </w:rPr>
      </w:pPr>
    </w:p>
    <w:p w14:paraId="13BC554F" w14:textId="77777777" w:rsidR="001A5520" w:rsidRDefault="001A5520" w:rsidP="008B20C0">
      <w:pPr>
        <w:pStyle w:val="MDPI31text"/>
        <w:ind w:left="0" w:firstLine="0"/>
        <w:rPr>
          <w:rFonts w:ascii="Times New Roman" w:hAnsi="Times New Roman"/>
          <w:b/>
          <w:bCs/>
          <w:sz w:val="24"/>
          <w:szCs w:val="28"/>
        </w:rPr>
      </w:pPr>
    </w:p>
    <w:p w14:paraId="0B6A16E9" w14:textId="2CDD821E" w:rsidR="001A5520" w:rsidRDefault="001A5520" w:rsidP="008B20C0">
      <w:pPr>
        <w:pStyle w:val="MDPI31text"/>
        <w:ind w:left="0" w:firstLine="0"/>
        <w:rPr>
          <w:rFonts w:ascii="Times New Roman" w:hAnsi="Times New Roman"/>
          <w:b/>
          <w:bCs/>
          <w:sz w:val="24"/>
          <w:szCs w:val="28"/>
        </w:rPr>
      </w:pPr>
    </w:p>
    <w:p w14:paraId="6CA98EDB" w14:textId="77777777" w:rsidR="003D1561" w:rsidRDefault="003D1561" w:rsidP="008B20C0">
      <w:pPr>
        <w:pStyle w:val="MDPI31text"/>
        <w:ind w:left="0" w:firstLine="0"/>
        <w:rPr>
          <w:rFonts w:ascii="Times New Roman" w:hAnsi="Times New Roman"/>
          <w:b/>
          <w:bCs/>
          <w:sz w:val="24"/>
          <w:szCs w:val="28"/>
        </w:rPr>
      </w:pPr>
    </w:p>
    <w:p w14:paraId="1EFD11A9" w14:textId="303BBB7B" w:rsidR="008B20C0" w:rsidRPr="006C4A3E" w:rsidRDefault="001A5520" w:rsidP="008B20C0">
      <w:pPr>
        <w:pStyle w:val="MDPI31text"/>
        <w:ind w:left="0" w:firstLine="0"/>
        <w:rPr>
          <w:rFonts w:ascii="Times New Roman" w:hAnsi="Times New Roman"/>
          <w:sz w:val="22"/>
          <w:szCs w:val="24"/>
        </w:rPr>
      </w:pPr>
      <w:r w:rsidRPr="006C4A3E">
        <w:rPr>
          <w:rFonts w:ascii="Times New Roman" w:hAnsi="Times New Roman"/>
          <w:noProof/>
          <w:snapToGrid/>
          <w:sz w:val="22"/>
          <w:szCs w:val="24"/>
        </w:rPr>
        <w:drawing>
          <wp:anchor distT="0" distB="0" distL="114300" distR="114300" simplePos="0" relativeHeight="251661312" behindDoc="0" locked="0" layoutInCell="1" allowOverlap="1" wp14:anchorId="72FBFF02" wp14:editId="6C050FA0">
            <wp:simplePos x="0" y="0"/>
            <wp:positionH relativeFrom="column">
              <wp:posOffset>-518795</wp:posOffset>
            </wp:positionH>
            <wp:positionV relativeFrom="paragraph">
              <wp:posOffset>127000</wp:posOffset>
            </wp:positionV>
            <wp:extent cx="6478270" cy="5798820"/>
            <wp:effectExtent l="0" t="0" r="0" b="0"/>
            <wp:wrapSquare wrapText="bothSides"/>
            <wp:docPr id="231070185" name="Imagen 5" descr="Diagram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70185" name="Imagen 5" descr="Diagrama, Tabla&#10;&#10;Descripción generada automáticamente"/>
                    <pic:cNvPicPr/>
                  </pic:nvPicPr>
                  <pic:blipFill rotWithShape="1">
                    <a:blip r:embed="rId23"/>
                    <a:srcRect t="8246" b="6719"/>
                    <a:stretch/>
                  </pic:blipFill>
                  <pic:spPr bwMode="auto">
                    <a:xfrm>
                      <a:off x="0" y="0"/>
                      <a:ext cx="6478270" cy="5798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0C12" w:rsidRPr="006C4A3E">
        <w:rPr>
          <w:rFonts w:ascii="Times New Roman" w:hAnsi="Times New Roman"/>
          <w:b/>
          <w:bCs/>
          <w:sz w:val="22"/>
          <w:szCs w:val="24"/>
        </w:rPr>
        <w:t xml:space="preserve">S4 </w:t>
      </w:r>
      <w:r w:rsidR="008B20C0" w:rsidRPr="006C4A3E">
        <w:rPr>
          <w:rFonts w:ascii="Times New Roman" w:hAnsi="Times New Roman"/>
          <w:b/>
          <w:bCs/>
          <w:sz w:val="22"/>
          <w:szCs w:val="24"/>
        </w:rPr>
        <w:t>Figure</w:t>
      </w:r>
      <w:r w:rsidR="008B20C0" w:rsidRPr="006C4A3E">
        <w:rPr>
          <w:rFonts w:ascii="Times New Roman" w:hAnsi="Times New Roman"/>
          <w:sz w:val="22"/>
          <w:szCs w:val="24"/>
        </w:rPr>
        <w:t>. Subgroup analysis by study subjects on good knowledge of monkeypox.</w:t>
      </w:r>
    </w:p>
    <w:p w14:paraId="31BC2FCB" w14:textId="69D061C4" w:rsidR="000550A9" w:rsidRDefault="000550A9" w:rsidP="000550A9">
      <w:pPr>
        <w:pStyle w:val="MDPI31text"/>
        <w:ind w:left="0" w:firstLine="0"/>
        <w:rPr>
          <w:rFonts w:ascii="Times New Roman" w:hAnsi="Times New Roman"/>
          <w:sz w:val="24"/>
          <w:szCs w:val="28"/>
        </w:rPr>
      </w:pPr>
    </w:p>
    <w:p w14:paraId="16CE2308" w14:textId="09E36A00" w:rsidR="008B20C0" w:rsidRDefault="008B20C0" w:rsidP="000550A9">
      <w:pPr>
        <w:pStyle w:val="MDPI31text"/>
        <w:ind w:left="0" w:firstLine="0"/>
        <w:rPr>
          <w:rFonts w:ascii="Times New Roman" w:hAnsi="Times New Roman"/>
          <w:sz w:val="24"/>
          <w:szCs w:val="28"/>
        </w:rPr>
      </w:pPr>
    </w:p>
    <w:p w14:paraId="372CE58C" w14:textId="6F2983B4" w:rsidR="008B20C0" w:rsidRDefault="008B20C0" w:rsidP="000550A9">
      <w:pPr>
        <w:pStyle w:val="MDPI31text"/>
        <w:ind w:left="0" w:firstLine="0"/>
        <w:rPr>
          <w:rFonts w:ascii="Times New Roman" w:hAnsi="Times New Roman"/>
          <w:sz w:val="24"/>
          <w:szCs w:val="28"/>
        </w:rPr>
      </w:pPr>
    </w:p>
    <w:p w14:paraId="1E239BE1" w14:textId="295D10E0" w:rsidR="001A5520" w:rsidRDefault="001A5520" w:rsidP="000550A9">
      <w:pPr>
        <w:pStyle w:val="MDPI31text"/>
        <w:ind w:left="0" w:firstLine="0"/>
        <w:rPr>
          <w:rFonts w:ascii="Times New Roman" w:hAnsi="Times New Roman"/>
          <w:sz w:val="24"/>
          <w:szCs w:val="28"/>
        </w:rPr>
      </w:pPr>
    </w:p>
    <w:p w14:paraId="79547116" w14:textId="77777777" w:rsidR="00BA0BFD" w:rsidRDefault="00BA0BFD" w:rsidP="000550A9">
      <w:pPr>
        <w:pStyle w:val="MDPI31text"/>
        <w:ind w:left="0" w:firstLine="0"/>
        <w:rPr>
          <w:rFonts w:ascii="Times New Roman" w:hAnsi="Times New Roman"/>
          <w:sz w:val="24"/>
          <w:szCs w:val="28"/>
        </w:rPr>
      </w:pPr>
    </w:p>
    <w:p w14:paraId="44552CAC" w14:textId="77777777" w:rsidR="00BA0BFD" w:rsidRDefault="00BA0BFD" w:rsidP="000550A9">
      <w:pPr>
        <w:pStyle w:val="MDPI31text"/>
        <w:ind w:left="0" w:firstLine="0"/>
        <w:rPr>
          <w:rFonts w:ascii="Times New Roman" w:hAnsi="Times New Roman"/>
          <w:sz w:val="24"/>
          <w:szCs w:val="28"/>
        </w:rPr>
      </w:pPr>
    </w:p>
    <w:p w14:paraId="0E06A74E" w14:textId="77777777" w:rsidR="00BA0BFD" w:rsidRDefault="00BA0BFD" w:rsidP="000550A9">
      <w:pPr>
        <w:pStyle w:val="MDPI31text"/>
        <w:ind w:left="0" w:firstLine="0"/>
        <w:rPr>
          <w:rFonts w:ascii="Times New Roman" w:hAnsi="Times New Roman"/>
          <w:sz w:val="24"/>
          <w:szCs w:val="28"/>
        </w:rPr>
      </w:pPr>
    </w:p>
    <w:p w14:paraId="181B6947" w14:textId="77777777" w:rsidR="00BA0BFD" w:rsidRDefault="00BA0BFD" w:rsidP="000550A9">
      <w:pPr>
        <w:pStyle w:val="MDPI31text"/>
        <w:ind w:left="0" w:firstLine="0"/>
        <w:rPr>
          <w:rFonts w:ascii="Times New Roman" w:hAnsi="Times New Roman"/>
          <w:sz w:val="24"/>
          <w:szCs w:val="28"/>
        </w:rPr>
      </w:pPr>
    </w:p>
    <w:p w14:paraId="6EA52546" w14:textId="77777777" w:rsidR="00BA0BFD" w:rsidRDefault="00BA0BFD" w:rsidP="000550A9">
      <w:pPr>
        <w:pStyle w:val="MDPI31text"/>
        <w:ind w:left="0" w:firstLine="0"/>
        <w:rPr>
          <w:rFonts w:ascii="Times New Roman" w:hAnsi="Times New Roman"/>
          <w:sz w:val="24"/>
          <w:szCs w:val="28"/>
        </w:rPr>
      </w:pPr>
    </w:p>
    <w:p w14:paraId="53B86B4F" w14:textId="77777777" w:rsidR="00BA0BFD" w:rsidRDefault="00BA0BFD" w:rsidP="000550A9">
      <w:pPr>
        <w:pStyle w:val="MDPI31text"/>
        <w:ind w:left="0" w:firstLine="0"/>
        <w:rPr>
          <w:rFonts w:ascii="Times New Roman" w:hAnsi="Times New Roman"/>
          <w:sz w:val="24"/>
          <w:szCs w:val="28"/>
        </w:rPr>
      </w:pPr>
    </w:p>
    <w:p w14:paraId="551E51A4" w14:textId="77777777" w:rsidR="00BA0BFD" w:rsidRDefault="00BA0BFD" w:rsidP="000550A9">
      <w:pPr>
        <w:pStyle w:val="MDPI31text"/>
        <w:ind w:left="0" w:firstLine="0"/>
        <w:rPr>
          <w:rFonts w:ascii="Times New Roman" w:hAnsi="Times New Roman"/>
          <w:sz w:val="24"/>
          <w:szCs w:val="28"/>
        </w:rPr>
      </w:pPr>
    </w:p>
    <w:p w14:paraId="2B9DAB1F" w14:textId="77777777" w:rsidR="00BA0BFD" w:rsidRDefault="00BA0BFD" w:rsidP="000550A9">
      <w:pPr>
        <w:pStyle w:val="MDPI31text"/>
        <w:ind w:left="0" w:firstLine="0"/>
        <w:rPr>
          <w:rFonts w:ascii="Times New Roman" w:hAnsi="Times New Roman"/>
          <w:sz w:val="24"/>
          <w:szCs w:val="28"/>
        </w:rPr>
      </w:pPr>
    </w:p>
    <w:p w14:paraId="433389EC" w14:textId="77777777" w:rsidR="00BA0BFD" w:rsidRDefault="00BA0BFD" w:rsidP="000550A9">
      <w:pPr>
        <w:pStyle w:val="MDPI31text"/>
        <w:ind w:left="0" w:firstLine="0"/>
        <w:rPr>
          <w:rFonts w:ascii="Times New Roman" w:hAnsi="Times New Roman"/>
          <w:sz w:val="24"/>
          <w:szCs w:val="28"/>
        </w:rPr>
      </w:pPr>
    </w:p>
    <w:p w14:paraId="28419E09" w14:textId="77777777" w:rsidR="00BA0BFD" w:rsidRDefault="00BA0BFD" w:rsidP="000550A9">
      <w:pPr>
        <w:pStyle w:val="MDPI31text"/>
        <w:ind w:left="0" w:firstLine="0"/>
        <w:rPr>
          <w:rFonts w:ascii="Times New Roman" w:hAnsi="Times New Roman"/>
          <w:sz w:val="24"/>
          <w:szCs w:val="28"/>
        </w:rPr>
      </w:pPr>
    </w:p>
    <w:p w14:paraId="785B8B56" w14:textId="77777777" w:rsidR="00BA0BFD" w:rsidRDefault="00BA0BFD" w:rsidP="000550A9">
      <w:pPr>
        <w:pStyle w:val="MDPI31text"/>
        <w:ind w:left="0" w:firstLine="0"/>
        <w:rPr>
          <w:rFonts w:ascii="Times New Roman" w:hAnsi="Times New Roman"/>
          <w:sz w:val="24"/>
          <w:szCs w:val="28"/>
        </w:rPr>
      </w:pPr>
    </w:p>
    <w:p w14:paraId="4B4397D7" w14:textId="2326FA4D" w:rsidR="008B20C0" w:rsidRDefault="00BA0BFD" w:rsidP="000550A9">
      <w:pPr>
        <w:pStyle w:val="MDPI31text"/>
        <w:ind w:left="0" w:firstLine="0"/>
        <w:rPr>
          <w:rFonts w:ascii="Times New Roman" w:hAnsi="Times New Roman"/>
          <w:sz w:val="24"/>
          <w:szCs w:val="28"/>
        </w:rPr>
      </w:pPr>
      <w:r>
        <w:rPr>
          <w:rFonts w:ascii="Times New Roman" w:hAnsi="Times New Roman"/>
          <w:noProof/>
          <w:snapToGrid/>
          <w:sz w:val="24"/>
          <w:szCs w:val="28"/>
        </w:rPr>
        <w:drawing>
          <wp:inline distT="0" distB="0" distL="0" distR="0" wp14:anchorId="0E770E0A" wp14:editId="10BC939B">
            <wp:extent cx="5163185" cy="2748090"/>
            <wp:effectExtent l="0" t="0" r="0" b="0"/>
            <wp:docPr id="1291304740" name="Imagen 3" descr="Una 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304740" name="Imagen 3" descr="Una captura de pantalla de un celular&#10;&#10;Descripción generada automáticamente"/>
                    <pic:cNvPicPr/>
                  </pic:nvPicPr>
                  <pic:blipFill rotWithShape="1">
                    <a:blip r:embed="rId24"/>
                    <a:srcRect l="6755" t="6730" r="6235" b="5284"/>
                    <a:stretch/>
                  </pic:blipFill>
                  <pic:spPr bwMode="auto">
                    <a:xfrm>
                      <a:off x="0" y="0"/>
                      <a:ext cx="5163185" cy="2748090"/>
                    </a:xfrm>
                    <a:prstGeom prst="rect">
                      <a:avLst/>
                    </a:prstGeom>
                    <a:ln>
                      <a:noFill/>
                    </a:ln>
                    <a:extLst>
                      <a:ext uri="{53640926-AAD7-44D8-BBD7-CCE9431645EC}">
                        <a14:shadowObscured xmlns:a14="http://schemas.microsoft.com/office/drawing/2010/main"/>
                      </a:ext>
                    </a:extLst>
                  </pic:spPr>
                </pic:pic>
              </a:graphicData>
            </a:graphic>
          </wp:inline>
        </w:drawing>
      </w:r>
    </w:p>
    <w:p w14:paraId="36B440C7" w14:textId="3302BC79" w:rsidR="008B20C0" w:rsidRPr="006C4A3E" w:rsidRDefault="00D80C12" w:rsidP="001A5520">
      <w:pPr>
        <w:pStyle w:val="MDPI31text"/>
        <w:ind w:left="0" w:firstLine="0"/>
        <w:jc w:val="center"/>
        <w:rPr>
          <w:rFonts w:ascii="Times New Roman" w:hAnsi="Times New Roman"/>
          <w:sz w:val="22"/>
          <w:szCs w:val="24"/>
        </w:rPr>
      </w:pPr>
      <w:r w:rsidRPr="006C4A3E">
        <w:rPr>
          <w:rFonts w:ascii="Times New Roman" w:hAnsi="Times New Roman"/>
          <w:b/>
          <w:bCs/>
          <w:sz w:val="22"/>
          <w:szCs w:val="24"/>
        </w:rPr>
        <w:t xml:space="preserve">S5 </w:t>
      </w:r>
      <w:r w:rsidR="008B20C0" w:rsidRPr="006C4A3E">
        <w:rPr>
          <w:rFonts w:ascii="Times New Roman" w:hAnsi="Times New Roman"/>
          <w:b/>
          <w:bCs/>
          <w:sz w:val="22"/>
          <w:szCs w:val="24"/>
        </w:rPr>
        <w:t>Figure</w:t>
      </w:r>
      <w:r w:rsidR="008B20C0" w:rsidRPr="006C4A3E">
        <w:rPr>
          <w:rFonts w:ascii="Times New Roman" w:hAnsi="Times New Roman"/>
          <w:sz w:val="22"/>
          <w:szCs w:val="24"/>
        </w:rPr>
        <w:t>. Subgroup analysis by study subjects on positive attitude toward monkeypox.</w:t>
      </w:r>
    </w:p>
    <w:p w14:paraId="75180CE9" w14:textId="77777777" w:rsidR="008B20C0" w:rsidRDefault="008B20C0" w:rsidP="000550A9">
      <w:pPr>
        <w:pStyle w:val="MDPI31text"/>
        <w:ind w:left="0" w:firstLine="0"/>
        <w:rPr>
          <w:rFonts w:ascii="Times New Roman" w:hAnsi="Times New Roman"/>
          <w:sz w:val="24"/>
          <w:szCs w:val="28"/>
        </w:rPr>
      </w:pPr>
    </w:p>
    <w:p w14:paraId="5B9ECFE4" w14:textId="77777777" w:rsidR="001A5520" w:rsidRDefault="001A5520" w:rsidP="000550A9">
      <w:pPr>
        <w:pStyle w:val="MDPI31text"/>
        <w:ind w:left="0" w:firstLine="0"/>
        <w:rPr>
          <w:rFonts w:ascii="Times New Roman" w:hAnsi="Times New Roman"/>
          <w:sz w:val="24"/>
          <w:szCs w:val="28"/>
        </w:rPr>
      </w:pPr>
    </w:p>
    <w:p w14:paraId="27D95B24" w14:textId="0D710783" w:rsidR="001A5520" w:rsidRDefault="001A5520" w:rsidP="000550A9">
      <w:pPr>
        <w:pStyle w:val="MDPI31text"/>
        <w:ind w:left="0" w:firstLine="0"/>
        <w:rPr>
          <w:rFonts w:ascii="Times New Roman" w:hAnsi="Times New Roman"/>
          <w:sz w:val="24"/>
          <w:szCs w:val="28"/>
        </w:rPr>
      </w:pPr>
    </w:p>
    <w:p w14:paraId="4B01B762" w14:textId="611255C1" w:rsidR="001A5520" w:rsidRDefault="001A5520" w:rsidP="000550A9">
      <w:pPr>
        <w:pStyle w:val="MDPI31text"/>
        <w:ind w:left="0" w:firstLine="0"/>
        <w:rPr>
          <w:rFonts w:ascii="Times New Roman" w:hAnsi="Times New Roman"/>
          <w:sz w:val="24"/>
          <w:szCs w:val="28"/>
        </w:rPr>
      </w:pPr>
    </w:p>
    <w:p w14:paraId="61CD1940" w14:textId="77777777" w:rsidR="00BA0BFD" w:rsidRDefault="00BA0BFD" w:rsidP="000550A9">
      <w:pPr>
        <w:pStyle w:val="MDPI31text"/>
        <w:ind w:left="0" w:firstLine="0"/>
        <w:rPr>
          <w:rFonts w:ascii="Times New Roman" w:hAnsi="Times New Roman"/>
          <w:sz w:val="24"/>
          <w:szCs w:val="28"/>
        </w:rPr>
      </w:pPr>
    </w:p>
    <w:p w14:paraId="24F0A138" w14:textId="0C9421EC" w:rsidR="00BA0BFD" w:rsidRDefault="00BA0BFD" w:rsidP="000550A9">
      <w:pPr>
        <w:pStyle w:val="MDPI31text"/>
        <w:ind w:left="0" w:firstLine="0"/>
        <w:rPr>
          <w:rFonts w:ascii="Times New Roman" w:hAnsi="Times New Roman"/>
          <w:sz w:val="24"/>
          <w:szCs w:val="28"/>
        </w:rPr>
      </w:pPr>
    </w:p>
    <w:p w14:paraId="6BE4ECA2" w14:textId="77777777" w:rsidR="00BA0BFD" w:rsidRDefault="00BA0BFD" w:rsidP="000550A9">
      <w:pPr>
        <w:pStyle w:val="MDPI31text"/>
        <w:ind w:left="0" w:firstLine="0"/>
        <w:rPr>
          <w:rFonts w:ascii="Times New Roman" w:hAnsi="Times New Roman"/>
          <w:sz w:val="24"/>
          <w:szCs w:val="28"/>
        </w:rPr>
      </w:pPr>
    </w:p>
    <w:p w14:paraId="4BCF90D6" w14:textId="5ABE73DD" w:rsidR="00BA0BFD" w:rsidRDefault="00BA0BFD" w:rsidP="000550A9">
      <w:pPr>
        <w:pStyle w:val="MDPI31text"/>
        <w:ind w:left="0" w:firstLine="0"/>
        <w:rPr>
          <w:rFonts w:ascii="Times New Roman" w:hAnsi="Times New Roman"/>
          <w:sz w:val="24"/>
          <w:szCs w:val="28"/>
        </w:rPr>
      </w:pPr>
    </w:p>
    <w:p w14:paraId="567F4D3E" w14:textId="77777777" w:rsidR="00BA0BFD" w:rsidRDefault="00BA0BFD" w:rsidP="000550A9">
      <w:pPr>
        <w:pStyle w:val="MDPI31text"/>
        <w:ind w:left="0" w:firstLine="0"/>
        <w:rPr>
          <w:rFonts w:ascii="Times New Roman" w:hAnsi="Times New Roman"/>
          <w:sz w:val="24"/>
          <w:szCs w:val="28"/>
        </w:rPr>
      </w:pPr>
    </w:p>
    <w:p w14:paraId="15F97710" w14:textId="77777777" w:rsidR="00BA0BFD" w:rsidRDefault="00BA0BFD" w:rsidP="000550A9">
      <w:pPr>
        <w:pStyle w:val="MDPI31text"/>
        <w:ind w:left="0" w:firstLine="0"/>
        <w:rPr>
          <w:rFonts w:ascii="Times New Roman" w:hAnsi="Times New Roman"/>
          <w:sz w:val="24"/>
          <w:szCs w:val="28"/>
        </w:rPr>
      </w:pPr>
    </w:p>
    <w:p w14:paraId="634B74D4" w14:textId="5C9B5545" w:rsidR="00BA0BFD" w:rsidRDefault="00BA0BFD" w:rsidP="000550A9">
      <w:pPr>
        <w:pStyle w:val="MDPI31text"/>
        <w:ind w:left="0" w:firstLine="0"/>
        <w:rPr>
          <w:rFonts w:ascii="Times New Roman" w:hAnsi="Times New Roman"/>
          <w:sz w:val="24"/>
          <w:szCs w:val="28"/>
        </w:rPr>
      </w:pPr>
    </w:p>
    <w:p w14:paraId="7F06332C" w14:textId="77777777" w:rsidR="00BA0BFD" w:rsidRDefault="00BA0BFD" w:rsidP="000550A9">
      <w:pPr>
        <w:pStyle w:val="MDPI31text"/>
        <w:ind w:left="0" w:firstLine="0"/>
        <w:rPr>
          <w:rFonts w:ascii="Times New Roman" w:hAnsi="Times New Roman"/>
          <w:sz w:val="24"/>
          <w:szCs w:val="28"/>
        </w:rPr>
      </w:pPr>
    </w:p>
    <w:p w14:paraId="38412F6C" w14:textId="77777777" w:rsidR="00BA0BFD" w:rsidRDefault="00BA0BFD" w:rsidP="000550A9">
      <w:pPr>
        <w:pStyle w:val="MDPI31text"/>
        <w:ind w:left="0" w:firstLine="0"/>
        <w:rPr>
          <w:rFonts w:ascii="Times New Roman" w:hAnsi="Times New Roman"/>
          <w:sz w:val="24"/>
          <w:szCs w:val="28"/>
        </w:rPr>
      </w:pPr>
    </w:p>
    <w:p w14:paraId="2156E51E" w14:textId="4E66BDD5" w:rsidR="00BA0BFD" w:rsidRDefault="00BA0BFD" w:rsidP="000550A9">
      <w:pPr>
        <w:pStyle w:val="MDPI31text"/>
        <w:ind w:left="0" w:firstLine="0"/>
        <w:rPr>
          <w:rFonts w:ascii="Times New Roman" w:hAnsi="Times New Roman"/>
          <w:sz w:val="24"/>
          <w:szCs w:val="28"/>
        </w:rPr>
      </w:pPr>
      <w:r>
        <w:rPr>
          <w:rFonts w:ascii="Times New Roman" w:hAnsi="Times New Roman"/>
          <w:noProof/>
          <w:snapToGrid/>
          <w:sz w:val="24"/>
          <w:szCs w:val="28"/>
        </w:rPr>
        <w:lastRenderedPageBreak/>
        <w:drawing>
          <wp:anchor distT="0" distB="0" distL="114300" distR="114300" simplePos="0" relativeHeight="251662336" behindDoc="0" locked="0" layoutInCell="1" allowOverlap="1" wp14:anchorId="138A61F8" wp14:editId="4D428BB2">
            <wp:simplePos x="0" y="0"/>
            <wp:positionH relativeFrom="column">
              <wp:posOffset>-449580</wp:posOffset>
            </wp:positionH>
            <wp:positionV relativeFrom="paragraph">
              <wp:posOffset>0</wp:posOffset>
            </wp:positionV>
            <wp:extent cx="6157595" cy="6370955"/>
            <wp:effectExtent l="0" t="0" r="0" b="0"/>
            <wp:wrapSquare wrapText="bothSides"/>
            <wp:docPr id="253585355" name="Imagen 4"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585355" name="Imagen 4" descr="Tabla&#10;&#10;Descripción generada automáticamente"/>
                    <pic:cNvPicPr/>
                  </pic:nvPicPr>
                  <pic:blipFill rotWithShape="1">
                    <a:blip r:embed="rId25"/>
                    <a:srcRect l="4348" t="4301" r="4014" b="5625"/>
                    <a:stretch/>
                  </pic:blipFill>
                  <pic:spPr bwMode="auto">
                    <a:xfrm>
                      <a:off x="0" y="0"/>
                      <a:ext cx="6157595" cy="6370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DCEB59" w14:textId="44C640CF" w:rsidR="00BA0BFD" w:rsidRPr="006C4A3E" w:rsidRDefault="00D80C12" w:rsidP="00B3120F">
      <w:pPr>
        <w:pStyle w:val="MDPI31text"/>
        <w:ind w:left="0" w:firstLine="0"/>
        <w:jc w:val="center"/>
        <w:rPr>
          <w:rFonts w:ascii="Times New Roman" w:hAnsi="Times New Roman"/>
          <w:sz w:val="22"/>
          <w:szCs w:val="24"/>
        </w:rPr>
      </w:pPr>
      <w:r w:rsidRPr="006C4A3E">
        <w:rPr>
          <w:rFonts w:ascii="Times New Roman" w:hAnsi="Times New Roman"/>
          <w:b/>
          <w:bCs/>
          <w:sz w:val="22"/>
          <w:szCs w:val="24"/>
        </w:rPr>
        <w:t xml:space="preserve">S6 </w:t>
      </w:r>
      <w:r w:rsidR="00BA0BFD" w:rsidRPr="006C4A3E">
        <w:rPr>
          <w:rFonts w:ascii="Times New Roman" w:hAnsi="Times New Roman"/>
          <w:b/>
          <w:bCs/>
          <w:sz w:val="22"/>
          <w:szCs w:val="24"/>
        </w:rPr>
        <w:t>Figure</w:t>
      </w:r>
      <w:r w:rsidR="00BA0BFD" w:rsidRPr="006C4A3E">
        <w:rPr>
          <w:rFonts w:ascii="Times New Roman" w:hAnsi="Times New Roman"/>
          <w:sz w:val="22"/>
          <w:szCs w:val="24"/>
        </w:rPr>
        <w:t xml:space="preserve">. </w:t>
      </w:r>
      <w:r w:rsidR="00B3120F" w:rsidRPr="006C4A3E">
        <w:rPr>
          <w:rFonts w:ascii="Times New Roman" w:hAnsi="Times New Roman"/>
          <w:sz w:val="22"/>
          <w:szCs w:val="24"/>
        </w:rPr>
        <w:t>Subgroup analysis by study year on good knowledge of monkeypox.</w:t>
      </w:r>
    </w:p>
    <w:p w14:paraId="554C2EF7" w14:textId="77777777" w:rsidR="00BA0BFD" w:rsidRDefault="00BA0BFD" w:rsidP="000550A9">
      <w:pPr>
        <w:pStyle w:val="MDPI31text"/>
        <w:ind w:left="0" w:firstLine="0"/>
        <w:rPr>
          <w:rFonts w:ascii="Times New Roman" w:hAnsi="Times New Roman"/>
          <w:sz w:val="24"/>
          <w:szCs w:val="28"/>
        </w:rPr>
      </w:pPr>
    </w:p>
    <w:p w14:paraId="6A898895" w14:textId="77777777" w:rsidR="00BA0BFD" w:rsidRDefault="00BA0BFD" w:rsidP="000550A9">
      <w:pPr>
        <w:pStyle w:val="MDPI31text"/>
        <w:ind w:left="0" w:firstLine="0"/>
        <w:rPr>
          <w:rFonts w:ascii="Times New Roman" w:hAnsi="Times New Roman"/>
          <w:sz w:val="24"/>
          <w:szCs w:val="28"/>
        </w:rPr>
      </w:pPr>
    </w:p>
    <w:p w14:paraId="59022622" w14:textId="77777777" w:rsidR="00BA0BFD" w:rsidRDefault="00BA0BFD" w:rsidP="000550A9">
      <w:pPr>
        <w:pStyle w:val="MDPI31text"/>
        <w:ind w:left="0" w:firstLine="0"/>
        <w:rPr>
          <w:rFonts w:ascii="Times New Roman" w:hAnsi="Times New Roman"/>
          <w:sz w:val="24"/>
          <w:szCs w:val="28"/>
        </w:rPr>
      </w:pPr>
    </w:p>
    <w:p w14:paraId="25102E91" w14:textId="77777777" w:rsidR="00BA0BFD" w:rsidRDefault="00BA0BFD" w:rsidP="000550A9">
      <w:pPr>
        <w:pStyle w:val="MDPI31text"/>
        <w:ind w:left="0" w:firstLine="0"/>
        <w:rPr>
          <w:rFonts w:ascii="Times New Roman" w:hAnsi="Times New Roman"/>
          <w:sz w:val="24"/>
          <w:szCs w:val="28"/>
        </w:rPr>
      </w:pPr>
    </w:p>
    <w:p w14:paraId="742A9474" w14:textId="77777777" w:rsidR="00BA0BFD" w:rsidRDefault="00BA0BFD" w:rsidP="000550A9">
      <w:pPr>
        <w:pStyle w:val="MDPI31text"/>
        <w:ind w:left="0" w:firstLine="0"/>
        <w:rPr>
          <w:rFonts w:ascii="Times New Roman" w:hAnsi="Times New Roman"/>
          <w:sz w:val="24"/>
          <w:szCs w:val="28"/>
        </w:rPr>
      </w:pPr>
    </w:p>
    <w:p w14:paraId="062E6911" w14:textId="77777777" w:rsidR="00BA0BFD" w:rsidRDefault="00BA0BFD" w:rsidP="000550A9">
      <w:pPr>
        <w:pStyle w:val="MDPI31text"/>
        <w:ind w:left="0" w:firstLine="0"/>
        <w:rPr>
          <w:rFonts w:ascii="Times New Roman" w:hAnsi="Times New Roman"/>
          <w:sz w:val="24"/>
          <w:szCs w:val="28"/>
        </w:rPr>
      </w:pPr>
    </w:p>
    <w:p w14:paraId="2949BD78" w14:textId="77777777" w:rsidR="00BA0BFD" w:rsidRDefault="00BA0BFD" w:rsidP="000550A9">
      <w:pPr>
        <w:pStyle w:val="MDPI31text"/>
        <w:ind w:left="0" w:firstLine="0"/>
        <w:rPr>
          <w:rFonts w:ascii="Times New Roman" w:hAnsi="Times New Roman"/>
          <w:sz w:val="24"/>
          <w:szCs w:val="28"/>
        </w:rPr>
      </w:pPr>
    </w:p>
    <w:p w14:paraId="6543B22E" w14:textId="77777777" w:rsidR="00BA0BFD" w:rsidRDefault="00BA0BFD" w:rsidP="000550A9">
      <w:pPr>
        <w:pStyle w:val="MDPI31text"/>
        <w:ind w:left="0" w:firstLine="0"/>
        <w:rPr>
          <w:rFonts w:ascii="Times New Roman" w:hAnsi="Times New Roman"/>
          <w:sz w:val="24"/>
          <w:szCs w:val="28"/>
        </w:rPr>
      </w:pPr>
    </w:p>
    <w:p w14:paraId="2A82D5DA" w14:textId="77777777" w:rsidR="00BA0BFD" w:rsidRDefault="00BA0BFD" w:rsidP="000550A9">
      <w:pPr>
        <w:pStyle w:val="MDPI31text"/>
        <w:ind w:left="0" w:firstLine="0"/>
        <w:rPr>
          <w:rFonts w:ascii="Times New Roman" w:hAnsi="Times New Roman"/>
          <w:sz w:val="24"/>
          <w:szCs w:val="28"/>
        </w:rPr>
      </w:pPr>
    </w:p>
    <w:p w14:paraId="1E2A8623" w14:textId="77777777" w:rsidR="00BA0BFD" w:rsidRDefault="00BA0BFD" w:rsidP="000550A9">
      <w:pPr>
        <w:pStyle w:val="MDPI31text"/>
        <w:ind w:left="0" w:firstLine="0"/>
        <w:rPr>
          <w:rFonts w:ascii="Times New Roman" w:hAnsi="Times New Roman"/>
          <w:sz w:val="24"/>
          <w:szCs w:val="28"/>
        </w:rPr>
      </w:pPr>
    </w:p>
    <w:p w14:paraId="2885CD18" w14:textId="77777777" w:rsidR="00BA0BFD" w:rsidRDefault="00BA0BFD" w:rsidP="000550A9">
      <w:pPr>
        <w:pStyle w:val="MDPI31text"/>
        <w:ind w:left="0" w:firstLine="0"/>
        <w:rPr>
          <w:rFonts w:ascii="Times New Roman" w:hAnsi="Times New Roman"/>
          <w:sz w:val="24"/>
          <w:szCs w:val="28"/>
        </w:rPr>
      </w:pPr>
    </w:p>
    <w:p w14:paraId="6D68DEE1" w14:textId="77777777" w:rsidR="00BA0BFD" w:rsidRDefault="00BA0BFD" w:rsidP="000550A9">
      <w:pPr>
        <w:pStyle w:val="MDPI31text"/>
        <w:ind w:left="0" w:firstLine="0"/>
        <w:rPr>
          <w:rFonts w:ascii="Times New Roman" w:hAnsi="Times New Roman"/>
          <w:sz w:val="24"/>
          <w:szCs w:val="28"/>
        </w:rPr>
      </w:pPr>
    </w:p>
    <w:p w14:paraId="5AFAED10" w14:textId="77777777" w:rsidR="00BA0BFD" w:rsidRDefault="00BA0BFD" w:rsidP="000550A9">
      <w:pPr>
        <w:pStyle w:val="MDPI31text"/>
        <w:ind w:left="0" w:firstLine="0"/>
        <w:rPr>
          <w:rFonts w:ascii="Times New Roman" w:hAnsi="Times New Roman"/>
          <w:sz w:val="24"/>
          <w:szCs w:val="28"/>
        </w:rPr>
      </w:pPr>
    </w:p>
    <w:p w14:paraId="43FF67B5" w14:textId="77777777" w:rsidR="00797449" w:rsidRDefault="00797449" w:rsidP="000550A9">
      <w:pPr>
        <w:pStyle w:val="MDPI31text"/>
        <w:ind w:left="0" w:firstLine="0"/>
        <w:rPr>
          <w:rFonts w:ascii="Times New Roman" w:hAnsi="Times New Roman"/>
          <w:sz w:val="24"/>
          <w:szCs w:val="28"/>
        </w:rPr>
      </w:pPr>
    </w:p>
    <w:p w14:paraId="33688A6F" w14:textId="77777777" w:rsidR="00797449" w:rsidRDefault="00797449" w:rsidP="000550A9">
      <w:pPr>
        <w:pStyle w:val="MDPI31text"/>
        <w:ind w:left="0" w:firstLine="0"/>
        <w:rPr>
          <w:rFonts w:ascii="Times New Roman" w:hAnsi="Times New Roman"/>
          <w:sz w:val="24"/>
          <w:szCs w:val="28"/>
        </w:rPr>
      </w:pPr>
    </w:p>
    <w:p w14:paraId="55D9E66C" w14:textId="77777777" w:rsidR="00797449" w:rsidRDefault="00797449" w:rsidP="000550A9">
      <w:pPr>
        <w:pStyle w:val="MDPI31text"/>
        <w:ind w:left="0" w:firstLine="0"/>
        <w:rPr>
          <w:rFonts w:ascii="Times New Roman" w:hAnsi="Times New Roman"/>
          <w:sz w:val="24"/>
          <w:szCs w:val="28"/>
        </w:rPr>
      </w:pPr>
    </w:p>
    <w:p w14:paraId="2431ACF3" w14:textId="77777777" w:rsidR="00797449" w:rsidRDefault="00797449" w:rsidP="000550A9">
      <w:pPr>
        <w:pStyle w:val="MDPI31text"/>
        <w:ind w:left="0" w:firstLine="0"/>
        <w:rPr>
          <w:rFonts w:ascii="Times New Roman" w:hAnsi="Times New Roman"/>
          <w:sz w:val="24"/>
          <w:szCs w:val="28"/>
        </w:rPr>
      </w:pPr>
    </w:p>
    <w:p w14:paraId="31EF2B6A" w14:textId="77777777" w:rsidR="00797449" w:rsidRDefault="00797449" w:rsidP="000550A9">
      <w:pPr>
        <w:pStyle w:val="MDPI31text"/>
        <w:ind w:left="0" w:firstLine="0"/>
        <w:rPr>
          <w:rFonts w:ascii="Times New Roman" w:hAnsi="Times New Roman"/>
          <w:sz w:val="24"/>
          <w:szCs w:val="28"/>
        </w:rPr>
      </w:pPr>
    </w:p>
    <w:p w14:paraId="3606D057" w14:textId="5AE7051C" w:rsidR="00BA0BFD" w:rsidRDefault="00A379F0" w:rsidP="000550A9">
      <w:pPr>
        <w:pStyle w:val="MDPI31text"/>
        <w:ind w:left="0" w:firstLine="0"/>
        <w:rPr>
          <w:rFonts w:ascii="Times New Roman" w:hAnsi="Times New Roman"/>
          <w:sz w:val="24"/>
          <w:szCs w:val="28"/>
        </w:rPr>
      </w:pPr>
      <w:r>
        <w:rPr>
          <w:rFonts w:ascii="Times New Roman" w:hAnsi="Times New Roman"/>
          <w:noProof/>
          <w:snapToGrid/>
          <w:sz w:val="24"/>
          <w:szCs w:val="28"/>
        </w:rPr>
        <w:drawing>
          <wp:anchor distT="0" distB="0" distL="114300" distR="114300" simplePos="0" relativeHeight="251663360" behindDoc="0" locked="0" layoutInCell="1" allowOverlap="1" wp14:anchorId="7D6A96B0" wp14:editId="1FDB2C85">
            <wp:simplePos x="0" y="0"/>
            <wp:positionH relativeFrom="column">
              <wp:posOffset>-444500</wp:posOffset>
            </wp:positionH>
            <wp:positionV relativeFrom="paragraph">
              <wp:posOffset>0</wp:posOffset>
            </wp:positionV>
            <wp:extent cx="6376035" cy="3019425"/>
            <wp:effectExtent l="0" t="0" r="5715" b="9525"/>
            <wp:wrapSquare wrapText="bothSides"/>
            <wp:docPr id="478337205" name="Imagen 5" descr="Diagram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37205" name="Imagen 5" descr="Diagrama, Esquemático&#10;&#10;Descripción generada automáticamente"/>
                    <pic:cNvPicPr/>
                  </pic:nvPicPr>
                  <pic:blipFill>
                    <a:blip r:embed="rId26"/>
                    <a:stretch>
                      <a:fillRect/>
                    </a:stretch>
                  </pic:blipFill>
                  <pic:spPr>
                    <a:xfrm>
                      <a:off x="0" y="0"/>
                      <a:ext cx="6376035" cy="3019425"/>
                    </a:xfrm>
                    <a:prstGeom prst="rect">
                      <a:avLst/>
                    </a:prstGeom>
                  </pic:spPr>
                </pic:pic>
              </a:graphicData>
            </a:graphic>
            <wp14:sizeRelH relativeFrom="page">
              <wp14:pctWidth>0</wp14:pctWidth>
            </wp14:sizeRelH>
            <wp14:sizeRelV relativeFrom="page">
              <wp14:pctHeight>0</wp14:pctHeight>
            </wp14:sizeRelV>
          </wp:anchor>
        </w:drawing>
      </w:r>
    </w:p>
    <w:p w14:paraId="26331F48" w14:textId="3E0365CD" w:rsidR="00BA0BFD" w:rsidRPr="006C4A3E" w:rsidRDefault="00D80C12" w:rsidP="00BA0BFD">
      <w:pPr>
        <w:pStyle w:val="MDPI31text"/>
        <w:ind w:left="0" w:firstLine="0"/>
        <w:jc w:val="center"/>
        <w:rPr>
          <w:rFonts w:ascii="Times New Roman" w:hAnsi="Times New Roman"/>
          <w:sz w:val="22"/>
          <w:szCs w:val="24"/>
        </w:rPr>
      </w:pPr>
      <w:r w:rsidRPr="006C4A3E">
        <w:rPr>
          <w:rFonts w:ascii="Times New Roman" w:hAnsi="Times New Roman"/>
          <w:b/>
          <w:bCs/>
          <w:sz w:val="22"/>
          <w:szCs w:val="24"/>
        </w:rPr>
        <w:t xml:space="preserve">S7 </w:t>
      </w:r>
      <w:r w:rsidR="00BA0BFD" w:rsidRPr="006C4A3E">
        <w:rPr>
          <w:rFonts w:ascii="Times New Roman" w:hAnsi="Times New Roman"/>
          <w:b/>
          <w:bCs/>
          <w:sz w:val="22"/>
          <w:szCs w:val="24"/>
        </w:rPr>
        <w:t>Figure</w:t>
      </w:r>
      <w:r w:rsidR="00BA0BFD" w:rsidRPr="006C4A3E">
        <w:rPr>
          <w:rFonts w:ascii="Times New Roman" w:hAnsi="Times New Roman"/>
          <w:sz w:val="22"/>
          <w:szCs w:val="24"/>
        </w:rPr>
        <w:t xml:space="preserve">. Subgroup analysis by study </w:t>
      </w:r>
      <w:r w:rsidR="001E188B" w:rsidRPr="006C4A3E">
        <w:rPr>
          <w:rFonts w:ascii="Times New Roman" w:hAnsi="Times New Roman"/>
          <w:sz w:val="22"/>
          <w:szCs w:val="24"/>
        </w:rPr>
        <w:t>year</w:t>
      </w:r>
      <w:r w:rsidR="00BA0BFD" w:rsidRPr="006C4A3E">
        <w:rPr>
          <w:rFonts w:ascii="Times New Roman" w:hAnsi="Times New Roman"/>
          <w:sz w:val="22"/>
          <w:szCs w:val="24"/>
        </w:rPr>
        <w:t xml:space="preserve"> on positive attitude toward monkeypox.</w:t>
      </w:r>
    </w:p>
    <w:p w14:paraId="44AFC55B" w14:textId="77777777" w:rsidR="00BA0BFD" w:rsidRDefault="00BA0BFD" w:rsidP="000550A9">
      <w:pPr>
        <w:pStyle w:val="MDPI31text"/>
        <w:ind w:left="0" w:firstLine="0"/>
        <w:rPr>
          <w:rFonts w:ascii="Times New Roman" w:hAnsi="Times New Roman"/>
          <w:sz w:val="24"/>
          <w:szCs w:val="28"/>
        </w:rPr>
      </w:pPr>
    </w:p>
    <w:p w14:paraId="44491460" w14:textId="77777777" w:rsidR="00BA0BFD" w:rsidRDefault="00BA0BFD" w:rsidP="000550A9">
      <w:pPr>
        <w:pStyle w:val="MDPI31text"/>
        <w:ind w:left="0" w:firstLine="0"/>
        <w:rPr>
          <w:rFonts w:ascii="Times New Roman" w:hAnsi="Times New Roman"/>
          <w:sz w:val="24"/>
          <w:szCs w:val="28"/>
        </w:rPr>
      </w:pPr>
    </w:p>
    <w:p w14:paraId="7CEB94B5" w14:textId="77777777" w:rsidR="00BA0BFD" w:rsidRDefault="00BA0BFD" w:rsidP="000550A9">
      <w:pPr>
        <w:pStyle w:val="MDPI31text"/>
        <w:ind w:left="0" w:firstLine="0"/>
        <w:rPr>
          <w:rFonts w:ascii="Times New Roman" w:hAnsi="Times New Roman"/>
          <w:sz w:val="24"/>
          <w:szCs w:val="28"/>
        </w:rPr>
      </w:pPr>
    </w:p>
    <w:p w14:paraId="5B719620" w14:textId="77777777" w:rsidR="00BA0BFD" w:rsidRDefault="00BA0BFD" w:rsidP="000550A9">
      <w:pPr>
        <w:pStyle w:val="MDPI31text"/>
        <w:ind w:left="0" w:firstLine="0"/>
        <w:rPr>
          <w:rFonts w:ascii="Times New Roman" w:hAnsi="Times New Roman"/>
          <w:sz w:val="24"/>
          <w:szCs w:val="28"/>
        </w:rPr>
      </w:pPr>
    </w:p>
    <w:p w14:paraId="22A74A3F" w14:textId="77777777" w:rsidR="00BA0BFD" w:rsidRDefault="00BA0BFD" w:rsidP="000550A9">
      <w:pPr>
        <w:pStyle w:val="MDPI31text"/>
        <w:ind w:left="0" w:firstLine="0"/>
        <w:rPr>
          <w:rFonts w:ascii="Times New Roman" w:hAnsi="Times New Roman"/>
          <w:sz w:val="24"/>
          <w:szCs w:val="28"/>
        </w:rPr>
      </w:pPr>
    </w:p>
    <w:p w14:paraId="2C4483BF" w14:textId="77777777" w:rsidR="00BA0BFD" w:rsidRDefault="00BA0BFD" w:rsidP="000550A9">
      <w:pPr>
        <w:pStyle w:val="MDPI31text"/>
        <w:ind w:left="0" w:firstLine="0"/>
        <w:rPr>
          <w:rFonts w:ascii="Times New Roman" w:hAnsi="Times New Roman"/>
          <w:sz w:val="24"/>
          <w:szCs w:val="28"/>
        </w:rPr>
      </w:pPr>
    </w:p>
    <w:p w14:paraId="32C6E7F4" w14:textId="77777777" w:rsidR="00BA0BFD" w:rsidRDefault="00BA0BFD" w:rsidP="000550A9">
      <w:pPr>
        <w:pStyle w:val="MDPI31text"/>
        <w:ind w:left="0" w:firstLine="0"/>
        <w:rPr>
          <w:rFonts w:ascii="Times New Roman" w:hAnsi="Times New Roman"/>
          <w:sz w:val="24"/>
          <w:szCs w:val="28"/>
        </w:rPr>
      </w:pPr>
    </w:p>
    <w:p w14:paraId="5F407B7A" w14:textId="77777777" w:rsidR="00BA0BFD" w:rsidRDefault="00BA0BFD" w:rsidP="000550A9">
      <w:pPr>
        <w:pStyle w:val="MDPI31text"/>
        <w:ind w:left="0" w:firstLine="0"/>
        <w:rPr>
          <w:rFonts w:ascii="Times New Roman" w:hAnsi="Times New Roman"/>
          <w:sz w:val="24"/>
          <w:szCs w:val="28"/>
        </w:rPr>
      </w:pPr>
    </w:p>
    <w:p w14:paraId="41D1B60B" w14:textId="77777777" w:rsidR="00BA0BFD" w:rsidRDefault="00BA0BFD" w:rsidP="000550A9">
      <w:pPr>
        <w:pStyle w:val="MDPI31text"/>
        <w:ind w:left="0" w:firstLine="0"/>
        <w:rPr>
          <w:rFonts w:ascii="Times New Roman" w:hAnsi="Times New Roman"/>
          <w:sz w:val="24"/>
          <w:szCs w:val="28"/>
        </w:rPr>
      </w:pPr>
    </w:p>
    <w:p w14:paraId="0C686DD7" w14:textId="77777777" w:rsidR="00BA0BFD" w:rsidRDefault="00BA0BFD" w:rsidP="000550A9">
      <w:pPr>
        <w:pStyle w:val="MDPI31text"/>
        <w:ind w:left="0" w:firstLine="0"/>
        <w:rPr>
          <w:rFonts w:ascii="Times New Roman" w:hAnsi="Times New Roman"/>
          <w:sz w:val="24"/>
          <w:szCs w:val="28"/>
        </w:rPr>
      </w:pPr>
    </w:p>
    <w:p w14:paraId="504B689A" w14:textId="77777777" w:rsidR="00BA0BFD" w:rsidRDefault="00BA0BFD" w:rsidP="000550A9">
      <w:pPr>
        <w:pStyle w:val="MDPI31text"/>
        <w:ind w:left="0" w:firstLine="0"/>
        <w:rPr>
          <w:rFonts w:ascii="Times New Roman" w:hAnsi="Times New Roman"/>
          <w:sz w:val="24"/>
          <w:szCs w:val="28"/>
        </w:rPr>
      </w:pPr>
    </w:p>
    <w:p w14:paraId="19AAE57B" w14:textId="77777777" w:rsidR="00BA0BFD" w:rsidRDefault="00BA0BFD" w:rsidP="000550A9">
      <w:pPr>
        <w:pStyle w:val="MDPI31text"/>
        <w:ind w:left="0" w:firstLine="0"/>
        <w:rPr>
          <w:rFonts w:ascii="Times New Roman" w:hAnsi="Times New Roman"/>
          <w:sz w:val="24"/>
          <w:szCs w:val="28"/>
        </w:rPr>
      </w:pPr>
    </w:p>
    <w:p w14:paraId="441FC160" w14:textId="77777777" w:rsidR="00BA0BFD" w:rsidRDefault="00BA0BFD" w:rsidP="000550A9">
      <w:pPr>
        <w:pStyle w:val="MDPI31text"/>
        <w:ind w:left="0" w:firstLine="0"/>
        <w:rPr>
          <w:rFonts w:ascii="Times New Roman" w:hAnsi="Times New Roman"/>
          <w:sz w:val="24"/>
          <w:szCs w:val="28"/>
        </w:rPr>
      </w:pPr>
    </w:p>
    <w:p w14:paraId="69E82F9A" w14:textId="77777777" w:rsidR="00BA0BFD" w:rsidRDefault="00BA0BFD" w:rsidP="000550A9">
      <w:pPr>
        <w:pStyle w:val="MDPI31text"/>
        <w:ind w:left="0" w:firstLine="0"/>
        <w:rPr>
          <w:rFonts w:ascii="Times New Roman" w:hAnsi="Times New Roman"/>
          <w:sz w:val="24"/>
          <w:szCs w:val="28"/>
        </w:rPr>
      </w:pPr>
    </w:p>
    <w:p w14:paraId="72F80790" w14:textId="77777777" w:rsidR="00BA0BFD" w:rsidRDefault="00BA0BFD" w:rsidP="000550A9">
      <w:pPr>
        <w:pStyle w:val="MDPI31text"/>
        <w:ind w:left="0" w:firstLine="0"/>
        <w:rPr>
          <w:rFonts w:ascii="Times New Roman" w:hAnsi="Times New Roman"/>
          <w:sz w:val="24"/>
          <w:szCs w:val="28"/>
        </w:rPr>
      </w:pPr>
    </w:p>
    <w:p w14:paraId="3293E815" w14:textId="77777777" w:rsidR="00BA0BFD" w:rsidRDefault="00BA0BFD" w:rsidP="000550A9">
      <w:pPr>
        <w:pStyle w:val="MDPI31text"/>
        <w:ind w:left="0" w:firstLine="0"/>
        <w:rPr>
          <w:rFonts w:ascii="Times New Roman" w:hAnsi="Times New Roman"/>
          <w:sz w:val="24"/>
          <w:szCs w:val="28"/>
        </w:rPr>
      </w:pPr>
    </w:p>
    <w:p w14:paraId="4E06D13A" w14:textId="77777777" w:rsidR="00BA0BFD" w:rsidRDefault="00BA0BFD" w:rsidP="000550A9">
      <w:pPr>
        <w:pStyle w:val="MDPI31text"/>
        <w:ind w:left="0" w:firstLine="0"/>
        <w:rPr>
          <w:rFonts w:ascii="Times New Roman" w:hAnsi="Times New Roman"/>
          <w:sz w:val="24"/>
          <w:szCs w:val="28"/>
        </w:rPr>
      </w:pPr>
    </w:p>
    <w:p w14:paraId="5D8DC9AE" w14:textId="77777777" w:rsidR="00BA0BFD" w:rsidRDefault="00BA0BFD" w:rsidP="000550A9">
      <w:pPr>
        <w:pStyle w:val="MDPI31text"/>
        <w:ind w:left="0" w:firstLine="0"/>
        <w:rPr>
          <w:rFonts w:ascii="Times New Roman" w:hAnsi="Times New Roman"/>
          <w:sz w:val="24"/>
          <w:szCs w:val="28"/>
        </w:rPr>
      </w:pPr>
    </w:p>
    <w:p w14:paraId="597D1E5B" w14:textId="77777777" w:rsidR="00BA0BFD" w:rsidRDefault="00BA0BFD" w:rsidP="000550A9">
      <w:pPr>
        <w:pStyle w:val="MDPI31text"/>
        <w:ind w:left="0" w:firstLine="0"/>
        <w:rPr>
          <w:rFonts w:ascii="Times New Roman" w:hAnsi="Times New Roman"/>
          <w:sz w:val="24"/>
          <w:szCs w:val="28"/>
        </w:rPr>
      </w:pPr>
    </w:p>
    <w:p w14:paraId="6A6FF6FF" w14:textId="77777777" w:rsidR="00BA0BFD" w:rsidRDefault="00BA0BFD" w:rsidP="000550A9">
      <w:pPr>
        <w:pStyle w:val="MDPI31text"/>
        <w:ind w:left="0" w:firstLine="0"/>
        <w:rPr>
          <w:rFonts w:ascii="Times New Roman" w:hAnsi="Times New Roman"/>
          <w:sz w:val="24"/>
          <w:szCs w:val="28"/>
        </w:rPr>
      </w:pPr>
    </w:p>
    <w:p w14:paraId="5701FF70" w14:textId="77777777" w:rsidR="00BA0BFD" w:rsidRDefault="00BA0BFD" w:rsidP="000550A9">
      <w:pPr>
        <w:pStyle w:val="MDPI31text"/>
        <w:ind w:left="0" w:firstLine="0"/>
        <w:rPr>
          <w:rFonts w:ascii="Times New Roman" w:hAnsi="Times New Roman"/>
          <w:sz w:val="24"/>
          <w:szCs w:val="28"/>
        </w:rPr>
      </w:pPr>
    </w:p>
    <w:p w14:paraId="6723CDEF" w14:textId="77777777" w:rsidR="00BA0BFD" w:rsidRDefault="00BA0BFD" w:rsidP="000550A9">
      <w:pPr>
        <w:pStyle w:val="MDPI31text"/>
        <w:ind w:left="0" w:firstLine="0"/>
        <w:rPr>
          <w:rFonts w:ascii="Times New Roman" w:hAnsi="Times New Roman"/>
          <w:sz w:val="24"/>
          <w:szCs w:val="28"/>
        </w:rPr>
      </w:pPr>
    </w:p>
    <w:p w14:paraId="16985EFB" w14:textId="77777777" w:rsidR="00BA0BFD" w:rsidRDefault="00BA0BFD" w:rsidP="000550A9">
      <w:pPr>
        <w:pStyle w:val="MDPI31text"/>
        <w:ind w:left="0" w:firstLine="0"/>
        <w:rPr>
          <w:rFonts w:ascii="Times New Roman" w:hAnsi="Times New Roman"/>
          <w:sz w:val="24"/>
          <w:szCs w:val="28"/>
        </w:rPr>
      </w:pPr>
    </w:p>
    <w:p w14:paraId="52775601" w14:textId="77777777" w:rsidR="00BA0BFD" w:rsidRDefault="00BA0BFD" w:rsidP="000550A9">
      <w:pPr>
        <w:pStyle w:val="MDPI31text"/>
        <w:ind w:left="0" w:firstLine="0"/>
        <w:rPr>
          <w:rFonts w:ascii="Times New Roman" w:hAnsi="Times New Roman"/>
          <w:sz w:val="24"/>
          <w:szCs w:val="28"/>
        </w:rPr>
      </w:pPr>
    </w:p>
    <w:p w14:paraId="3A41A7BC" w14:textId="77777777" w:rsidR="001A5520" w:rsidRDefault="001A5520" w:rsidP="000550A9">
      <w:pPr>
        <w:pStyle w:val="MDPI31text"/>
        <w:ind w:left="0" w:firstLine="0"/>
        <w:rPr>
          <w:rFonts w:ascii="Times New Roman" w:hAnsi="Times New Roman"/>
          <w:sz w:val="24"/>
          <w:szCs w:val="28"/>
        </w:rPr>
      </w:pPr>
    </w:p>
    <w:p w14:paraId="00D2E598" w14:textId="77777777" w:rsidR="00994880" w:rsidRDefault="00994880" w:rsidP="000550A9">
      <w:pPr>
        <w:pStyle w:val="MDPI31text"/>
        <w:ind w:left="0" w:firstLine="0"/>
        <w:rPr>
          <w:rFonts w:ascii="Times New Roman" w:hAnsi="Times New Roman"/>
          <w:sz w:val="24"/>
          <w:szCs w:val="28"/>
        </w:rPr>
      </w:pPr>
    </w:p>
    <w:p w14:paraId="6B8C02D7" w14:textId="77777777" w:rsidR="00994880" w:rsidRDefault="00994880" w:rsidP="000550A9">
      <w:pPr>
        <w:pStyle w:val="MDPI31text"/>
        <w:ind w:left="0" w:firstLine="0"/>
        <w:rPr>
          <w:rFonts w:ascii="Times New Roman" w:hAnsi="Times New Roman"/>
          <w:sz w:val="24"/>
          <w:szCs w:val="28"/>
        </w:rPr>
      </w:pPr>
    </w:p>
    <w:p w14:paraId="7A04977C" w14:textId="77777777" w:rsidR="00994880" w:rsidRDefault="00994880" w:rsidP="000550A9">
      <w:pPr>
        <w:pStyle w:val="MDPI31text"/>
        <w:ind w:left="0" w:firstLine="0"/>
        <w:rPr>
          <w:rFonts w:ascii="Times New Roman" w:hAnsi="Times New Roman"/>
          <w:sz w:val="24"/>
          <w:szCs w:val="28"/>
        </w:rPr>
      </w:pPr>
    </w:p>
    <w:p w14:paraId="53448003" w14:textId="77777777" w:rsidR="00994880" w:rsidRPr="00CD2F15" w:rsidRDefault="00994880" w:rsidP="00994880">
      <w:pPr>
        <w:pStyle w:val="MDPI21heading1"/>
        <w:spacing w:line="240" w:lineRule="auto"/>
        <w:ind w:left="0"/>
        <w:jc w:val="both"/>
        <w:rPr>
          <w:rFonts w:ascii="Times New Roman" w:hAnsi="Times New Roman"/>
          <w:sz w:val="24"/>
          <w:szCs w:val="24"/>
        </w:rPr>
      </w:pPr>
      <w:r w:rsidRPr="00CD2F15">
        <w:rPr>
          <w:rFonts w:ascii="Times New Roman" w:hAnsi="Times New Roman"/>
          <w:sz w:val="24"/>
          <w:szCs w:val="24"/>
        </w:rPr>
        <w:lastRenderedPageBreak/>
        <w:t>References</w:t>
      </w:r>
    </w:p>
    <w:p w14:paraId="7BDD4679" w14:textId="77777777" w:rsidR="00CD2F15" w:rsidRDefault="00994880" w:rsidP="00CD2F15">
      <w:pPr>
        <w:pStyle w:val="Bibliografa"/>
      </w:pPr>
      <w:r>
        <w:fldChar w:fldCharType="begin"/>
      </w:r>
      <w:r w:rsidR="00CD2F15" w:rsidRPr="00CD2F15">
        <w:instrText xml:space="preserve"> ADDIN ZOTERO_BIBL {"uncited":[],"omitted":[],"custom":[]} CSL_BIBLIOGRAPHY </w:instrText>
      </w:r>
      <w:r>
        <w:fldChar w:fldCharType="separate"/>
      </w:r>
      <w:r w:rsidR="00CD2F15" w:rsidRPr="00CD2F15">
        <w:t xml:space="preserve">1. </w:t>
      </w:r>
      <w:r w:rsidR="00CD2F15" w:rsidRPr="00CD2F15">
        <w:tab/>
        <w:t xml:space="preserve">Hasan, M.; Hossain, M.A.; Chowdhury, S.; Das, P.; Jahan, I.; Rahman, M.F.; Haque, M.M.A.; Rashid, M.U.; Khan, M.A.S.; Hossian, M.; et al. </w:t>
      </w:r>
      <w:r w:rsidR="00CD2F15">
        <w:t xml:space="preserve">Human Monkeypox and Preparedness of Bangladesh: A Knowledge and Attitude Assessment Study among Medical Doctors. </w:t>
      </w:r>
      <w:r w:rsidR="00CD2F15">
        <w:rPr>
          <w:i/>
          <w:iCs/>
        </w:rPr>
        <w:t>J. Infect. Public Health</w:t>
      </w:r>
      <w:r w:rsidR="00CD2F15">
        <w:t xml:space="preserve"> </w:t>
      </w:r>
      <w:r w:rsidR="00CD2F15">
        <w:rPr>
          <w:b/>
          <w:bCs/>
        </w:rPr>
        <w:t>2023</w:t>
      </w:r>
      <w:r w:rsidR="00CD2F15">
        <w:t xml:space="preserve">, </w:t>
      </w:r>
      <w:r w:rsidR="00CD2F15">
        <w:rPr>
          <w:i/>
          <w:iCs/>
        </w:rPr>
        <w:t>16</w:t>
      </w:r>
      <w:r w:rsidR="00CD2F15">
        <w:t>, 90–95, doi:10.1016/j.jiph.2022.11.032.</w:t>
      </w:r>
    </w:p>
    <w:p w14:paraId="72E59C4C" w14:textId="77777777" w:rsidR="00CD2F15" w:rsidRDefault="00CD2F15" w:rsidP="00CD2F15">
      <w:pPr>
        <w:pStyle w:val="Bibliografa"/>
      </w:pPr>
      <w:r>
        <w:t xml:space="preserve">2. </w:t>
      </w:r>
      <w:r>
        <w:tab/>
        <w:t xml:space="preserve">Swed, S.; Bohsas, H.; Patwary, M.M.; Alibrahim, H.; Rakab, A.; Nashwan, A.J.; Hafez, W.; Hassan, N.A.I.; Shoib, S.; Elsayed, M.; et al. Knowledge of Mpox and Its Determinants among the Healthcare Personnel in Arabic Regions: A Multi-Country Cross-Sectional Study. </w:t>
      </w:r>
      <w:r>
        <w:rPr>
          <w:i/>
          <w:iCs/>
        </w:rPr>
        <w:t>New Microbes New Infect.</w:t>
      </w:r>
      <w:r>
        <w:t xml:space="preserve"> </w:t>
      </w:r>
      <w:r>
        <w:rPr>
          <w:b/>
          <w:bCs/>
        </w:rPr>
        <w:t>2023</w:t>
      </w:r>
      <w:r>
        <w:t xml:space="preserve">, </w:t>
      </w:r>
      <w:r>
        <w:rPr>
          <w:i/>
          <w:iCs/>
        </w:rPr>
        <w:t>54</w:t>
      </w:r>
      <w:r>
        <w:t>, 101146, doi:10.1016/j.nmni.2023.101146.</w:t>
      </w:r>
    </w:p>
    <w:p w14:paraId="6DA9F1B0" w14:textId="77777777" w:rsidR="00CD2F15" w:rsidRDefault="00CD2F15" w:rsidP="00CD2F15">
      <w:pPr>
        <w:pStyle w:val="Bibliografa"/>
      </w:pPr>
      <w:r>
        <w:t xml:space="preserve">3. </w:t>
      </w:r>
      <w:r>
        <w:tab/>
        <w:t xml:space="preserve">Dong, C.; Yu, Z.; Zhao, Y.; Ma, X. Knowledge and Vaccination Intention of Monkeypox in China’s General Population: A Cross-Sectional Online Survey. </w:t>
      </w:r>
      <w:r>
        <w:rPr>
          <w:i/>
          <w:iCs/>
        </w:rPr>
        <w:t>Travel Med. Infect. Dis.</w:t>
      </w:r>
      <w:r>
        <w:t xml:space="preserve"> </w:t>
      </w:r>
      <w:r>
        <w:rPr>
          <w:b/>
          <w:bCs/>
        </w:rPr>
        <w:t>2023</w:t>
      </w:r>
      <w:r>
        <w:t xml:space="preserve">, </w:t>
      </w:r>
      <w:r>
        <w:rPr>
          <w:i/>
          <w:iCs/>
        </w:rPr>
        <w:t>52</w:t>
      </w:r>
      <w:r>
        <w:t>, 102533, doi:10.1016/j.tmaid.2022.102533.</w:t>
      </w:r>
    </w:p>
    <w:p w14:paraId="2BA9E44D" w14:textId="77777777" w:rsidR="00CD2F15" w:rsidRDefault="00CD2F15" w:rsidP="00CD2F15">
      <w:pPr>
        <w:pStyle w:val="Bibliografa"/>
      </w:pPr>
      <w:r>
        <w:t xml:space="preserve">4. </w:t>
      </w:r>
      <w:r>
        <w:tab/>
        <w:t xml:space="preserve">Swed, S.; Bohsas, H.; Alibrahim, H.; Rakab, A.; Hafez, W.; Sawaf, B.; Amir, R.M.; Motawei, A.S.; Aljabali, A.; Shoib, S.; et al. Monkeypox Post-COVID-19: Knowledge, Worrying, and Vaccine Adoption in the Arabic General Population. </w:t>
      </w:r>
      <w:r>
        <w:rPr>
          <w:i/>
          <w:iCs/>
        </w:rPr>
        <w:t>Vaccines</w:t>
      </w:r>
      <w:r>
        <w:t xml:space="preserve"> </w:t>
      </w:r>
      <w:r>
        <w:rPr>
          <w:b/>
          <w:bCs/>
        </w:rPr>
        <w:t>2023</w:t>
      </w:r>
      <w:r>
        <w:t xml:space="preserve">, </w:t>
      </w:r>
      <w:r>
        <w:rPr>
          <w:i/>
          <w:iCs/>
        </w:rPr>
        <w:t>11</w:t>
      </w:r>
      <w:r>
        <w:t>, 759, doi:10.3390/vaccines11040759.</w:t>
      </w:r>
    </w:p>
    <w:p w14:paraId="2FA81F16" w14:textId="77777777" w:rsidR="00CD2F15" w:rsidRDefault="00CD2F15" w:rsidP="00CD2F15">
      <w:pPr>
        <w:pStyle w:val="Bibliografa"/>
      </w:pPr>
      <w:r>
        <w:t xml:space="preserve">5. </w:t>
      </w:r>
      <w:r>
        <w:tab/>
        <w:t xml:space="preserve">Peng, X.; Wang, B.; Li, Y.; Chen, Y.; Wu, X.; Fu, L.; Sun, Y.; Liu, Q.; Lin, Y.-F.; Liang, B.; et al. Perceptions and Worries about Monkeypox, and Attitudes towards Monkeypox Vaccination among Medical Workers in China: A Cross-Sectional Survey. </w:t>
      </w:r>
      <w:r>
        <w:rPr>
          <w:i/>
          <w:iCs/>
        </w:rPr>
        <w:t>J. Infect. Public Health</w:t>
      </w:r>
      <w:r>
        <w:t xml:space="preserve"> </w:t>
      </w:r>
      <w:r>
        <w:rPr>
          <w:b/>
          <w:bCs/>
        </w:rPr>
        <w:t>2023</w:t>
      </w:r>
      <w:r>
        <w:t xml:space="preserve">, </w:t>
      </w:r>
      <w:r>
        <w:rPr>
          <w:i/>
          <w:iCs/>
        </w:rPr>
        <w:t>16</w:t>
      </w:r>
      <w:r>
        <w:t>, 346–353, doi:10.1016/j.jiph.2023.01.010.</w:t>
      </w:r>
    </w:p>
    <w:p w14:paraId="5FBD62E9" w14:textId="77777777" w:rsidR="00CD2F15" w:rsidRDefault="00CD2F15" w:rsidP="00CD2F15">
      <w:pPr>
        <w:pStyle w:val="Bibliografa"/>
      </w:pPr>
      <w:r>
        <w:t xml:space="preserve">6. </w:t>
      </w:r>
      <w:r>
        <w:tab/>
        <w:t xml:space="preserve">Berdida, D.J.E. Population-Based Survey of Human Monkeypox Disease Knowledge in the Philippines: An Online Cross-Sectional Study. </w:t>
      </w:r>
      <w:r>
        <w:rPr>
          <w:i/>
          <w:iCs/>
        </w:rPr>
        <w:t>J. Adv. Nurs.</w:t>
      </w:r>
      <w:r>
        <w:t xml:space="preserve"> </w:t>
      </w:r>
      <w:r>
        <w:rPr>
          <w:b/>
          <w:bCs/>
        </w:rPr>
        <w:t>2023</w:t>
      </w:r>
      <w:r>
        <w:t xml:space="preserve">, </w:t>
      </w:r>
      <w:r>
        <w:rPr>
          <w:i/>
          <w:iCs/>
        </w:rPr>
        <w:t>79</w:t>
      </w:r>
      <w:r>
        <w:t>, 2684–2694, doi:10.1111/jan.15635.</w:t>
      </w:r>
    </w:p>
    <w:p w14:paraId="7F886F44" w14:textId="77777777" w:rsidR="00CD2F15" w:rsidRDefault="00CD2F15" w:rsidP="00CD2F15">
      <w:pPr>
        <w:pStyle w:val="Bibliografa"/>
      </w:pPr>
      <w:r>
        <w:t xml:space="preserve">7. </w:t>
      </w:r>
      <w:r>
        <w:tab/>
        <w:t xml:space="preserve">Elkhwesky, Z.; Derhab, N.; Elkhwesky, F.F.Y.; Abuelhassan, A.E.; Hassan, H. Hotel Employees’ Knowledge of Monkeypox’s Source, Symptoms, Transmission, Prevention, and Treatment in Egypt. </w:t>
      </w:r>
      <w:r>
        <w:rPr>
          <w:i/>
          <w:iCs/>
        </w:rPr>
        <w:t>Travel Med. Infect. Dis.</w:t>
      </w:r>
      <w:r>
        <w:t xml:space="preserve"> </w:t>
      </w:r>
      <w:r>
        <w:rPr>
          <w:b/>
          <w:bCs/>
        </w:rPr>
        <w:t>2023</w:t>
      </w:r>
      <w:r>
        <w:t xml:space="preserve">, </w:t>
      </w:r>
      <w:r>
        <w:rPr>
          <w:i/>
          <w:iCs/>
        </w:rPr>
        <w:t>53</w:t>
      </w:r>
      <w:r>
        <w:t>, 102574, doi:10.1016/j.tmaid.2023.102574.</w:t>
      </w:r>
    </w:p>
    <w:p w14:paraId="30216FC0" w14:textId="77777777" w:rsidR="00CD2F15" w:rsidRDefault="00CD2F15" w:rsidP="00CD2F15">
      <w:pPr>
        <w:pStyle w:val="Bibliografa"/>
      </w:pPr>
      <w:r>
        <w:t xml:space="preserve">8. </w:t>
      </w:r>
      <w:r>
        <w:tab/>
        <w:t xml:space="preserve">Youssef, D.; Abboud, E.; Kawtharani, M.; Zheim, Z.; Abou Arrage, N.; Youssef, J. When a Neglected Tropical Zoonotic Disease Emerges in Non-Endemic Countries: Need to Proactively Fill the Unveiled Knowledge Gaps towards Human Monkeypox among the Lebanese Population. </w:t>
      </w:r>
      <w:r>
        <w:rPr>
          <w:i/>
          <w:iCs/>
        </w:rPr>
        <w:t>J. Pharm. Policy Pract.</w:t>
      </w:r>
      <w:r>
        <w:t xml:space="preserve"> </w:t>
      </w:r>
      <w:r>
        <w:rPr>
          <w:b/>
          <w:bCs/>
        </w:rPr>
        <w:t>2023</w:t>
      </w:r>
      <w:r>
        <w:t xml:space="preserve">, </w:t>
      </w:r>
      <w:r>
        <w:rPr>
          <w:i/>
          <w:iCs/>
        </w:rPr>
        <w:t>16</w:t>
      </w:r>
      <w:r>
        <w:t>, 39, doi:10.1186/s40545-023-00544-1.</w:t>
      </w:r>
    </w:p>
    <w:p w14:paraId="0DC8EFE5" w14:textId="77777777" w:rsidR="00CD2F15" w:rsidRDefault="00CD2F15" w:rsidP="00CD2F15">
      <w:pPr>
        <w:pStyle w:val="Bibliografa"/>
      </w:pPr>
      <w:r>
        <w:t xml:space="preserve">9. </w:t>
      </w:r>
      <w:r>
        <w:tab/>
        <w:t xml:space="preserve">Malaeb, D.; Sallam, M.; Salim, N.A.; Dabbous, M.; Younes, S.; Nasrallah, Y.; Iskandar, K.; Matta, M.; Obeid, S.; Hallit, S.; et al. Knowledge, Attitude and Conspiracy Beliefs of Healthcare Workers in Lebanon towards Monkeypox. </w:t>
      </w:r>
      <w:r>
        <w:rPr>
          <w:i/>
          <w:iCs/>
        </w:rPr>
        <w:t>Trop. Med. Infect. Dis.</w:t>
      </w:r>
      <w:r>
        <w:t xml:space="preserve"> </w:t>
      </w:r>
      <w:r>
        <w:rPr>
          <w:b/>
          <w:bCs/>
        </w:rPr>
        <w:t>2023</w:t>
      </w:r>
      <w:r>
        <w:t xml:space="preserve">, </w:t>
      </w:r>
      <w:r>
        <w:rPr>
          <w:i/>
          <w:iCs/>
        </w:rPr>
        <w:t>8</w:t>
      </w:r>
      <w:r>
        <w:t>, 81, doi:10.3390/tropicalmed8020081.</w:t>
      </w:r>
    </w:p>
    <w:p w14:paraId="70A7E12E" w14:textId="77777777" w:rsidR="00CD2F15" w:rsidRDefault="00CD2F15" w:rsidP="00CD2F15">
      <w:pPr>
        <w:pStyle w:val="Bibliografa"/>
      </w:pPr>
      <w:r>
        <w:t xml:space="preserve">10. </w:t>
      </w:r>
      <w:r>
        <w:tab/>
        <w:t xml:space="preserve">Chen, Y.; Li, Y.; Fu, L.; Zhou, X.; Wu, X.; Wang, B.; Peng, X.; Sun, Y.; Liu, Q.; Lin, Y.-F.; et al. Knowledge of Human Mpox (Monkeypox) and Attitude towards Mpox Vaccination among Male Sex Workers in China: A Cross-Sectional Study. </w:t>
      </w:r>
      <w:r>
        <w:rPr>
          <w:i/>
          <w:iCs/>
        </w:rPr>
        <w:t>Vaccines</w:t>
      </w:r>
      <w:r>
        <w:t xml:space="preserve"> </w:t>
      </w:r>
      <w:r>
        <w:rPr>
          <w:b/>
          <w:bCs/>
        </w:rPr>
        <w:t>2023</w:t>
      </w:r>
      <w:r>
        <w:t xml:space="preserve">, </w:t>
      </w:r>
      <w:r>
        <w:rPr>
          <w:i/>
          <w:iCs/>
        </w:rPr>
        <w:t>11</w:t>
      </w:r>
      <w:r>
        <w:t>, 285, doi:10.3390/vaccines11020285.</w:t>
      </w:r>
    </w:p>
    <w:p w14:paraId="73769C5E" w14:textId="77777777" w:rsidR="00CD2F15" w:rsidRDefault="00CD2F15" w:rsidP="00CD2F15">
      <w:pPr>
        <w:pStyle w:val="Bibliografa"/>
      </w:pPr>
      <w:r>
        <w:t xml:space="preserve">11. </w:t>
      </w:r>
      <w:r>
        <w:tab/>
        <w:t xml:space="preserve">Lounis, M.; Bencherit, D.; Abdelhadi, S. Knowledge and Awareness of Algerian Healthcare Workers about Human Monkeypox and Their Attitude toward Its Vaccination: An Online Cross-Sectional Survey. </w:t>
      </w:r>
      <w:r>
        <w:rPr>
          <w:i/>
          <w:iCs/>
        </w:rPr>
        <w:t>Vacunas</w:t>
      </w:r>
      <w:r>
        <w:t xml:space="preserve"> </w:t>
      </w:r>
      <w:r>
        <w:rPr>
          <w:b/>
          <w:bCs/>
        </w:rPr>
        <w:t>2023</w:t>
      </w:r>
      <w:r>
        <w:t xml:space="preserve">, </w:t>
      </w:r>
      <w:r>
        <w:rPr>
          <w:i/>
          <w:iCs/>
        </w:rPr>
        <w:t>24</w:t>
      </w:r>
      <w:r>
        <w:t>, 122–127, doi:10.1016/j.vacun.2022.11.003.</w:t>
      </w:r>
    </w:p>
    <w:p w14:paraId="2859A954" w14:textId="77777777" w:rsidR="00CD2F15" w:rsidRPr="008F4C7C" w:rsidRDefault="00CD2F15" w:rsidP="00CD2F15">
      <w:pPr>
        <w:pStyle w:val="Bibliografa"/>
        <w:rPr>
          <w:lang w:val="es-PE"/>
        </w:rPr>
      </w:pPr>
      <w:r>
        <w:t xml:space="preserve">12. </w:t>
      </w:r>
      <w:r>
        <w:tab/>
        <w:t xml:space="preserve">Ahmed, S.K.; Abdulqadir, S.O.; Omar, R.M.; Abdullah, A.J.; Rahman, H.A.; Hussein, S.H.; Mohammed Amin, H.I.; Chandran, D.; Sharma, A.K.; Dhama, K.; et al. Knowledge, Attitude and Worry in the Kurdistan Region of Iraq during the Mpox (Monkeypox) Outbreak in 2022: An Online Cross-Sectional Study. </w:t>
      </w:r>
      <w:r w:rsidRPr="008F4C7C">
        <w:rPr>
          <w:i/>
          <w:iCs/>
          <w:lang w:val="es-PE"/>
        </w:rPr>
        <w:t>Vaccines</w:t>
      </w:r>
      <w:r w:rsidRPr="008F4C7C">
        <w:rPr>
          <w:lang w:val="es-PE"/>
        </w:rPr>
        <w:t xml:space="preserve"> </w:t>
      </w:r>
      <w:r w:rsidRPr="008F4C7C">
        <w:rPr>
          <w:b/>
          <w:bCs/>
          <w:lang w:val="es-PE"/>
        </w:rPr>
        <w:t>2023</w:t>
      </w:r>
      <w:r w:rsidRPr="008F4C7C">
        <w:rPr>
          <w:lang w:val="es-PE"/>
        </w:rPr>
        <w:t xml:space="preserve">, </w:t>
      </w:r>
      <w:r w:rsidRPr="008F4C7C">
        <w:rPr>
          <w:i/>
          <w:iCs/>
          <w:lang w:val="es-PE"/>
        </w:rPr>
        <w:t>11</w:t>
      </w:r>
      <w:r w:rsidRPr="008F4C7C">
        <w:rPr>
          <w:lang w:val="es-PE"/>
        </w:rPr>
        <w:t>, 610, doi:10.3390/vaccines11030610.</w:t>
      </w:r>
    </w:p>
    <w:p w14:paraId="12C1B3A4" w14:textId="77777777" w:rsidR="00CD2F15" w:rsidRDefault="00CD2F15" w:rsidP="00CD2F15">
      <w:pPr>
        <w:pStyle w:val="Bibliografa"/>
      </w:pPr>
      <w:r w:rsidRPr="008F4C7C">
        <w:rPr>
          <w:lang w:val="es-PE"/>
        </w:rPr>
        <w:t xml:space="preserve">13. </w:t>
      </w:r>
      <w:r w:rsidRPr="008F4C7C">
        <w:rPr>
          <w:lang w:val="es-PE"/>
        </w:rPr>
        <w:tab/>
        <w:t xml:space="preserve">Das, S.K.; Bhattarai, A.; Kc, S.; Shah, S.; Paudel, K.; Timsina, S.; Tharu, S.; Rawal, L.; Leon-Figueroa, D.A.; Rodriguez-Morales, A.J.; et al. </w:t>
      </w:r>
      <w:r>
        <w:t xml:space="preserve">Socio-Demographic Determinants of the Knowledge and Attitude of Nepalese Healthcare Workers toward Human Monkeypox: A Cross-Sectional Study. </w:t>
      </w:r>
      <w:r>
        <w:rPr>
          <w:i/>
          <w:iCs/>
        </w:rPr>
        <w:t>Front. Public Health</w:t>
      </w:r>
      <w:r>
        <w:t xml:space="preserve"> </w:t>
      </w:r>
      <w:r>
        <w:rPr>
          <w:b/>
          <w:bCs/>
        </w:rPr>
        <w:t>2023</w:t>
      </w:r>
      <w:r>
        <w:t xml:space="preserve">, </w:t>
      </w:r>
      <w:r>
        <w:rPr>
          <w:i/>
          <w:iCs/>
        </w:rPr>
        <w:t>11</w:t>
      </w:r>
      <w:r>
        <w:t>, 1161234, doi:10.3389/fpubh.2023.1161234.</w:t>
      </w:r>
    </w:p>
    <w:p w14:paraId="2C154FEE" w14:textId="77777777" w:rsidR="00CD2F15" w:rsidRDefault="00CD2F15" w:rsidP="00CD2F15">
      <w:pPr>
        <w:pStyle w:val="Bibliografa"/>
      </w:pPr>
      <w:r>
        <w:t xml:space="preserve">14. </w:t>
      </w:r>
      <w:r>
        <w:tab/>
        <w:t xml:space="preserve">Al-Mustapha, A.I.; Ogundijo, O.A.; Sikiru, N.A.; Kolawole, B.; Oyewo, M.; El-Nadi, H.; Mustapha, A.M.; Adebudo, L.I.; Odukoya, A.; Asiegbu, E.C.; et al. A Cross-Sectional Survey </w:t>
      </w:r>
      <w:r>
        <w:lastRenderedPageBreak/>
        <w:t xml:space="preserve">of Public Knowledge of the Monkeypox Disease in Nigeria. </w:t>
      </w:r>
      <w:r>
        <w:rPr>
          <w:i/>
          <w:iCs/>
        </w:rPr>
        <w:t>BMC Public Health</w:t>
      </w:r>
      <w:r>
        <w:t xml:space="preserve"> </w:t>
      </w:r>
      <w:r>
        <w:rPr>
          <w:b/>
          <w:bCs/>
        </w:rPr>
        <w:t>2023</w:t>
      </w:r>
      <w:r>
        <w:t xml:space="preserve">, </w:t>
      </w:r>
      <w:r>
        <w:rPr>
          <w:i/>
          <w:iCs/>
        </w:rPr>
        <w:t>23</w:t>
      </w:r>
      <w:r>
        <w:t>, 591, doi:10.1186/s12889-023-15398-0.</w:t>
      </w:r>
    </w:p>
    <w:p w14:paraId="48A81D86" w14:textId="77777777" w:rsidR="00CD2F15" w:rsidRDefault="00CD2F15" w:rsidP="00CD2F15">
      <w:pPr>
        <w:pStyle w:val="Bibliografa"/>
      </w:pPr>
      <w:r>
        <w:t xml:space="preserve">15. </w:t>
      </w:r>
      <w:r>
        <w:tab/>
        <w:t xml:space="preserve">Ren, F.; Liu, J.; Miao, J.; Xu, Y.; Zhang, R.; Fan, J.; Lin, W. Public Awareness, Specific Knowledge, and Worry about Mpox (Monkeypox): A Preliminary Community-Based Study in Shenzhen, China. </w:t>
      </w:r>
      <w:r>
        <w:rPr>
          <w:i/>
          <w:iCs/>
        </w:rPr>
        <w:t>Front. Public Health</w:t>
      </w:r>
      <w:r>
        <w:t xml:space="preserve"> </w:t>
      </w:r>
      <w:r>
        <w:rPr>
          <w:b/>
          <w:bCs/>
        </w:rPr>
        <w:t>2023</w:t>
      </w:r>
      <w:r>
        <w:t xml:space="preserve">, </w:t>
      </w:r>
      <w:r>
        <w:rPr>
          <w:i/>
          <w:iCs/>
        </w:rPr>
        <w:t>11</w:t>
      </w:r>
      <w:r>
        <w:t>, 1077564, doi:10.3389/fpubh.2023.1077564.</w:t>
      </w:r>
    </w:p>
    <w:p w14:paraId="74818321" w14:textId="77777777" w:rsidR="00CD2F15" w:rsidRDefault="00CD2F15" w:rsidP="00CD2F15">
      <w:pPr>
        <w:pStyle w:val="Bibliografa"/>
      </w:pPr>
      <w:r>
        <w:t xml:space="preserve">16. </w:t>
      </w:r>
      <w:r>
        <w:tab/>
        <w:t xml:space="preserve">Alrasheedy, A.A.; Aldawsari, A.H.; Alqasir, M.I.; Alsawyan, O.A.; Alalwan, O.A.; Alwaker, S.A.; Almutairi, M.S.; Godman, B. Knowledge of Community Pharmacists in Saudi Arabia Regarding Human Monkeypox, Its Management, Prevention, and Vaccination: Findings and Implications. </w:t>
      </w:r>
      <w:r>
        <w:rPr>
          <w:i/>
          <w:iCs/>
        </w:rPr>
        <w:t>Vaccines</w:t>
      </w:r>
      <w:r>
        <w:t xml:space="preserve"> </w:t>
      </w:r>
      <w:r>
        <w:rPr>
          <w:b/>
          <w:bCs/>
        </w:rPr>
        <w:t>2023</w:t>
      </w:r>
      <w:r>
        <w:t xml:space="preserve">, </w:t>
      </w:r>
      <w:r>
        <w:rPr>
          <w:i/>
          <w:iCs/>
        </w:rPr>
        <w:t>11</w:t>
      </w:r>
      <w:r>
        <w:t>, 878, doi:10.3390/vaccines11040878.</w:t>
      </w:r>
    </w:p>
    <w:p w14:paraId="279086F2" w14:textId="77777777" w:rsidR="00CD2F15" w:rsidRDefault="00CD2F15" w:rsidP="00CD2F15">
      <w:pPr>
        <w:pStyle w:val="Bibliografa"/>
      </w:pPr>
      <w:r>
        <w:t xml:space="preserve">17. </w:t>
      </w:r>
      <w:r>
        <w:tab/>
        <w:t xml:space="preserve">Sahin, T.K.; Erul, E.; Aksun, M.S.; Sonmezer, M.C.; Unal, S.; Akova, M. Knowledge and Attitudes of Turkish Physicians towards Human Monkeypox Disease and Related Vaccination: A Cross-Sectional Study. </w:t>
      </w:r>
      <w:r>
        <w:rPr>
          <w:i/>
          <w:iCs/>
        </w:rPr>
        <w:t>Vaccines</w:t>
      </w:r>
      <w:r>
        <w:t xml:space="preserve"> </w:t>
      </w:r>
      <w:r>
        <w:rPr>
          <w:b/>
          <w:bCs/>
        </w:rPr>
        <w:t>2022</w:t>
      </w:r>
      <w:r>
        <w:t xml:space="preserve">, </w:t>
      </w:r>
      <w:r>
        <w:rPr>
          <w:i/>
          <w:iCs/>
        </w:rPr>
        <w:t>11</w:t>
      </w:r>
      <w:r>
        <w:t>, 19, doi:10.3390/vaccines11010019.</w:t>
      </w:r>
    </w:p>
    <w:p w14:paraId="6E95B26D" w14:textId="77777777" w:rsidR="00CD2F15" w:rsidRDefault="00CD2F15" w:rsidP="00CD2F15">
      <w:pPr>
        <w:pStyle w:val="Bibliografa"/>
      </w:pPr>
      <w:r>
        <w:t xml:space="preserve">18. </w:t>
      </w:r>
      <w:r>
        <w:tab/>
        <w:t xml:space="preserve">Alshahrani, N.Z.; Mitra, S.; Alkuwaiti, A.A.; Alhumam, M.N.; Altmimi, S.M.B.; Alamri, M.H.M.; Albalawi, Z.A.S.; Almorgi, M.W.; Alharbi, H.K.D.; Alshahrani, S.M. Medical Students’ Perception Regarding the Re-Emerging Monkeypox Virus: An Institution-Based Cross-Sectional Study From Saudi Arabia. </w:t>
      </w:r>
      <w:r>
        <w:rPr>
          <w:i/>
          <w:iCs/>
        </w:rPr>
        <w:t>Cureus</w:t>
      </w:r>
      <w:r>
        <w:t xml:space="preserve"> </w:t>
      </w:r>
      <w:r>
        <w:rPr>
          <w:b/>
          <w:bCs/>
        </w:rPr>
        <w:t>2022</w:t>
      </w:r>
      <w:r>
        <w:t xml:space="preserve">, </w:t>
      </w:r>
      <w:r>
        <w:rPr>
          <w:i/>
          <w:iCs/>
        </w:rPr>
        <w:t>14</w:t>
      </w:r>
      <w:r>
        <w:t>, e28060, doi:10.7759/cureus.28060.</w:t>
      </w:r>
    </w:p>
    <w:p w14:paraId="7FEAE87E" w14:textId="77777777" w:rsidR="00CD2F15" w:rsidRDefault="00CD2F15" w:rsidP="00CD2F15">
      <w:pPr>
        <w:pStyle w:val="Bibliografa"/>
      </w:pPr>
      <w:r>
        <w:t xml:space="preserve">19. </w:t>
      </w:r>
      <w:r>
        <w:tab/>
        <w:t xml:space="preserve">Jairoun, A.A.; Al-Hemyari, S.S.; Abdulla, N.M.; El-Dahiyat, F.; Shahwan, M.; Hassan, N.; Jairoun, O.; Alyousef, N.G.; Sharif, S.; Jaber, A.A.S. Awareness and Preparedness of Human Monkeypox Outbreak among University Student: Time to Worry or One to Ignore? </w:t>
      </w:r>
      <w:r>
        <w:rPr>
          <w:i/>
          <w:iCs/>
        </w:rPr>
        <w:t>J. Infect. Public Health</w:t>
      </w:r>
      <w:r>
        <w:t xml:space="preserve"> </w:t>
      </w:r>
      <w:r>
        <w:rPr>
          <w:b/>
          <w:bCs/>
        </w:rPr>
        <w:t>2022</w:t>
      </w:r>
      <w:r>
        <w:t xml:space="preserve">, </w:t>
      </w:r>
      <w:r>
        <w:rPr>
          <w:i/>
          <w:iCs/>
        </w:rPr>
        <w:t>15</w:t>
      </w:r>
      <w:r>
        <w:t>, 1065–1071, doi:10.1016/j.jiph.2022.08.015.</w:t>
      </w:r>
    </w:p>
    <w:p w14:paraId="71E6355D" w14:textId="77777777" w:rsidR="00CD2F15" w:rsidRDefault="00CD2F15" w:rsidP="00CD2F15">
      <w:pPr>
        <w:pStyle w:val="Bibliografa"/>
      </w:pPr>
      <w:r>
        <w:t xml:space="preserve">20. </w:t>
      </w:r>
      <w:r>
        <w:tab/>
        <w:t xml:space="preserve">Kaur, A.; Goel, R.; Singh, R.; Bhardwaj, A.; Kumari, R.; Gambhir, R.S. Identifying Monkeypox: Do Dental Professionals Have Adequate Knowledge and Awareness? </w:t>
      </w:r>
      <w:r>
        <w:rPr>
          <w:i/>
          <w:iCs/>
        </w:rPr>
        <w:t>Rocz. Panstw. Zakl. Hig.</w:t>
      </w:r>
      <w:r>
        <w:t xml:space="preserve"> </w:t>
      </w:r>
      <w:r>
        <w:rPr>
          <w:b/>
          <w:bCs/>
        </w:rPr>
        <w:t>2022</w:t>
      </w:r>
      <w:r>
        <w:t xml:space="preserve">, </w:t>
      </w:r>
      <w:r>
        <w:rPr>
          <w:i/>
          <w:iCs/>
        </w:rPr>
        <w:t>73</w:t>
      </w:r>
      <w:r>
        <w:t>, 365–371, doi:10.32394/rpzh.2022.0226.</w:t>
      </w:r>
    </w:p>
    <w:p w14:paraId="279A19E9" w14:textId="77777777" w:rsidR="00CD2F15" w:rsidRDefault="00CD2F15" w:rsidP="00CD2F15">
      <w:pPr>
        <w:pStyle w:val="Bibliografa"/>
      </w:pPr>
      <w:r>
        <w:t xml:space="preserve">21. </w:t>
      </w:r>
      <w:r>
        <w:tab/>
        <w:t xml:space="preserve">Alshahrani, N.Z.; Alzahrani, F.; Alarifi, A.M.; Algethami, M.R.; Alhumam, M.N.; Ayied, H.A.M.; Awan, A.Z.; Almutairi, A.F.; Bamakhrama, S.A.; Almushari, B.S.; et al. Assessment of Knowledge of Monkeypox Viral Infection among the General Population in Saudi Arabia. </w:t>
      </w:r>
      <w:r>
        <w:rPr>
          <w:i/>
          <w:iCs/>
        </w:rPr>
        <w:t>Pathog. Basel Switz.</w:t>
      </w:r>
      <w:r>
        <w:t xml:space="preserve"> </w:t>
      </w:r>
      <w:r>
        <w:rPr>
          <w:b/>
          <w:bCs/>
        </w:rPr>
        <w:t>2022</w:t>
      </w:r>
      <w:r>
        <w:t xml:space="preserve">, </w:t>
      </w:r>
      <w:r>
        <w:rPr>
          <w:i/>
          <w:iCs/>
        </w:rPr>
        <w:t>11</w:t>
      </w:r>
      <w:r>
        <w:t>, 904, doi:10.3390/pathogens11080904.</w:t>
      </w:r>
    </w:p>
    <w:p w14:paraId="5DE0D37D" w14:textId="77777777" w:rsidR="00CD2F15" w:rsidRDefault="00CD2F15" w:rsidP="00CD2F15">
      <w:pPr>
        <w:pStyle w:val="Bibliografa"/>
      </w:pPr>
      <w:r>
        <w:t xml:space="preserve">22. </w:t>
      </w:r>
      <w:r>
        <w:tab/>
        <w:t xml:space="preserve">Kumar, N.; Ahmed, F.; Raza, M.S.; Rajpoot, P.L.; Rehman, W.; Khatri, S.A.; Mohammed, M.; Muhammad, S.; Ahmad, R. Monkeypox Cross-Sectional Survey of Knowledge, Attitudes, Practices, and Willingness to Vaccinate among University Students in Pakistan. </w:t>
      </w:r>
      <w:r>
        <w:rPr>
          <w:i/>
          <w:iCs/>
        </w:rPr>
        <w:t>Vaccines</w:t>
      </w:r>
      <w:r>
        <w:t xml:space="preserve"> </w:t>
      </w:r>
      <w:r>
        <w:rPr>
          <w:b/>
          <w:bCs/>
        </w:rPr>
        <w:t>2022</w:t>
      </w:r>
      <w:r>
        <w:t xml:space="preserve">, </w:t>
      </w:r>
      <w:r>
        <w:rPr>
          <w:i/>
          <w:iCs/>
        </w:rPr>
        <w:t>11</w:t>
      </w:r>
      <w:r>
        <w:t>, 97, doi:10.3390/vaccines11010097.</w:t>
      </w:r>
    </w:p>
    <w:p w14:paraId="151E4611" w14:textId="77777777" w:rsidR="00CD2F15" w:rsidRDefault="00CD2F15" w:rsidP="00CD2F15">
      <w:pPr>
        <w:pStyle w:val="Bibliografa"/>
      </w:pPr>
      <w:r>
        <w:t xml:space="preserve">23. </w:t>
      </w:r>
      <w:r>
        <w:tab/>
        <w:t xml:space="preserve">Ajman, F.; Alenezi, S.; Alhasan, K.; Saddik, B.; Alhaboob, A.; Altawil, E.S.; Alshahrani, F.; Alrabiaah, A.; Alaraj, A.; Alkriadees, K.; et al. Healthcare Workers’ Worries and Monkeypox Vaccine Advocacy during the First Month of the WHO Monkeypox Alert: Cross-Sectional Survey in Saudi Arabia. </w:t>
      </w:r>
      <w:r>
        <w:rPr>
          <w:i/>
          <w:iCs/>
        </w:rPr>
        <w:t>Vaccines</w:t>
      </w:r>
      <w:r>
        <w:t xml:space="preserve"> </w:t>
      </w:r>
      <w:r>
        <w:rPr>
          <w:b/>
          <w:bCs/>
        </w:rPr>
        <w:t>2022</w:t>
      </w:r>
      <w:r>
        <w:t xml:space="preserve">, </w:t>
      </w:r>
      <w:r>
        <w:rPr>
          <w:i/>
          <w:iCs/>
        </w:rPr>
        <w:t>10</w:t>
      </w:r>
      <w:r>
        <w:t>, 1408, doi:10.3390/vaccines10091408.</w:t>
      </w:r>
    </w:p>
    <w:p w14:paraId="4572C3FB" w14:textId="77777777" w:rsidR="00CD2F15" w:rsidRDefault="00CD2F15" w:rsidP="00CD2F15">
      <w:pPr>
        <w:pStyle w:val="Bibliografa"/>
      </w:pPr>
      <w:r>
        <w:t xml:space="preserve">24. </w:t>
      </w:r>
      <w:r>
        <w:tab/>
        <w:t xml:space="preserve">Alshahrani, N.Z.; Algethami, M.R.; Alarifi, A.M.; Alzahrani, F.; Alshehri, E.A.; Alshehri, A.M.; Sheerah, H.A.; Abdelaal, A.; Sah, R.; Rodriguez-Morales, A.J. Knowledge and Attitude Regarding Monkeypox Virus among Physicians in Saudi Arabia: A Cross-Sectional Study. </w:t>
      </w:r>
      <w:r>
        <w:rPr>
          <w:i/>
          <w:iCs/>
        </w:rPr>
        <w:t>Vaccines</w:t>
      </w:r>
      <w:r>
        <w:t xml:space="preserve"> </w:t>
      </w:r>
      <w:r>
        <w:rPr>
          <w:b/>
          <w:bCs/>
        </w:rPr>
        <w:t>2022</w:t>
      </w:r>
      <w:r>
        <w:t xml:space="preserve">, </w:t>
      </w:r>
      <w:r>
        <w:rPr>
          <w:i/>
          <w:iCs/>
        </w:rPr>
        <w:t>10</w:t>
      </w:r>
      <w:r>
        <w:t>, 2099, doi:10.3390/vaccines10122099.</w:t>
      </w:r>
    </w:p>
    <w:p w14:paraId="5ED54ACD" w14:textId="77777777" w:rsidR="00CD2F15" w:rsidRDefault="00CD2F15" w:rsidP="00CD2F15">
      <w:pPr>
        <w:pStyle w:val="Bibliografa"/>
      </w:pPr>
      <w:r>
        <w:t xml:space="preserve">25. </w:t>
      </w:r>
      <w:r>
        <w:tab/>
        <w:t xml:space="preserve">Harapan, H.; Setiawan, A.M.; Yufika, A.; Anwar, S.; Wahyuni, S.; Asrizal, F.W.; Sufri, M.R.; Putra, R.P.; Wijayanti, N.P.; Salwiyadi, S.; et al. Knowledge of Human Monkeypox Viral Infection among General Practitioners: A Cross-Sectional Study in Indonesia. </w:t>
      </w:r>
      <w:r>
        <w:rPr>
          <w:i/>
          <w:iCs/>
        </w:rPr>
        <w:t>Pathog. Glob. Health</w:t>
      </w:r>
      <w:r>
        <w:t xml:space="preserve"> </w:t>
      </w:r>
      <w:r>
        <w:rPr>
          <w:b/>
          <w:bCs/>
        </w:rPr>
        <w:t>2020</w:t>
      </w:r>
      <w:r>
        <w:t xml:space="preserve">, </w:t>
      </w:r>
      <w:r>
        <w:rPr>
          <w:i/>
          <w:iCs/>
        </w:rPr>
        <w:t>114</w:t>
      </w:r>
      <w:r>
        <w:t>, 68–75, doi:10.1080/20477724.2020.1743037.</w:t>
      </w:r>
    </w:p>
    <w:p w14:paraId="37A3736A" w14:textId="77777777" w:rsidR="00CD2F15" w:rsidRDefault="00CD2F15" w:rsidP="00CD2F15">
      <w:pPr>
        <w:pStyle w:val="Bibliografa"/>
      </w:pPr>
      <w:r>
        <w:t xml:space="preserve">26. </w:t>
      </w:r>
      <w:r>
        <w:tab/>
        <w:t xml:space="preserve">Harapan, H.; Setiawan, A.M.; Yufika, A.; Anwar, S.; Wahyuni, S.; Asrizal, F.W.; Sufri, M.R.; Putra, R.P.; Wijayanti, N.P.; Salwiyadi, S.; et al. Physicians’ Willingness to Be Vaccinated with a Smallpox Vaccine to Prevent Monkeypox Viral Infection: A Cross-Sectional Study in Indonesia. </w:t>
      </w:r>
      <w:r>
        <w:rPr>
          <w:i/>
          <w:iCs/>
        </w:rPr>
        <w:t>Clin. Epidemiol. Glob. Health</w:t>
      </w:r>
      <w:r>
        <w:t xml:space="preserve"> </w:t>
      </w:r>
      <w:r>
        <w:rPr>
          <w:b/>
          <w:bCs/>
        </w:rPr>
        <w:t>2020</w:t>
      </w:r>
      <w:r>
        <w:t xml:space="preserve">, </w:t>
      </w:r>
      <w:r>
        <w:rPr>
          <w:i/>
          <w:iCs/>
        </w:rPr>
        <w:t>8</w:t>
      </w:r>
      <w:r>
        <w:t>, 1259–1263, doi:10.1016/j.cegh.2020.04.024.</w:t>
      </w:r>
    </w:p>
    <w:p w14:paraId="148F744A" w14:textId="77777777" w:rsidR="00CD2F15" w:rsidRDefault="00CD2F15" w:rsidP="00CD2F15">
      <w:pPr>
        <w:pStyle w:val="Bibliografa"/>
      </w:pPr>
      <w:r>
        <w:t xml:space="preserve">27. </w:t>
      </w:r>
      <w:r>
        <w:tab/>
        <w:t xml:space="preserve">Harapan, H.; Setiawan, A.M.; Yufika, A.; Anwar, S.; Wahyuni, S.; Asrizal, F.W.; Sufri, M.R.; Putra, R.P.; Wijayanti, N.P.; Salwiyadi, S.; et al. Confidence in Managing Human Monkeypox Cases in Asia: A Cross-Sectional Survey among General Practitioners in Indonesia. </w:t>
      </w:r>
      <w:r>
        <w:rPr>
          <w:i/>
          <w:iCs/>
        </w:rPr>
        <w:t>Acta Trop.</w:t>
      </w:r>
      <w:r>
        <w:t xml:space="preserve"> </w:t>
      </w:r>
      <w:r>
        <w:rPr>
          <w:b/>
          <w:bCs/>
        </w:rPr>
        <w:t>2020</w:t>
      </w:r>
      <w:r>
        <w:t xml:space="preserve">, </w:t>
      </w:r>
      <w:r>
        <w:rPr>
          <w:i/>
          <w:iCs/>
        </w:rPr>
        <w:t>206</w:t>
      </w:r>
      <w:r>
        <w:t>, 105450, doi:10.1016/j.actatropica.2020.105450.</w:t>
      </w:r>
    </w:p>
    <w:p w14:paraId="237F043D" w14:textId="15993EBB" w:rsidR="00994880" w:rsidRPr="00994880" w:rsidRDefault="00994880" w:rsidP="00994880">
      <w:pPr>
        <w:pStyle w:val="MDPI63Notes"/>
        <w:spacing w:line="240" w:lineRule="auto"/>
        <w:rPr>
          <w:rFonts w:ascii="Times New Roman" w:hAnsi="Times New Roman"/>
          <w:sz w:val="24"/>
          <w:szCs w:val="24"/>
        </w:rPr>
      </w:pPr>
      <w:r>
        <w:rPr>
          <w:rFonts w:ascii="Times New Roman" w:hAnsi="Times New Roman"/>
          <w:sz w:val="24"/>
          <w:szCs w:val="24"/>
        </w:rPr>
        <w:lastRenderedPageBreak/>
        <w:fldChar w:fldCharType="end"/>
      </w:r>
    </w:p>
    <w:sectPr w:rsidR="00994880" w:rsidRPr="00994880" w:rsidSect="00613085">
      <w:pgSz w:w="11906" w:h="16838" w:code="9"/>
      <w:pgMar w:top="1417" w:right="1701" w:bottom="1418" w:left="1701" w:header="1020" w:footer="340" w:gutter="0"/>
      <w:pgNumType w:start="1"/>
      <w:cols w:space="425"/>
      <w:titlePg/>
      <w:bidi/>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22495" w14:textId="77777777" w:rsidR="0020610E" w:rsidRDefault="0020610E">
      <w:pPr>
        <w:spacing w:line="240" w:lineRule="auto"/>
      </w:pPr>
      <w:r>
        <w:separator/>
      </w:r>
    </w:p>
  </w:endnote>
  <w:endnote w:type="continuationSeparator" w:id="0">
    <w:p w14:paraId="4D7CF0C3" w14:textId="77777777" w:rsidR="0020610E" w:rsidRDefault="002061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E6F20" w14:textId="77777777" w:rsidR="00E90986" w:rsidRPr="00590BF9" w:rsidRDefault="00E90986" w:rsidP="00E90986">
    <w:pPr>
      <w:pStyle w:val="Piedepgina"/>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161" w14:textId="59D6F50B" w:rsidR="00E90986" w:rsidRPr="008B308E" w:rsidRDefault="00E90986" w:rsidP="00B200C8">
    <w:pPr>
      <w:pStyle w:val="MDPIfooterfirstpage"/>
      <w:tabs>
        <w:tab w:val="clear" w:pos="8845"/>
        <w:tab w:val="right" w:pos="10466"/>
      </w:tabs>
      <w:spacing w:line="240" w:lineRule="auto"/>
      <w:jc w:val="both"/>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AD6EF" w14:textId="77777777" w:rsidR="0020610E" w:rsidRDefault="0020610E">
      <w:pPr>
        <w:spacing w:line="240" w:lineRule="auto"/>
      </w:pPr>
      <w:r>
        <w:separator/>
      </w:r>
    </w:p>
  </w:footnote>
  <w:footnote w:type="continuationSeparator" w:id="0">
    <w:p w14:paraId="4C1DF227" w14:textId="77777777" w:rsidR="0020610E" w:rsidRDefault="0020610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83BBC" w14:textId="77777777" w:rsidR="00E90986" w:rsidRDefault="00E90986" w:rsidP="00E90986">
    <w:pPr>
      <w:pStyle w:val="Encabezado"/>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12E6D"/>
    <w:multiLevelType w:val="hybridMultilevel"/>
    <w:tmpl w:val="89DE7AB4"/>
    <w:lvl w:ilvl="0" w:tplc="F270330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E4EA68C0"/>
    <w:lvl w:ilvl="0" w:tplc="7634241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EB46A9"/>
    <w:multiLevelType w:val="hybridMultilevel"/>
    <w:tmpl w:val="0F36FAF2"/>
    <w:lvl w:ilvl="0" w:tplc="278A6020">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7"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C440C7"/>
    <w:multiLevelType w:val="hybridMultilevel"/>
    <w:tmpl w:val="77241A6A"/>
    <w:lvl w:ilvl="0" w:tplc="D92C0296">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1" w15:restartNumberingAfterBreak="0">
    <w:nsid w:val="589478C6"/>
    <w:multiLevelType w:val="hybridMultilevel"/>
    <w:tmpl w:val="77DE21FC"/>
    <w:lvl w:ilvl="0" w:tplc="036EFC60">
      <w:numFmt w:val="bullet"/>
      <w:lvlText w:val="-"/>
      <w:lvlJc w:val="left"/>
      <w:pPr>
        <w:ind w:left="644" w:hanging="360"/>
      </w:pPr>
      <w:rPr>
        <w:rFonts w:ascii="Arial" w:eastAsiaTheme="minorHAnsi" w:hAnsi="Arial" w:cs="Arial" w:hint="default"/>
      </w:rPr>
    </w:lvl>
    <w:lvl w:ilvl="1" w:tplc="280A0003" w:tentative="1">
      <w:start w:val="1"/>
      <w:numFmt w:val="bullet"/>
      <w:lvlText w:val="o"/>
      <w:lvlJc w:val="left"/>
      <w:pPr>
        <w:ind w:left="1364" w:hanging="360"/>
      </w:pPr>
      <w:rPr>
        <w:rFonts w:ascii="Courier New" w:hAnsi="Courier New" w:cs="Courier New" w:hint="default"/>
      </w:rPr>
    </w:lvl>
    <w:lvl w:ilvl="2" w:tplc="280A0005" w:tentative="1">
      <w:start w:val="1"/>
      <w:numFmt w:val="bullet"/>
      <w:lvlText w:val=""/>
      <w:lvlJc w:val="left"/>
      <w:pPr>
        <w:ind w:left="2084" w:hanging="360"/>
      </w:pPr>
      <w:rPr>
        <w:rFonts w:ascii="Wingdings" w:hAnsi="Wingdings" w:hint="default"/>
      </w:rPr>
    </w:lvl>
    <w:lvl w:ilvl="3" w:tplc="280A0001" w:tentative="1">
      <w:start w:val="1"/>
      <w:numFmt w:val="bullet"/>
      <w:lvlText w:val=""/>
      <w:lvlJc w:val="left"/>
      <w:pPr>
        <w:ind w:left="2804" w:hanging="360"/>
      </w:pPr>
      <w:rPr>
        <w:rFonts w:ascii="Symbol" w:hAnsi="Symbol" w:hint="default"/>
      </w:rPr>
    </w:lvl>
    <w:lvl w:ilvl="4" w:tplc="280A0003" w:tentative="1">
      <w:start w:val="1"/>
      <w:numFmt w:val="bullet"/>
      <w:lvlText w:val="o"/>
      <w:lvlJc w:val="left"/>
      <w:pPr>
        <w:ind w:left="3524" w:hanging="360"/>
      </w:pPr>
      <w:rPr>
        <w:rFonts w:ascii="Courier New" w:hAnsi="Courier New" w:cs="Courier New" w:hint="default"/>
      </w:rPr>
    </w:lvl>
    <w:lvl w:ilvl="5" w:tplc="280A0005" w:tentative="1">
      <w:start w:val="1"/>
      <w:numFmt w:val="bullet"/>
      <w:lvlText w:val=""/>
      <w:lvlJc w:val="left"/>
      <w:pPr>
        <w:ind w:left="4244" w:hanging="360"/>
      </w:pPr>
      <w:rPr>
        <w:rFonts w:ascii="Wingdings" w:hAnsi="Wingdings" w:hint="default"/>
      </w:rPr>
    </w:lvl>
    <w:lvl w:ilvl="6" w:tplc="280A0001" w:tentative="1">
      <w:start w:val="1"/>
      <w:numFmt w:val="bullet"/>
      <w:lvlText w:val=""/>
      <w:lvlJc w:val="left"/>
      <w:pPr>
        <w:ind w:left="4964" w:hanging="360"/>
      </w:pPr>
      <w:rPr>
        <w:rFonts w:ascii="Symbol" w:hAnsi="Symbol" w:hint="default"/>
      </w:rPr>
    </w:lvl>
    <w:lvl w:ilvl="7" w:tplc="280A0003" w:tentative="1">
      <w:start w:val="1"/>
      <w:numFmt w:val="bullet"/>
      <w:lvlText w:val="o"/>
      <w:lvlJc w:val="left"/>
      <w:pPr>
        <w:ind w:left="5684" w:hanging="360"/>
      </w:pPr>
      <w:rPr>
        <w:rFonts w:ascii="Courier New" w:hAnsi="Courier New" w:cs="Courier New" w:hint="default"/>
      </w:rPr>
    </w:lvl>
    <w:lvl w:ilvl="8" w:tplc="280A0005" w:tentative="1">
      <w:start w:val="1"/>
      <w:numFmt w:val="bullet"/>
      <w:lvlText w:val=""/>
      <w:lvlJc w:val="left"/>
      <w:pPr>
        <w:ind w:left="6404" w:hanging="360"/>
      </w:pPr>
      <w:rPr>
        <w:rFonts w:ascii="Wingdings" w:hAnsi="Wingdings" w:hint="default"/>
      </w:rPr>
    </w:lvl>
  </w:abstractNum>
  <w:abstractNum w:abstractNumId="12"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AD6B26"/>
    <w:multiLevelType w:val="hybridMultilevel"/>
    <w:tmpl w:val="CA128E84"/>
    <w:lvl w:ilvl="0" w:tplc="369C5648">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983120896">
    <w:abstractNumId w:val="4"/>
  </w:num>
  <w:num w:numId="2" w16cid:durableId="613487806">
    <w:abstractNumId w:val="7"/>
  </w:num>
  <w:num w:numId="3" w16cid:durableId="717976663">
    <w:abstractNumId w:val="3"/>
  </w:num>
  <w:num w:numId="4" w16cid:durableId="11880601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42228884">
    <w:abstractNumId w:val="5"/>
  </w:num>
  <w:num w:numId="6" w16cid:durableId="1269005301">
    <w:abstractNumId w:val="10"/>
  </w:num>
  <w:num w:numId="7" w16cid:durableId="2044624447">
    <w:abstractNumId w:val="2"/>
  </w:num>
  <w:num w:numId="8" w16cid:durableId="1990329370">
    <w:abstractNumId w:val="10"/>
  </w:num>
  <w:num w:numId="9" w16cid:durableId="1819879645">
    <w:abstractNumId w:val="2"/>
  </w:num>
  <w:num w:numId="10" w16cid:durableId="1526478403">
    <w:abstractNumId w:val="10"/>
  </w:num>
  <w:num w:numId="11" w16cid:durableId="1114012711">
    <w:abstractNumId w:val="2"/>
  </w:num>
  <w:num w:numId="12" w16cid:durableId="464003878">
    <w:abstractNumId w:val="12"/>
  </w:num>
  <w:num w:numId="13" w16cid:durableId="438068372">
    <w:abstractNumId w:val="10"/>
  </w:num>
  <w:num w:numId="14" w16cid:durableId="256520048">
    <w:abstractNumId w:val="2"/>
  </w:num>
  <w:num w:numId="15" w16cid:durableId="462769856">
    <w:abstractNumId w:val="1"/>
  </w:num>
  <w:num w:numId="16" w16cid:durableId="33505890">
    <w:abstractNumId w:val="8"/>
  </w:num>
  <w:num w:numId="17" w16cid:durableId="951323575">
    <w:abstractNumId w:val="0"/>
  </w:num>
  <w:num w:numId="18" w16cid:durableId="2008945808">
    <w:abstractNumId w:val="10"/>
  </w:num>
  <w:num w:numId="19" w16cid:durableId="538785186">
    <w:abstractNumId w:val="2"/>
  </w:num>
  <w:num w:numId="20" w16cid:durableId="1500541001">
    <w:abstractNumId w:val="1"/>
  </w:num>
  <w:num w:numId="21" w16cid:durableId="385958424">
    <w:abstractNumId w:val="9"/>
  </w:num>
  <w:num w:numId="22" w16cid:durableId="1853564132">
    <w:abstractNumId w:val="6"/>
  </w:num>
  <w:num w:numId="23" w16cid:durableId="1902789581">
    <w:abstractNumId w:val="0"/>
  </w:num>
  <w:num w:numId="24" w16cid:durableId="1999848145">
    <w:abstractNumId w:val="11"/>
  </w:num>
  <w:num w:numId="25" w16cid:durableId="8426217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hyphenationZone w:val="425"/>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C3A"/>
    <w:rsid w:val="00002064"/>
    <w:rsid w:val="0000266A"/>
    <w:rsid w:val="00002B37"/>
    <w:rsid w:val="00002C5A"/>
    <w:rsid w:val="00004D98"/>
    <w:rsid w:val="000104A3"/>
    <w:rsid w:val="000106C4"/>
    <w:rsid w:val="00012BED"/>
    <w:rsid w:val="00022923"/>
    <w:rsid w:val="0002554A"/>
    <w:rsid w:val="00025861"/>
    <w:rsid w:val="0003183D"/>
    <w:rsid w:val="00033CAE"/>
    <w:rsid w:val="0003567E"/>
    <w:rsid w:val="00037BEA"/>
    <w:rsid w:val="00041937"/>
    <w:rsid w:val="00042049"/>
    <w:rsid w:val="00042C6B"/>
    <w:rsid w:val="0004465B"/>
    <w:rsid w:val="000469FC"/>
    <w:rsid w:val="00047C14"/>
    <w:rsid w:val="00050735"/>
    <w:rsid w:val="00052072"/>
    <w:rsid w:val="00053A67"/>
    <w:rsid w:val="000550A9"/>
    <w:rsid w:val="00056D61"/>
    <w:rsid w:val="0006068F"/>
    <w:rsid w:val="00062D64"/>
    <w:rsid w:val="00062E50"/>
    <w:rsid w:val="000631FF"/>
    <w:rsid w:val="00063BA4"/>
    <w:rsid w:val="0006442A"/>
    <w:rsid w:val="000650EA"/>
    <w:rsid w:val="00070BC3"/>
    <w:rsid w:val="0007286E"/>
    <w:rsid w:val="000729C1"/>
    <w:rsid w:val="00072F70"/>
    <w:rsid w:val="0007477F"/>
    <w:rsid w:val="0007489C"/>
    <w:rsid w:val="00075264"/>
    <w:rsid w:val="0007580C"/>
    <w:rsid w:val="00075E0A"/>
    <w:rsid w:val="00076648"/>
    <w:rsid w:val="00077506"/>
    <w:rsid w:val="000778F0"/>
    <w:rsid w:val="0008021B"/>
    <w:rsid w:val="00080693"/>
    <w:rsid w:val="00080A20"/>
    <w:rsid w:val="00084141"/>
    <w:rsid w:val="0008598A"/>
    <w:rsid w:val="00085AA7"/>
    <w:rsid w:val="00086C21"/>
    <w:rsid w:val="0009193E"/>
    <w:rsid w:val="000930DF"/>
    <w:rsid w:val="000946E3"/>
    <w:rsid w:val="000953F3"/>
    <w:rsid w:val="000A0093"/>
    <w:rsid w:val="000A02B5"/>
    <w:rsid w:val="000A04F4"/>
    <w:rsid w:val="000A4071"/>
    <w:rsid w:val="000A5B3A"/>
    <w:rsid w:val="000A689E"/>
    <w:rsid w:val="000B6369"/>
    <w:rsid w:val="000C1E3C"/>
    <w:rsid w:val="000C34D0"/>
    <w:rsid w:val="000C3B7B"/>
    <w:rsid w:val="000C3D95"/>
    <w:rsid w:val="000C46A4"/>
    <w:rsid w:val="000C54B9"/>
    <w:rsid w:val="000C66A4"/>
    <w:rsid w:val="000C77E0"/>
    <w:rsid w:val="000C79F4"/>
    <w:rsid w:val="000D2039"/>
    <w:rsid w:val="000D3E83"/>
    <w:rsid w:val="000D45A8"/>
    <w:rsid w:val="000D4CAC"/>
    <w:rsid w:val="000D6422"/>
    <w:rsid w:val="000F291B"/>
    <w:rsid w:val="00102164"/>
    <w:rsid w:val="001035B5"/>
    <w:rsid w:val="001059AA"/>
    <w:rsid w:val="00113504"/>
    <w:rsid w:val="00113A18"/>
    <w:rsid w:val="00114006"/>
    <w:rsid w:val="00114401"/>
    <w:rsid w:val="0011698A"/>
    <w:rsid w:val="0012068C"/>
    <w:rsid w:val="00121956"/>
    <w:rsid w:val="001228BC"/>
    <w:rsid w:val="00123558"/>
    <w:rsid w:val="00125279"/>
    <w:rsid w:val="00125C4B"/>
    <w:rsid w:val="00125D79"/>
    <w:rsid w:val="00127ED1"/>
    <w:rsid w:val="00132D07"/>
    <w:rsid w:val="001338EF"/>
    <w:rsid w:val="00133F29"/>
    <w:rsid w:val="00136E7B"/>
    <w:rsid w:val="00137C46"/>
    <w:rsid w:val="001402BF"/>
    <w:rsid w:val="001437B6"/>
    <w:rsid w:val="001442D5"/>
    <w:rsid w:val="00144A8E"/>
    <w:rsid w:val="00146DDF"/>
    <w:rsid w:val="00150C92"/>
    <w:rsid w:val="0015187A"/>
    <w:rsid w:val="00155875"/>
    <w:rsid w:val="00162008"/>
    <w:rsid w:val="00163A94"/>
    <w:rsid w:val="00165C48"/>
    <w:rsid w:val="0016616A"/>
    <w:rsid w:val="00171658"/>
    <w:rsid w:val="0017165E"/>
    <w:rsid w:val="00171AA9"/>
    <w:rsid w:val="00173016"/>
    <w:rsid w:val="00175AD9"/>
    <w:rsid w:val="001765F2"/>
    <w:rsid w:val="00177995"/>
    <w:rsid w:val="00182526"/>
    <w:rsid w:val="00183AB8"/>
    <w:rsid w:val="00184D45"/>
    <w:rsid w:val="00185AD8"/>
    <w:rsid w:val="00186C1A"/>
    <w:rsid w:val="00187A46"/>
    <w:rsid w:val="001904C4"/>
    <w:rsid w:val="001933CC"/>
    <w:rsid w:val="00194C32"/>
    <w:rsid w:val="001957FA"/>
    <w:rsid w:val="00197B95"/>
    <w:rsid w:val="001A16B7"/>
    <w:rsid w:val="001A24D2"/>
    <w:rsid w:val="001A465A"/>
    <w:rsid w:val="001A5520"/>
    <w:rsid w:val="001A5766"/>
    <w:rsid w:val="001A5A7B"/>
    <w:rsid w:val="001A5EDD"/>
    <w:rsid w:val="001A7CF7"/>
    <w:rsid w:val="001B0864"/>
    <w:rsid w:val="001B1B94"/>
    <w:rsid w:val="001B4743"/>
    <w:rsid w:val="001B50BA"/>
    <w:rsid w:val="001B63AB"/>
    <w:rsid w:val="001C14E5"/>
    <w:rsid w:val="001C3A2B"/>
    <w:rsid w:val="001C56D4"/>
    <w:rsid w:val="001D0686"/>
    <w:rsid w:val="001D19AC"/>
    <w:rsid w:val="001D297D"/>
    <w:rsid w:val="001D2D33"/>
    <w:rsid w:val="001D41F9"/>
    <w:rsid w:val="001D4670"/>
    <w:rsid w:val="001D4D27"/>
    <w:rsid w:val="001D54BC"/>
    <w:rsid w:val="001D67CF"/>
    <w:rsid w:val="001E0C33"/>
    <w:rsid w:val="001E14DE"/>
    <w:rsid w:val="001E188B"/>
    <w:rsid w:val="001E297A"/>
    <w:rsid w:val="001E2AEB"/>
    <w:rsid w:val="001E3E10"/>
    <w:rsid w:val="001E4109"/>
    <w:rsid w:val="001E50EA"/>
    <w:rsid w:val="001E518A"/>
    <w:rsid w:val="001E5538"/>
    <w:rsid w:val="001E5609"/>
    <w:rsid w:val="001E6CB1"/>
    <w:rsid w:val="001F0C32"/>
    <w:rsid w:val="001F1266"/>
    <w:rsid w:val="001F3A12"/>
    <w:rsid w:val="001F4302"/>
    <w:rsid w:val="001F48C4"/>
    <w:rsid w:val="001F53CA"/>
    <w:rsid w:val="001F6C94"/>
    <w:rsid w:val="001F6D18"/>
    <w:rsid w:val="002019E5"/>
    <w:rsid w:val="0020566A"/>
    <w:rsid w:val="00205AC7"/>
    <w:rsid w:val="0020610E"/>
    <w:rsid w:val="0020625A"/>
    <w:rsid w:val="00207800"/>
    <w:rsid w:val="00207818"/>
    <w:rsid w:val="00213BE7"/>
    <w:rsid w:val="00214A6A"/>
    <w:rsid w:val="00214BBE"/>
    <w:rsid w:val="00215214"/>
    <w:rsid w:val="00215B17"/>
    <w:rsid w:val="0022099E"/>
    <w:rsid w:val="00220D17"/>
    <w:rsid w:val="00223336"/>
    <w:rsid w:val="0022347D"/>
    <w:rsid w:val="002235A6"/>
    <w:rsid w:val="00223C61"/>
    <w:rsid w:val="002351C5"/>
    <w:rsid w:val="00235497"/>
    <w:rsid w:val="00236323"/>
    <w:rsid w:val="0023763D"/>
    <w:rsid w:val="0024193B"/>
    <w:rsid w:val="00242B94"/>
    <w:rsid w:val="002439F9"/>
    <w:rsid w:val="002451AA"/>
    <w:rsid w:val="00247739"/>
    <w:rsid w:val="00247DAA"/>
    <w:rsid w:val="002507CF"/>
    <w:rsid w:val="00251401"/>
    <w:rsid w:val="0025253A"/>
    <w:rsid w:val="00253DE5"/>
    <w:rsid w:val="002546AB"/>
    <w:rsid w:val="0025599D"/>
    <w:rsid w:val="00257BA9"/>
    <w:rsid w:val="00262314"/>
    <w:rsid w:val="00263F02"/>
    <w:rsid w:val="002674D2"/>
    <w:rsid w:val="00271140"/>
    <w:rsid w:val="00271E45"/>
    <w:rsid w:val="00274107"/>
    <w:rsid w:val="00274D90"/>
    <w:rsid w:val="0027519E"/>
    <w:rsid w:val="002778A3"/>
    <w:rsid w:val="002802AC"/>
    <w:rsid w:val="0028197B"/>
    <w:rsid w:val="00284406"/>
    <w:rsid w:val="00284BEB"/>
    <w:rsid w:val="0028607E"/>
    <w:rsid w:val="00287176"/>
    <w:rsid w:val="0028726C"/>
    <w:rsid w:val="00287526"/>
    <w:rsid w:val="002904EA"/>
    <w:rsid w:val="002925D7"/>
    <w:rsid w:val="00292E33"/>
    <w:rsid w:val="00294656"/>
    <w:rsid w:val="0029599F"/>
    <w:rsid w:val="002A0736"/>
    <w:rsid w:val="002A2528"/>
    <w:rsid w:val="002A53BD"/>
    <w:rsid w:val="002B05EE"/>
    <w:rsid w:val="002B0E78"/>
    <w:rsid w:val="002B276E"/>
    <w:rsid w:val="002B3A89"/>
    <w:rsid w:val="002B69DF"/>
    <w:rsid w:val="002B7D7D"/>
    <w:rsid w:val="002C6D1E"/>
    <w:rsid w:val="002C7A7B"/>
    <w:rsid w:val="002D1293"/>
    <w:rsid w:val="002D18CB"/>
    <w:rsid w:val="002D19AD"/>
    <w:rsid w:val="002D2319"/>
    <w:rsid w:val="002D2B5C"/>
    <w:rsid w:val="002D57A5"/>
    <w:rsid w:val="002D5CEB"/>
    <w:rsid w:val="002E16D3"/>
    <w:rsid w:val="002E3019"/>
    <w:rsid w:val="002E3319"/>
    <w:rsid w:val="002E576D"/>
    <w:rsid w:val="002E590F"/>
    <w:rsid w:val="002E5CEA"/>
    <w:rsid w:val="002F3D49"/>
    <w:rsid w:val="002F55ED"/>
    <w:rsid w:val="003003CF"/>
    <w:rsid w:val="0030059B"/>
    <w:rsid w:val="00300BFD"/>
    <w:rsid w:val="0030280D"/>
    <w:rsid w:val="00302C67"/>
    <w:rsid w:val="00303D70"/>
    <w:rsid w:val="0030491A"/>
    <w:rsid w:val="00304D43"/>
    <w:rsid w:val="00304DBC"/>
    <w:rsid w:val="0030550C"/>
    <w:rsid w:val="00306807"/>
    <w:rsid w:val="0031064A"/>
    <w:rsid w:val="003108DA"/>
    <w:rsid w:val="0031138B"/>
    <w:rsid w:val="00312AB1"/>
    <w:rsid w:val="00313F35"/>
    <w:rsid w:val="0031462C"/>
    <w:rsid w:val="003151EC"/>
    <w:rsid w:val="00316574"/>
    <w:rsid w:val="00322BD2"/>
    <w:rsid w:val="00325FCF"/>
    <w:rsid w:val="00326141"/>
    <w:rsid w:val="00327685"/>
    <w:rsid w:val="00330048"/>
    <w:rsid w:val="00333601"/>
    <w:rsid w:val="00336092"/>
    <w:rsid w:val="0034438A"/>
    <w:rsid w:val="00350BD8"/>
    <w:rsid w:val="00350C9E"/>
    <w:rsid w:val="00354E7C"/>
    <w:rsid w:val="003557AC"/>
    <w:rsid w:val="0035597A"/>
    <w:rsid w:val="00360AF1"/>
    <w:rsid w:val="0036349C"/>
    <w:rsid w:val="00364DC6"/>
    <w:rsid w:val="003659A5"/>
    <w:rsid w:val="003663D4"/>
    <w:rsid w:val="00366EF1"/>
    <w:rsid w:val="0037013F"/>
    <w:rsid w:val="00370327"/>
    <w:rsid w:val="00373748"/>
    <w:rsid w:val="003774F7"/>
    <w:rsid w:val="00380D58"/>
    <w:rsid w:val="003828AE"/>
    <w:rsid w:val="0038292E"/>
    <w:rsid w:val="0038322E"/>
    <w:rsid w:val="003838C3"/>
    <w:rsid w:val="00383B27"/>
    <w:rsid w:val="003875A6"/>
    <w:rsid w:val="0039002C"/>
    <w:rsid w:val="00391FB8"/>
    <w:rsid w:val="003922B3"/>
    <w:rsid w:val="00392D86"/>
    <w:rsid w:val="003938DA"/>
    <w:rsid w:val="00395977"/>
    <w:rsid w:val="00395B0C"/>
    <w:rsid w:val="003A3105"/>
    <w:rsid w:val="003A4A06"/>
    <w:rsid w:val="003A5706"/>
    <w:rsid w:val="003A591D"/>
    <w:rsid w:val="003A7E59"/>
    <w:rsid w:val="003B0F25"/>
    <w:rsid w:val="003B4962"/>
    <w:rsid w:val="003B546C"/>
    <w:rsid w:val="003B6082"/>
    <w:rsid w:val="003C025B"/>
    <w:rsid w:val="003C3E25"/>
    <w:rsid w:val="003C4267"/>
    <w:rsid w:val="003C6223"/>
    <w:rsid w:val="003C7C9E"/>
    <w:rsid w:val="003D0A5A"/>
    <w:rsid w:val="003D145E"/>
    <w:rsid w:val="003D1561"/>
    <w:rsid w:val="003D3CAD"/>
    <w:rsid w:val="003D4935"/>
    <w:rsid w:val="003D5A5B"/>
    <w:rsid w:val="003D686C"/>
    <w:rsid w:val="003D7E10"/>
    <w:rsid w:val="003E0D31"/>
    <w:rsid w:val="003E15DE"/>
    <w:rsid w:val="003E3E34"/>
    <w:rsid w:val="003E4B50"/>
    <w:rsid w:val="003E57C7"/>
    <w:rsid w:val="003E59BD"/>
    <w:rsid w:val="003F5EDD"/>
    <w:rsid w:val="003F6348"/>
    <w:rsid w:val="003F7BB1"/>
    <w:rsid w:val="00400594"/>
    <w:rsid w:val="00401B3A"/>
    <w:rsid w:val="00401D30"/>
    <w:rsid w:val="00404FC7"/>
    <w:rsid w:val="004074A8"/>
    <w:rsid w:val="00407587"/>
    <w:rsid w:val="00407BBF"/>
    <w:rsid w:val="00411CD3"/>
    <w:rsid w:val="00414DE1"/>
    <w:rsid w:val="00415366"/>
    <w:rsid w:val="004176D1"/>
    <w:rsid w:val="00417958"/>
    <w:rsid w:val="00421077"/>
    <w:rsid w:val="004212A0"/>
    <w:rsid w:val="0042369D"/>
    <w:rsid w:val="004260C3"/>
    <w:rsid w:val="0042738E"/>
    <w:rsid w:val="00432918"/>
    <w:rsid w:val="00433F84"/>
    <w:rsid w:val="004344A5"/>
    <w:rsid w:val="00434632"/>
    <w:rsid w:val="0044136B"/>
    <w:rsid w:val="00444223"/>
    <w:rsid w:val="00453CC6"/>
    <w:rsid w:val="0045771B"/>
    <w:rsid w:val="00464219"/>
    <w:rsid w:val="004649FA"/>
    <w:rsid w:val="0046589A"/>
    <w:rsid w:val="0046726B"/>
    <w:rsid w:val="004710D9"/>
    <w:rsid w:val="004748FD"/>
    <w:rsid w:val="00475BCF"/>
    <w:rsid w:val="004805C0"/>
    <w:rsid w:val="004821B3"/>
    <w:rsid w:val="00483912"/>
    <w:rsid w:val="00484C66"/>
    <w:rsid w:val="0048738A"/>
    <w:rsid w:val="00491DEB"/>
    <w:rsid w:val="00495421"/>
    <w:rsid w:val="00497F1B"/>
    <w:rsid w:val="004A14D9"/>
    <w:rsid w:val="004A2A69"/>
    <w:rsid w:val="004A2E4E"/>
    <w:rsid w:val="004A6282"/>
    <w:rsid w:val="004A6E57"/>
    <w:rsid w:val="004A751A"/>
    <w:rsid w:val="004B1F1E"/>
    <w:rsid w:val="004B5280"/>
    <w:rsid w:val="004B7CC2"/>
    <w:rsid w:val="004C5E02"/>
    <w:rsid w:val="004C69AF"/>
    <w:rsid w:val="004C6A41"/>
    <w:rsid w:val="004C6E57"/>
    <w:rsid w:val="004D0D3D"/>
    <w:rsid w:val="004D18ED"/>
    <w:rsid w:val="004D4712"/>
    <w:rsid w:val="004D5A80"/>
    <w:rsid w:val="004D6B8D"/>
    <w:rsid w:val="004E29E4"/>
    <w:rsid w:val="004E3A6C"/>
    <w:rsid w:val="004E3A8A"/>
    <w:rsid w:val="004E5A7B"/>
    <w:rsid w:val="004F090C"/>
    <w:rsid w:val="004F13B6"/>
    <w:rsid w:val="004F4281"/>
    <w:rsid w:val="004F4C7E"/>
    <w:rsid w:val="004F5DE1"/>
    <w:rsid w:val="00500C90"/>
    <w:rsid w:val="00500EAB"/>
    <w:rsid w:val="00502707"/>
    <w:rsid w:val="00502A9A"/>
    <w:rsid w:val="0050407C"/>
    <w:rsid w:val="005048D5"/>
    <w:rsid w:val="00504A49"/>
    <w:rsid w:val="00504DE5"/>
    <w:rsid w:val="00506F09"/>
    <w:rsid w:val="00510707"/>
    <w:rsid w:val="00513F82"/>
    <w:rsid w:val="00514646"/>
    <w:rsid w:val="005151B2"/>
    <w:rsid w:val="00515EC4"/>
    <w:rsid w:val="00517594"/>
    <w:rsid w:val="005218FF"/>
    <w:rsid w:val="00521CD6"/>
    <w:rsid w:val="00522304"/>
    <w:rsid w:val="00523F9F"/>
    <w:rsid w:val="0052573D"/>
    <w:rsid w:val="00527484"/>
    <w:rsid w:val="00527501"/>
    <w:rsid w:val="005326E4"/>
    <w:rsid w:val="00535468"/>
    <w:rsid w:val="00536F35"/>
    <w:rsid w:val="0053783E"/>
    <w:rsid w:val="00541B12"/>
    <w:rsid w:val="005454DE"/>
    <w:rsid w:val="00545C53"/>
    <w:rsid w:val="005473D8"/>
    <w:rsid w:val="00547C19"/>
    <w:rsid w:val="005523B6"/>
    <w:rsid w:val="0055446B"/>
    <w:rsid w:val="00555296"/>
    <w:rsid w:val="00555C3A"/>
    <w:rsid w:val="00565537"/>
    <w:rsid w:val="00570BF1"/>
    <w:rsid w:val="005725B0"/>
    <w:rsid w:val="005729E4"/>
    <w:rsid w:val="00576272"/>
    <w:rsid w:val="005817BC"/>
    <w:rsid w:val="0058617A"/>
    <w:rsid w:val="005906B6"/>
    <w:rsid w:val="00592831"/>
    <w:rsid w:val="005940DE"/>
    <w:rsid w:val="0059676A"/>
    <w:rsid w:val="00596A19"/>
    <w:rsid w:val="005A0CDC"/>
    <w:rsid w:val="005A1004"/>
    <w:rsid w:val="005A3684"/>
    <w:rsid w:val="005A376B"/>
    <w:rsid w:val="005B0E8A"/>
    <w:rsid w:val="005B101A"/>
    <w:rsid w:val="005B2B9B"/>
    <w:rsid w:val="005B348A"/>
    <w:rsid w:val="005B3A86"/>
    <w:rsid w:val="005B6C3D"/>
    <w:rsid w:val="005B7C8D"/>
    <w:rsid w:val="005C09EE"/>
    <w:rsid w:val="005C1D13"/>
    <w:rsid w:val="005C2B5E"/>
    <w:rsid w:val="005C2D9B"/>
    <w:rsid w:val="005C45B3"/>
    <w:rsid w:val="005C5931"/>
    <w:rsid w:val="005C60D8"/>
    <w:rsid w:val="005C73E2"/>
    <w:rsid w:val="005C7937"/>
    <w:rsid w:val="005D1E6B"/>
    <w:rsid w:val="005D3951"/>
    <w:rsid w:val="005D3D76"/>
    <w:rsid w:val="005D4697"/>
    <w:rsid w:val="005D71B5"/>
    <w:rsid w:val="005E04FC"/>
    <w:rsid w:val="005E1896"/>
    <w:rsid w:val="005E213E"/>
    <w:rsid w:val="005E24D3"/>
    <w:rsid w:val="005E58AF"/>
    <w:rsid w:val="005F2DE3"/>
    <w:rsid w:val="00601E28"/>
    <w:rsid w:val="006072C9"/>
    <w:rsid w:val="00611196"/>
    <w:rsid w:val="00613085"/>
    <w:rsid w:val="00615FFE"/>
    <w:rsid w:val="0061655B"/>
    <w:rsid w:val="0061757B"/>
    <w:rsid w:val="006207BE"/>
    <w:rsid w:val="006211DD"/>
    <w:rsid w:val="0062255A"/>
    <w:rsid w:val="006238FE"/>
    <w:rsid w:val="00627C39"/>
    <w:rsid w:val="006331AD"/>
    <w:rsid w:val="0063457F"/>
    <w:rsid w:val="006357AE"/>
    <w:rsid w:val="00635D56"/>
    <w:rsid w:val="006373AC"/>
    <w:rsid w:val="00637E7E"/>
    <w:rsid w:val="006412FF"/>
    <w:rsid w:val="00650547"/>
    <w:rsid w:val="00653DC0"/>
    <w:rsid w:val="00653E20"/>
    <w:rsid w:val="00653EEE"/>
    <w:rsid w:val="006554EC"/>
    <w:rsid w:val="00656CB9"/>
    <w:rsid w:val="00657C27"/>
    <w:rsid w:val="006600C4"/>
    <w:rsid w:val="00662E41"/>
    <w:rsid w:val="006630EE"/>
    <w:rsid w:val="0066346E"/>
    <w:rsid w:val="00666B03"/>
    <w:rsid w:val="0066790B"/>
    <w:rsid w:val="00667DB4"/>
    <w:rsid w:val="00670AFB"/>
    <w:rsid w:val="00671C3E"/>
    <w:rsid w:val="00672D9B"/>
    <w:rsid w:val="0067324C"/>
    <w:rsid w:val="0067395C"/>
    <w:rsid w:val="00674BCB"/>
    <w:rsid w:val="00680989"/>
    <w:rsid w:val="006818C9"/>
    <w:rsid w:val="00681E76"/>
    <w:rsid w:val="006822FA"/>
    <w:rsid w:val="0068485B"/>
    <w:rsid w:val="00684BCD"/>
    <w:rsid w:val="00686327"/>
    <w:rsid w:val="00686F79"/>
    <w:rsid w:val="00692393"/>
    <w:rsid w:val="00693A52"/>
    <w:rsid w:val="00696253"/>
    <w:rsid w:val="006A0578"/>
    <w:rsid w:val="006A493E"/>
    <w:rsid w:val="006A4EF7"/>
    <w:rsid w:val="006A5CCF"/>
    <w:rsid w:val="006A677D"/>
    <w:rsid w:val="006A71CA"/>
    <w:rsid w:val="006B1C54"/>
    <w:rsid w:val="006C0188"/>
    <w:rsid w:val="006C10D8"/>
    <w:rsid w:val="006C1477"/>
    <w:rsid w:val="006C401B"/>
    <w:rsid w:val="006C4A3E"/>
    <w:rsid w:val="006C4CD4"/>
    <w:rsid w:val="006C5FDB"/>
    <w:rsid w:val="006C61EE"/>
    <w:rsid w:val="006D1792"/>
    <w:rsid w:val="006D3B3D"/>
    <w:rsid w:val="006D6470"/>
    <w:rsid w:val="006D6B3C"/>
    <w:rsid w:val="006D7D22"/>
    <w:rsid w:val="006E37AE"/>
    <w:rsid w:val="006E4959"/>
    <w:rsid w:val="006E6779"/>
    <w:rsid w:val="006F1164"/>
    <w:rsid w:val="006F31D1"/>
    <w:rsid w:val="006F5BA6"/>
    <w:rsid w:val="006F60BB"/>
    <w:rsid w:val="0070083B"/>
    <w:rsid w:val="007010A3"/>
    <w:rsid w:val="007053E4"/>
    <w:rsid w:val="007105BA"/>
    <w:rsid w:val="00711C0C"/>
    <w:rsid w:val="00713758"/>
    <w:rsid w:val="00713E05"/>
    <w:rsid w:val="00715471"/>
    <w:rsid w:val="00716BB1"/>
    <w:rsid w:val="0072181D"/>
    <w:rsid w:val="00722AA9"/>
    <w:rsid w:val="00723609"/>
    <w:rsid w:val="00723D34"/>
    <w:rsid w:val="00724BAC"/>
    <w:rsid w:val="007265F3"/>
    <w:rsid w:val="007267FB"/>
    <w:rsid w:val="00726C42"/>
    <w:rsid w:val="00733AF9"/>
    <w:rsid w:val="007370D5"/>
    <w:rsid w:val="00740F23"/>
    <w:rsid w:val="007430A6"/>
    <w:rsid w:val="00744E46"/>
    <w:rsid w:val="007459E6"/>
    <w:rsid w:val="007462CF"/>
    <w:rsid w:val="00747E68"/>
    <w:rsid w:val="00752A20"/>
    <w:rsid w:val="00753D8C"/>
    <w:rsid w:val="00754D95"/>
    <w:rsid w:val="00757C44"/>
    <w:rsid w:val="00763FD1"/>
    <w:rsid w:val="00766B6F"/>
    <w:rsid w:val="00766E36"/>
    <w:rsid w:val="007712AD"/>
    <w:rsid w:val="00774B3A"/>
    <w:rsid w:val="007813CB"/>
    <w:rsid w:val="00782BB7"/>
    <w:rsid w:val="00785B83"/>
    <w:rsid w:val="00786270"/>
    <w:rsid w:val="00787F74"/>
    <w:rsid w:val="00790202"/>
    <w:rsid w:val="007910D1"/>
    <w:rsid w:val="00793BE7"/>
    <w:rsid w:val="007968F2"/>
    <w:rsid w:val="00797449"/>
    <w:rsid w:val="007A0755"/>
    <w:rsid w:val="007A1553"/>
    <w:rsid w:val="007B3996"/>
    <w:rsid w:val="007B3E14"/>
    <w:rsid w:val="007B562F"/>
    <w:rsid w:val="007B6877"/>
    <w:rsid w:val="007C437A"/>
    <w:rsid w:val="007C609B"/>
    <w:rsid w:val="007D1435"/>
    <w:rsid w:val="007D345C"/>
    <w:rsid w:val="007D7F62"/>
    <w:rsid w:val="007E0EC8"/>
    <w:rsid w:val="007E2269"/>
    <w:rsid w:val="007E36AF"/>
    <w:rsid w:val="007E3A16"/>
    <w:rsid w:val="007E3D10"/>
    <w:rsid w:val="007E5491"/>
    <w:rsid w:val="007E5A5B"/>
    <w:rsid w:val="007F08A8"/>
    <w:rsid w:val="007F10A8"/>
    <w:rsid w:val="007F1B92"/>
    <w:rsid w:val="007F2C86"/>
    <w:rsid w:val="007F33A5"/>
    <w:rsid w:val="007F4BAF"/>
    <w:rsid w:val="0080454F"/>
    <w:rsid w:val="008056F1"/>
    <w:rsid w:val="00805BD9"/>
    <w:rsid w:val="00806161"/>
    <w:rsid w:val="00807730"/>
    <w:rsid w:val="00814E03"/>
    <w:rsid w:val="008155B7"/>
    <w:rsid w:val="00816672"/>
    <w:rsid w:val="0082046B"/>
    <w:rsid w:val="00820B75"/>
    <w:rsid w:val="00826149"/>
    <w:rsid w:val="00834E57"/>
    <w:rsid w:val="008352BA"/>
    <w:rsid w:val="008443FB"/>
    <w:rsid w:val="00844613"/>
    <w:rsid w:val="00847CF0"/>
    <w:rsid w:val="0085086D"/>
    <w:rsid w:val="00852165"/>
    <w:rsid w:val="00852810"/>
    <w:rsid w:val="008535D2"/>
    <w:rsid w:val="008552C0"/>
    <w:rsid w:val="008557B7"/>
    <w:rsid w:val="008558E7"/>
    <w:rsid w:val="0085768D"/>
    <w:rsid w:val="0086023B"/>
    <w:rsid w:val="00860434"/>
    <w:rsid w:val="00861A54"/>
    <w:rsid w:val="00864C80"/>
    <w:rsid w:val="00867BE7"/>
    <w:rsid w:val="008706BA"/>
    <w:rsid w:val="00871E07"/>
    <w:rsid w:val="00877F8E"/>
    <w:rsid w:val="00880D1F"/>
    <w:rsid w:val="008817FB"/>
    <w:rsid w:val="00882B5F"/>
    <w:rsid w:val="0088318A"/>
    <w:rsid w:val="00885855"/>
    <w:rsid w:val="008907BE"/>
    <w:rsid w:val="00893859"/>
    <w:rsid w:val="00893FB9"/>
    <w:rsid w:val="008A0DCA"/>
    <w:rsid w:val="008A1B00"/>
    <w:rsid w:val="008A2117"/>
    <w:rsid w:val="008A30FB"/>
    <w:rsid w:val="008A4529"/>
    <w:rsid w:val="008A7044"/>
    <w:rsid w:val="008A7407"/>
    <w:rsid w:val="008B20C0"/>
    <w:rsid w:val="008B44F6"/>
    <w:rsid w:val="008B4E46"/>
    <w:rsid w:val="008B5ADF"/>
    <w:rsid w:val="008C1293"/>
    <w:rsid w:val="008C1EDC"/>
    <w:rsid w:val="008C47BA"/>
    <w:rsid w:val="008C5B30"/>
    <w:rsid w:val="008C5B6C"/>
    <w:rsid w:val="008C5CBF"/>
    <w:rsid w:val="008D3E70"/>
    <w:rsid w:val="008D6BD5"/>
    <w:rsid w:val="008E00B4"/>
    <w:rsid w:val="008E1E91"/>
    <w:rsid w:val="008E3315"/>
    <w:rsid w:val="008E3B03"/>
    <w:rsid w:val="008E3B5E"/>
    <w:rsid w:val="008F2129"/>
    <w:rsid w:val="008F3780"/>
    <w:rsid w:val="008F4C7C"/>
    <w:rsid w:val="00900259"/>
    <w:rsid w:val="00904094"/>
    <w:rsid w:val="009040B2"/>
    <w:rsid w:val="0090719E"/>
    <w:rsid w:val="00907805"/>
    <w:rsid w:val="00911758"/>
    <w:rsid w:val="00913A27"/>
    <w:rsid w:val="009142E0"/>
    <w:rsid w:val="00917FC0"/>
    <w:rsid w:val="00920801"/>
    <w:rsid w:val="00924D18"/>
    <w:rsid w:val="00926020"/>
    <w:rsid w:val="009272B1"/>
    <w:rsid w:val="009313EF"/>
    <w:rsid w:val="00932EED"/>
    <w:rsid w:val="00934344"/>
    <w:rsid w:val="00937A70"/>
    <w:rsid w:val="00940247"/>
    <w:rsid w:val="009421A7"/>
    <w:rsid w:val="00946BCD"/>
    <w:rsid w:val="00950618"/>
    <w:rsid w:val="00951EC1"/>
    <w:rsid w:val="00953C94"/>
    <w:rsid w:val="00954BF5"/>
    <w:rsid w:val="009579C4"/>
    <w:rsid w:val="009619B4"/>
    <w:rsid w:val="00962C1C"/>
    <w:rsid w:val="00970D57"/>
    <w:rsid w:val="009714D5"/>
    <w:rsid w:val="00975614"/>
    <w:rsid w:val="00975C1F"/>
    <w:rsid w:val="00977AAA"/>
    <w:rsid w:val="009816E3"/>
    <w:rsid w:val="00982AD2"/>
    <w:rsid w:val="00982C90"/>
    <w:rsid w:val="0098370A"/>
    <w:rsid w:val="009839A0"/>
    <w:rsid w:val="00983EE3"/>
    <w:rsid w:val="00985746"/>
    <w:rsid w:val="009879ED"/>
    <w:rsid w:val="0099265F"/>
    <w:rsid w:val="00994880"/>
    <w:rsid w:val="0099576E"/>
    <w:rsid w:val="00997B86"/>
    <w:rsid w:val="009A0B6F"/>
    <w:rsid w:val="009A2C3A"/>
    <w:rsid w:val="009A3804"/>
    <w:rsid w:val="009A52C8"/>
    <w:rsid w:val="009A57C4"/>
    <w:rsid w:val="009A6120"/>
    <w:rsid w:val="009B03B9"/>
    <w:rsid w:val="009B152D"/>
    <w:rsid w:val="009B2028"/>
    <w:rsid w:val="009B3290"/>
    <w:rsid w:val="009B433A"/>
    <w:rsid w:val="009B7643"/>
    <w:rsid w:val="009C095B"/>
    <w:rsid w:val="009C38CB"/>
    <w:rsid w:val="009C41A8"/>
    <w:rsid w:val="009C519B"/>
    <w:rsid w:val="009C5D0A"/>
    <w:rsid w:val="009C6976"/>
    <w:rsid w:val="009C6E03"/>
    <w:rsid w:val="009D0FC0"/>
    <w:rsid w:val="009D1CB7"/>
    <w:rsid w:val="009D2FDA"/>
    <w:rsid w:val="009E0103"/>
    <w:rsid w:val="009E184E"/>
    <w:rsid w:val="009E2C86"/>
    <w:rsid w:val="009E665B"/>
    <w:rsid w:val="009E67EE"/>
    <w:rsid w:val="009F10AB"/>
    <w:rsid w:val="009F274E"/>
    <w:rsid w:val="009F4E6E"/>
    <w:rsid w:val="009F5672"/>
    <w:rsid w:val="009F70E6"/>
    <w:rsid w:val="00A0136F"/>
    <w:rsid w:val="00A02301"/>
    <w:rsid w:val="00A05016"/>
    <w:rsid w:val="00A1256B"/>
    <w:rsid w:val="00A146C0"/>
    <w:rsid w:val="00A168AE"/>
    <w:rsid w:val="00A241A6"/>
    <w:rsid w:val="00A26BB4"/>
    <w:rsid w:val="00A26CF1"/>
    <w:rsid w:val="00A30841"/>
    <w:rsid w:val="00A310E7"/>
    <w:rsid w:val="00A353E7"/>
    <w:rsid w:val="00A355EB"/>
    <w:rsid w:val="00A36690"/>
    <w:rsid w:val="00A379F0"/>
    <w:rsid w:val="00A400A1"/>
    <w:rsid w:val="00A41E23"/>
    <w:rsid w:val="00A41EC8"/>
    <w:rsid w:val="00A42042"/>
    <w:rsid w:val="00A427EB"/>
    <w:rsid w:val="00A448F6"/>
    <w:rsid w:val="00A476F5"/>
    <w:rsid w:val="00A50928"/>
    <w:rsid w:val="00A50A8C"/>
    <w:rsid w:val="00A53083"/>
    <w:rsid w:val="00A564C2"/>
    <w:rsid w:val="00A609CF"/>
    <w:rsid w:val="00A63E20"/>
    <w:rsid w:val="00A64950"/>
    <w:rsid w:val="00A73111"/>
    <w:rsid w:val="00A73542"/>
    <w:rsid w:val="00A744A2"/>
    <w:rsid w:val="00A74930"/>
    <w:rsid w:val="00A75CBD"/>
    <w:rsid w:val="00A816C1"/>
    <w:rsid w:val="00A85763"/>
    <w:rsid w:val="00A87305"/>
    <w:rsid w:val="00A90C11"/>
    <w:rsid w:val="00A958EC"/>
    <w:rsid w:val="00AA0CB9"/>
    <w:rsid w:val="00AA2427"/>
    <w:rsid w:val="00AA26D1"/>
    <w:rsid w:val="00AA2C01"/>
    <w:rsid w:val="00AA3F08"/>
    <w:rsid w:val="00AA4EA9"/>
    <w:rsid w:val="00AA6380"/>
    <w:rsid w:val="00AA6FBD"/>
    <w:rsid w:val="00AB32D3"/>
    <w:rsid w:val="00AB4D5F"/>
    <w:rsid w:val="00AB75F7"/>
    <w:rsid w:val="00AB7CEC"/>
    <w:rsid w:val="00AC0EEA"/>
    <w:rsid w:val="00AC1042"/>
    <w:rsid w:val="00AC3293"/>
    <w:rsid w:val="00AC61B4"/>
    <w:rsid w:val="00AD04F7"/>
    <w:rsid w:val="00AD1E8D"/>
    <w:rsid w:val="00AD2C6C"/>
    <w:rsid w:val="00AD2D7B"/>
    <w:rsid w:val="00AD3A0F"/>
    <w:rsid w:val="00AD4971"/>
    <w:rsid w:val="00AD65FA"/>
    <w:rsid w:val="00AE09CE"/>
    <w:rsid w:val="00AE0E14"/>
    <w:rsid w:val="00AE348C"/>
    <w:rsid w:val="00AF1A41"/>
    <w:rsid w:val="00AF44C1"/>
    <w:rsid w:val="00B00E09"/>
    <w:rsid w:val="00B029B4"/>
    <w:rsid w:val="00B037B0"/>
    <w:rsid w:val="00B06823"/>
    <w:rsid w:val="00B069D5"/>
    <w:rsid w:val="00B10690"/>
    <w:rsid w:val="00B10EC2"/>
    <w:rsid w:val="00B12B50"/>
    <w:rsid w:val="00B1320F"/>
    <w:rsid w:val="00B1325E"/>
    <w:rsid w:val="00B143A6"/>
    <w:rsid w:val="00B1487C"/>
    <w:rsid w:val="00B17A58"/>
    <w:rsid w:val="00B200C8"/>
    <w:rsid w:val="00B20C9E"/>
    <w:rsid w:val="00B21D99"/>
    <w:rsid w:val="00B230E1"/>
    <w:rsid w:val="00B24064"/>
    <w:rsid w:val="00B264D4"/>
    <w:rsid w:val="00B2656E"/>
    <w:rsid w:val="00B30FCD"/>
    <w:rsid w:val="00B3120F"/>
    <w:rsid w:val="00B31C38"/>
    <w:rsid w:val="00B33943"/>
    <w:rsid w:val="00B34E43"/>
    <w:rsid w:val="00B351BE"/>
    <w:rsid w:val="00B359B7"/>
    <w:rsid w:val="00B4058D"/>
    <w:rsid w:val="00B405AC"/>
    <w:rsid w:val="00B411AA"/>
    <w:rsid w:val="00B432DE"/>
    <w:rsid w:val="00B465D4"/>
    <w:rsid w:val="00B47F49"/>
    <w:rsid w:val="00B5081F"/>
    <w:rsid w:val="00B52ACF"/>
    <w:rsid w:val="00B54400"/>
    <w:rsid w:val="00B56026"/>
    <w:rsid w:val="00B564EB"/>
    <w:rsid w:val="00B605DC"/>
    <w:rsid w:val="00B6226E"/>
    <w:rsid w:val="00B62462"/>
    <w:rsid w:val="00B624CA"/>
    <w:rsid w:val="00B65085"/>
    <w:rsid w:val="00B66E71"/>
    <w:rsid w:val="00B670B5"/>
    <w:rsid w:val="00B67D27"/>
    <w:rsid w:val="00B76012"/>
    <w:rsid w:val="00B76A9A"/>
    <w:rsid w:val="00B820D6"/>
    <w:rsid w:val="00B91113"/>
    <w:rsid w:val="00B92D81"/>
    <w:rsid w:val="00B94FEA"/>
    <w:rsid w:val="00B962F0"/>
    <w:rsid w:val="00BA0BFD"/>
    <w:rsid w:val="00BA3778"/>
    <w:rsid w:val="00BA654F"/>
    <w:rsid w:val="00BB0CB1"/>
    <w:rsid w:val="00BB24B1"/>
    <w:rsid w:val="00BB2DCA"/>
    <w:rsid w:val="00BB322A"/>
    <w:rsid w:val="00BB35DD"/>
    <w:rsid w:val="00BB45DB"/>
    <w:rsid w:val="00BC03E4"/>
    <w:rsid w:val="00BC26DB"/>
    <w:rsid w:val="00BC5ADA"/>
    <w:rsid w:val="00BC5DBA"/>
    <w:rsid w:val="00BD0F90"/>
    <w:rsid w:val="00BD27B7"/>
    <w:rsid w:val="00BD33A0"/>
    <w:rsid w:val="00BD7CD4"/>
    <w:rsid w:val="00BE0EA7"/>
    <w:rsid w:val="00BE110D"/>
    <w:rsid w:val="00BE17D7"/>
    <w:rsid w:val="00BE2ED3"/>
    <w:rsid w:val="00BE4480"/>
    <w:rsid w:val="00BE6750"/>
    <w:rsid w:val="00BE6B73"/>
    <w:rsid w:val="00BE6BB5"/>
    <w:rsid w:val="00BE7378"/>
    <w:rsid w:val="00BE73D4"/>
    <w:rsid w:val="00BF2AF7"/>
    <w:rsid w:val="00BF437C"/>
    <w:rsid w:val="00BF5AF4"/>
    <w:rsid w:val="00C00FE8"/>
    <w:rsid w:val="00C03227"/>
    <w:rsid w:val="00C13470"/>
    <w:rsid w:val="00C14FD3"/>
    <w:rsid w:val="00C152C3"/>
    <w:rsid w:val="00C15820"/>
    <w:rsid w:val="00C17CE4"/>
    <w:rsid w:val="00C21964"/>
    <w:rsid w:val="00C22823"/>
    <w:rsid w:val="00C24242"/>
    <w:rsid w:val="00C243C9"/>
    <w:rsid w:val="00C251FC"/>
    <w:rsid w:val="00C25539"/>
    <w:rsid w:val="00C311FD"/>
    <w:rsid w:val="00C34D88"/>
    <w:rsid w:val="00C36BE7"/>
    <w:rsid w:val="00C37F4D"/>
    <w:rsid w:val="00C41318"/>
    <w:rsid w:val="00C45D84"/>
    <w:rsid w:val="00C4623E"/>
    <w:rsid w:val="00C471AF"/>
    <w:rsid w:val="00C525C0"/>
    <w:rsid w:val="00C5288C"/>
    <w:rsid w:val="00C52FA4"/>
    <w:rsid w:val="00C531CB"/>
    <w:rsid w:val="00C538A7"/>
    <w:rsid w:val="00C5584E"/>
    <w:rsid w:val="00C5587E"/>
    <w:rsid w:val="00C56286"/>
    <w:rsid w:val="00C6141B"/>
    <w:rsid w:val="00C618E4"/>
    <w:rsid w:val="00C61D0B"/>
    <w:rsid w:val="00C639EA"/>
    <w:rsid w:val="00C65B0B"/>
    <w:rsid w:val="00C66FCD"/>
    <w:rsid w:val="00C73E99"/>
    <w:rsid w:val="00C76FDE"/>
    <w:rsid w:val="00C77DFC"/>
    <w:rsid w:val="00C80AEE"/>
    <w:rsid w:val="00C82596"/>
    <w:rsid w:val="00C82DA3"/>
    <w:rsid w:val="00C83C6E"/>
    <w:rsid w:val="00C83F68"/>
    <w:rsid w:val="00C85B91"/>
    <w:rsid w:val="00C85C75"/>
    <w:rsid w:val="00C8636D"/>
    <w:rsid w:val="00C869B2"/>
    <w:rsid w:val="00C903BF"/>
    <w:rsid w:val="00C92004"/>
    <w:rsid w:val="00C93F39"/>
    <w:rsid w:val="00C957D8"/>
    <w:rsid w:val="00C95C12"/>
    <w:rsid w:val="00CA515F"/>
    <w:rsid w:val="00CA7505"/>
    <w:rsid w:val="00CA7EAE"/>
    <w:rsid w:val="00CB4076"/>
    <w:rsid w:val="00CB440B"/>
    <w:rsid w:val="00CB597B"/>
    <w:rsid w:val="00CB73B1"/>
    <w:rsid w:val="00CC3BD2"/>
    <w:rsid w:val="00CC57CC"/>
    <w:rsid w:val="00CC5A8F"/>
    <w:rsid w:val="00CD235A"/>
    <w:rsid w:val="00CD2F15"/>
    <w:rsid w:val="00CD6D84"/>
    <w:rsid w:val="00CE34BA"/>
    <w:rsid w:val="00CE3E55"/>
    <w:rsid w:val="00CE66B8"/>
    <w:rsid w:val="00CE670E"/>
    <w:rsid w:val="00CF1CA5"/>
    <w:rsid w:val="00CF45DC"/>
    <w:rsid w:val="00D0098E"/>
    <w:rsid w:val="00D022CE"/>
    <w:rsid w:val="00D033C0"/>
    <w:rsid w:val="00D034D5"/>
    <w:rsid w:val="00D1351A"/>
    <w:rsid w:val="00D14975"/>
    <w:rsid w:val="00D21EB5"/>
    <w:rsid w:val="00D22542"/>
    <w:rsid w:val="00D24D97"/>
    <w:rsid w:val="00D35747"/>
    <w:rsid w:val="00D36BF7"/>
    <w:rsid w:val="00D36F04"/>
    <w:rsid w:val="00D412C1"/>
    <w:rsid w:val="00D451BA"/>
    <w:rsid w:val="00D524EA"/>
    <w:rsid w:val="00D54C64"/>
    <w:rsid w:val="00D6321E"/>
    <w:rsid w:val="00D712EC"/>
    <w:rsid w:val="00D7482C"/>
    <w:rsid w:val="00D75394"/>
    <w:rsid w:val="00D80C12"/>
    <w:rsid w:val="00D81521"/>
    <w:rsid w:val="00D81DF8"/>
    <w:rsid w:val="00D8203E"/>
    <w:rsid w:val="00D838C1"/>
    <w:rsid w:val="00D84E70"/>
    <w:rsid w:val="00D87E53"/>
    <w:rsid w:val="00D94DFB"/>
    <w:rsid w:val="00D94E18"/>
    <w:rsid w:val="00D959DC"/>
    <w:rsid w:val="00D95E9A"/>
    <w:rsid w:val="00D96023"/>
    <w:rsid w:val="00D962BB"/>
    <w:rsid w:val="00DA5E83"/>
    <w:rsid w:val="00DB1EA8"/>
    <w:rsid w:val="00DB23D1"/>
    <w:rsid w:val="00DB3721"/>
    <w:rsid w:val="00DB6550"/>
    <w:rsid w:val="00DB6B36"/>
    <w:rsid w:val="00DC2CB6"/>
    <w:rsid w:val="00DC3AD3"/>
    <w:rsid w:val="00DC5131"/>
    <w:rsid w:val="00DC52D9"/>
    <w:rsid w:val="00DC538D"/>
    <w:rsid w:val="00DC679D"/>
    <w:rsid w:val="00DC7F54"/>
    <w:rsid w:val="00DD0417"/>
    <w:rsid w:val="00DD05DD"/>
    <w:rsid w:val="00DD0850"/>
    <w:rsid w:val="00DD0F30"/>
    <w:rsid w:val="00DD456D"/>
    <w:rsid w:val="00DD467A"/>
    <w:rsid w:val="00DD49E9"/>
    <w:rsid w:val="00DD5900"/>
    <w:rsid w:val="00DD697A"/>
    <w:rsid w:val="00DE0CA2"/>
    <w:rsid w:val="00DE2A45"/>
    <w:rsid w:val="00DE3974"/>
    <w:rsid w:val="00DE58F0"/>
    <w:rsid w:val="00DE6059"/>
    <w:rsid w:val="00DE7A53"/>
    <w:rsid w:val="00DE7FC9"/>
    <w:rsid w:val="00DF14ED"/>
    <w:rsid w:val="00DF43BD"/>
    <w:rsid w:val="00DF54BC"/>
    <w:rsid w:val="00E04E7D"/>
    <w:rsid w:val="00E055C0"/>
    <w:rsid w:val="00E0628F"/>
    <w:rsid w:val="00E07069"/>
    <w:rsid w:val="00E109A2"/>
    <w:rsid w:val="00E1351E"/>
    <w:rsid w:val="00E135F0"/>
    <w:rsid w:val="00E16EF4"/>
    <w:rsid w:val="00E20A78"/>
    <w:rsid w:val="00E211D8"/>
    <w:rsid w:val="00E21232"/>
    <w:rsid w:val="00E242A4"/>
    <w:rsid w:val="00E24E52"/>
    <w:rsid w:val="00E2746A"/>
    <w:rsid w:val="00E32E08"/>
    <w:rsid w:val="00E3565E"/>
    <w:rsid w:val="00E36F1B"/>
    <w:rsid w:val="00E4261A"/>
    <w:rsid w:val="00E43116"/>
    <w:rsid w:val="00E43D79"/>
    <w:rsid w:val="00E4528C"/>
    <w:rsid w:val="00E4567B"/>
    <w:rsid w:val="00E47D3C"/>
    <w:rsid w:val="00E50045"/>
    <w:rsid w:val="00E5007E"/>
    <w:rsid w:val="00E5236F"/>
    <w:rsid w:val="00E554E2"/>
    <w:rsid w:val="00E65C56"/>
    <w:rsid w:val="00E66088"/>
    <w:rsid w:val="00E67339"/>
    <w:rsid w:val="00E70273"/>
    <w:rsid w:val="00E706A1"/>
    <w:rsid w:val="00E755FF"/>
    <w:rsid w:val="00E82100"/>
    <w:rsid w:val="00E90986"/>
    <w:rsid w:val="00E909E2"/>
    <w:rsid w:val="00E9194C"/>
    <w:rsid w:val="00E9368C"/>
    <w:rsid w:val="00E93AB9"/>
    <w:rsid w:val="00E95151"/>
    <w:rsid w:val="00E96FC2"/>
    <w:rsid w:val="00E97079"/>
    <w:rsid w:val="00E979FD"/>
    <w:rsid w:val="00EA55A6"/>
    <w:rsid w:val="00EA635F"/>
    <w:rsid w:val="00EB23FA"/>
    <w:rsid w:val="00EB2CF5"/>
    <w:rsid w:val="00EB4C8F"/>
    <w:rsid w:val="00EB5758"/>
    <w:rsid w:val="00EB6688"/>
    <w:rsid w:val="00EC3308"/>
    <w:rsid w:val="00EC5615"/>
    <w:rsid w:val="00EC60E0"/>
    <w:rsid w:val="00ED005E"/>
    <w:rsid w:val="00ED0C90"/>
    <w:rsid w:val="00ED1BAB"/>
    <w:rsid w:val="00ED376C"/>
    <w:rsid w:val="00ED4346"/>
    <w:rsid w:val="00ED483B"/>
    <w:rsid w:val="00ED53F0"/>
    <w:rsid w:val="00EE109C"/>
    <w:rsid w:val="00EE1116"/>
    <w:rsid w:val="00EE3BC8"/>
    <w:rsid w:val="00EE3EBF"/>
    <w:rsid w:val="00EE4E2F"/>
    <w:rsid w:val="00EF0190"/>
    <w:rsid w:val="00EF062E"/>
    <w:rsid w:val="00EF3D31"/>
    <w:rsid w:val="00F005AA"/>
    <w:rsid w:val="00F01EEE"/>
    <w:rsid w:val="00F072AD"/>
    <w:rsid w:val="00F1036D"/>
    <w:rsid w:val="00F10C65"/>
    <w:rsid w:val="00F1478F"/>
    <w:rsid w:val="00F22F3D"/>
    <w:rsid w:val="00F24902"/>
    <w:rsid w:val="00F26F6C"/>
    <w:rsid w:val="00F27848"/>
    <w:rsid w:val="00F31042"/>
    <w:rsid w:val="00F31A69"/>
    <w:rsid w:val="00F32587"/>
    <w:rsid w:val="00F32F04"/>
    <w:rsid w:val="00F35C92"/>
    <w:rsid w:val="00F549B2"/>
    <w:rsid w:val="00F60482"/>
    <w:rsid w:val="00F6066B"/>
    <w:rsid w:val="00F61429"/>
    <w:rsid w:val="00F62C5C"/>
    <w:rsid w:val="00F630A4"/>
    <w:rsid w:val="00F63E37"/>
    <w:rsid w:val="00F66182"/>
    <w:rsid w:val="00F67787"/>
    <w:rsid w:val="00F71322"/>
    <w:rsid w:val="00F71EC5"/>
    <w:rsid w:val="00F735ED"/>
    <w:rsid w:val="00F74A7D"/>
    <w:rsid w:val="00F7778A"/>
    <w:rsid w:val="00F81C84"/>
    <w:rsid w:val="00F842D0"/>
    <w:rsid w:val="00F85164"/>
    <w:rsid w:val="00F90BB8"/>
    <w:rsid w:val="00F97FE3"/>
    <w:rsid w:val="00FA20F9"/>
    <w:rsid w:val="00FA6084"/>
    <w:rsid w:val="00FA61A1"/>
    <w:rsid w:val="00FA72CF"/>
    <w:rsid w:val="00FA7BC9"/>
    <w:rsid w:val="00FA7E10"/>
    <w:rsid w:val="00FB02DE"/>
    <w:rsid w:val="00FB0D48"/>
    <w:rsid w:val="00FB34D2"/>
    <w:rsid w:val="00FB3863"/>
    <w:rsid w:val="00FB70EB"/>
    <w:rsid w:val="00FC16CD"/>
    <w:rsid w:val="00FC2C2C"/>
    <w:rsid w:val="00FD0E5B"/>
    <w:rsid w:val="00FD1A73"/>
    <w:rsid w:val="00FD5DA1"/>
    <w:rsid w:val="00FE2204"/>
    <w:rsid w:val="00FE59C4"/>
    <w:rsid w:val="00FE5C2D"/>
    <w:rsid w:val="00FE6577"/>
    <w:rsid w:val="00FF1726"/>
    <w:rsid w:val="00FF1FFE"/>
    <w:rsid w:val="00FF25A8"/>
    <w:rsid w:val="00FF39C7"/>
    <w:rsid w:val="00FF701E"/>
    <w:rsid w:val="00FF77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70961B"/>
  <w15:chartTrackingRefBased/>
  <w15:docId w15:val="{F04277D0-7F7E-4D56-BF56-00601A34D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62C"/>
    <w:pPr>
      <w:spacing w:line="260" w:lineRule="atLeast"/>
      <w:jc w:val="both"/>
    </w:pPr>
    <w:rPr>
      <w:rFonts w:ascii="Palatino Linotype" w:hAnsi="Palatino Linotype"/>
      <w:noProof/>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DPI11articletype">
    <w:name w:val="MDPI_1.1_article_type"/>
    <w:next w:val="Normal"/>
    <w:qFormat/>
    <w:rsid w:val="00522304"/>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522304"/>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522304"/>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522304"/>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522304"/>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522304"/>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522304"/>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522304"/>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anormal"/>
    <w:uiPriority w:val="99"/>
    <w:rsid w:val="0046726B"/>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aconcuadrcula">
    <w:name w:val="Table Grid"/>
    <w:basedOn w:val="Tablanormal"/>
    <w:uiPriority w:val="59"/>
    <w:rsid w:val="00522304"/>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rsid w:val="00522304"/>
    <w:pPr>
      <w:tabs>
        <w:tab w:val="center" w:pos="4153"/>
        <w:tab w:val="right" w:pos="8306"/>
      </w:tabs>
      <w:snapToGrid w:val="0"/>
      <w:spacing w:line="240" w:lineRule="atLeast"/>
    </w:pPr>
    <w:rPr>
      <w:szCs w:val="18"/>
    </w:rPr>
  </w:style>
  <w:style w:type="character" w:customStyle="1" w:styleId="PiedepginaCar">
    <w:name w:val="Pie de página Car"/>
    <w:link w:val="Piedepgina"/>
    <w:uiPriority w:val="99"/>
    <w:rsid w:val="00522304"/>
    <w:rPr>
      <w:rFonts w:ascii="Palatino Linotype" w:hAnsi="Palatino Linotype"/>
      <w:noProof/>
      <w:color w:val="000000"/>
      <w:szCs w:val="18"/>
    </w:rPr>
  </w:style>
  <w:style w:type="paragraph" w:styleId="Encabezado">
    <w:name w:val="header"/>
    <w:basedOn w:val="Normal"/>
    <w:link w:val="EncabezadoCar"/>
    <w:uiPriority w:val="99"/>
    <w:rsid w:val="00522304"/>
    <w:pPr>
      <w:pBdr>
        <w:bottom w:val="single" w:sz="6" w:space="1" w:color="auto"/>
      </w:pBdr>
      <w:tabs>
        <w:tab w:val="center" w:pos="4153"/>
        <w:tab w:val="right" w:pos="8306"/>
      </w:tabs>
      <w:snapToGrid w:val="0"/>
      <w:spacing w:line="240" w:lineRule="atLeast"/>
      <w:jc w:val="center"/>
    </w:pPr>
    <w:rPr>
      <w:szCs w:val="18"/>
    </w:rPr>
  </w:style>
  <w:style w:type="character" w:customStyle="1" w:styleId="EncabezadoCar">
    <w:name w:val="Encabezado Car"/>
    <w:link w:val="Encabezado"/>
    <w:uiPriority w:val="99"/>
    <w:rsid w:val="00522304"/>
    <w:rPr>
      <w:rFonts w:ascii="Palatino Linotype" w:hAnsi="Palatino Linotype"/>
      <w:noProof/>
      <w:color w:val="000000"/>
      <w:szCs w:val="18"/>
    </w:rPr>
  </w:style>
  <w:style w:type="paragraph" w:customStyle="1" w:styleId="MDPIheaderjournallogo">
    <w:name w:val="MDPI_header_journal_logo"/>
    <w:qFormat/>
    <w:rsid w:val="00522304"/>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522304"/>
    <w:pPr>
      <w:ind w:firstLine="0"/>
    </w:pPr>
  </w:style>
  <w:style w:type="paragraph" w:customStyle="1" w:styleId="MDPI31text">
    <w:name w:val="MDPI_3.1_text"/>
    <w:qFormat/>
    <w:rsid w:val="00322BD2"/>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522304"/>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522304"/>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522304"/>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522304"/>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10707"/>
    <w:pPr>
      <w:numPr>
        <w:numId w:val="2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10707"/>
    <w:pPr>
      <w:numPr>
        <w:numId w:val="20"/>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522304"/>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522304"/>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522304"/>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7D143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522304"/>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522304"/>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522304"/>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522304"/>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522304"/>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footerfirstpage">
    <w:name w:val="MDPI_footer_firstpage"/>
    <w:qFormat/>
    <w:rsid w:val="00522304"/>
    <w:pPr>
      <w:tabs>
        <w:tab w:val="right" w:pos="8845"/>
      </w:tabs>
      <w:spacing w:line="160" w:lineRule="exact"/>
    </w:pPr>
    <w:rPr>
      <w:rFonts w:ascii="Palatino Linotype" w:eastAsia="Times New Roman" w:hAnsi="Palatino Linotype"/>
      <w:color w:val="000000"/>
      <w:sz w:val="16"/>
      <w:lang w:eastAsia="de-DE"/>
    </w:rPr>
  </w:style>
  <w:style w:type="paragraph" w:customStyle="1" w:styleId="MDPI23heading3">
    <w:name w:val="MDPI_2.3_heading3"/>
    <w:qFormat/>
    <w:rsid w:val="00522304"/>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522304"/>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522304"/>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187A46"/>
    <w:pPr>
      <w:numPr>
        <w:numId w:val="23"/>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Textodeglobo">
    <w:name w:val="Balloon Text"/>
    <w:basedOn w:val="Normal"/>
    <w:link w:val="TextodegloboCar"/>
    <w:uiPriority w:val="99"/>
    <w:rsid w:val="00522304"/>
    <w:rPr>
      <w:rFonts w:cs="Tahoma"/>
      <w:szCs w:val="18"/>
    </w:rPr>
  </w:style>
  <w:style w:type="character" w:customStyle="1" w:styleId="TextodegloboCar">
    <w:name w:val="Texto de globo Car"/>
    <w:link w:val="Textodeglobo"/>
    <w:uiPriority w:val="99"/>
    <w:rsid w:val="00522304"/>
    <w:rPr>
      <w:rFonts w:ascii="Palatino Linotype" w:hAnsi="Palatino Linotype" w:cs="Tahoma"/>
      <w:noProof/>
      <w:color w:val="000000"/>
      <w:szCs w:val="18"/>
    </w:rPr>
  </w:style>
  <w:style w:type="character" w:styleId="Nmerodelnea">
    <w:name w:val="line number"/>
    <w:uiPriority w:val="99"/>
    <w:rsid w:val="00284BEB"/>
    <w:rPr>
      <w:rFonts w:ascii="Palatino Linotype" w:hAnsi="Palatino Linotype"/>
      <w:sz w:val="16"/>
    </w:rPr>
  </w:style>
  <w:style w:type="table" w:customStyle="1" w:styleId="MDPI41threelinetable">
    <w:name w:val="MDPI_4.1_three_line_table"/>
    <w:basedOn w:val="Tablanormal"/>
    <w:uiPriority w:val="99"/>
    <w:rsid w:val="00522304"/>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ipervnculo">
    <w:name w:val="Hyperlink"/>
    <w:uiPriority w:val="99"/>
    <w:rsid w:val="00522304"/>
    <w:rPr>
      <w:color w:val="0000FF"/>
      <w:u w:val="single"/>
    </w:rPr>
  </w:style>
  <w:style w:type="character" w:styleId="Mencinsinresolver">
    <w:name w:val="Unresolved Mention"/>
    <w:uiPriority w:val="99"/>
    <w:semiHidden/>
    <w:unhideWhenUsed/>
    <w:rsid w:val="00C243C9"/>
    <w:rPr>
      <w:color w:val="605E5C"/>
      <w:shd w:val="clear" w:color="auto" w:fill="E1DFDD"/>
    </w:rPr>
  </w:style>
  <w:style w:type="table" w:styleId="Tablanormal4">
    <w:name w:val="Plain Table 4"/>
    <w:basedOn w:val="Tablanormal"/>
    <w:uiPriority w:val="44"/>
    <w:rsid w:val="00AE34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522304"/>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522304"/>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522304"/>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06442A"/>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522304"/>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522304"/>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522304"/>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2872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522304"/>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522304"/>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522304"/>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header">
    <w:name w:val="MDPI_header"/>
    <w:qFormat/>
    <w:rsid w:val="00522304"/>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522304"/>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522304"/>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anormal"/>
    <w:uiPriority w:val="99"/>
    <w:rsid w:val="00522304"/>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522304"/>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522304"/>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522304"/>
  </w:style>
  <w:style w:type="paragraph" w:styleId="Bibliografa">
    <w:name w:val="Bibliography"/>
    <w:basedOn w:val="Normal"/>
    <w:next w:val="Normal"/>
    <w:uiPriority w:val="37"/>
    <w:unhideWhenUsed/>
    <w:rsid w:val="00522304"/>
    <w:pPr>
      <w:tabs>
        <w:tab w:val="left" w:pos="384"/>
      </w:tabs>
      <w:spacing w:line="240" w:lineRule="atLeast"/>
      <w:ind w:left="384" w:hanging="384"/>
    </w:pPr>
  </w:style>
  <w:style w:type="paragraph" w:styleId="Textoindependiente">
    <w:name w:val="Body Text"/>
    <w:link w:val="TextoindependienteCar"/>
    <w:rsid w:val="00522304"/>
    <w:pPr>
      <w:spacing w:after="120" w:line="340" w:lineRule="atLeast"/>
      <w:jc w:val="both"/>
    </w:pPr>
    <w:rPr>
      <w:rFonts w:ascii="Palatino Linotype" w:hAnsi="Palatino Linotype"/>
      <w:color w:val="000000"/>
      <w:sz w:val="24"/>
      <w:lang w:eastAsia="de-DE"/>
    </w:rPr>
  </w:style>
  <w:style w:type="character" w:customStyle="1" w:styleId="TextoindependienteCar">
    <w:name w:val="Texto independiente Car"/>
    <w:link w:val="Textoindependiente"/>
    <w:rsid w:val="00522304"/>
    <w:rPr>
      <w:rFonts w:ascii="Palatino Linotype" w:hAnsi="Palatino Linotype"/>
      <w:color w:val="000000"/>
      <w:sz w:val="24"/>
      <w:lang w:eastAsia="de-DE"/>
    </w:rPr>
  </w:style>
  <w:style w:type="character" w:styleId="Refdecomentario">
    <w:name w:val="annotation reference"/>
    <w:rsid w:val="00522304"/>
    <w:rPr>
      <w:sz w:val="21"/>
      <w:szCs w:val="21"/>
    </w:rPr>
  </w:style>
  <w:style w:type="paragraph" w:styleId="Textocomentario">
    <w:name w:val="annotation text"/>
    <w:basedOn w:val="Normal"/>
    <w:link w:val="TextocomentarioCar"/>
    <w:rsid w:val="00522304"/>
  </w:style>
  <w:style w:type="character" w:customStyle="1" w:styleId="TextocomentarioCar">
    <w:name w:val="Texto comentario Car"/>
    <w:link w:val="Textocomentario"/>
    <w:rsid w:val="00522304"/>
    <w:rPr>
      <w:rFonts w:ascii="Palatino Linotype" w:hAnsi="Palatino Linotype"/>
      <w:noProof/>
      <w:color w:val="000000"/>
    </w:rPr>
  </w:style>
  <w:style w:type="paragraph" w:styleId="Asuntodelcomentario">
    <w:name w:val="annotation subject"/>
    <w:basedOn w:val="Textocomentario"/>
    <w:next w:val="Textocomentario"/>
    <w:link w:val="AsuntodelcomentarioCar"/>
    <w:rsid w:val="00522304"/>
    <w:rPr>
      <w:b/>
      <w:bCs/>
    </w:rPr>
  </w:style>
  <w:style w:type="character" w:customStyle="1" w:styleId="AsuntodelcomentarioCar">
    <w:name w:val="Asunto del comentario Car"/>
    <w:link w:val="Asuntodelcomentario"/>
    <w:rsid w:val="00522304"/>
    <w:rPr>
      <w:rFonts w:ascii="Palatino Linotype" w:hAnsi="Palatino Linotype"/>
      <w:b/>
      <w:bCs/>
      <w:noProof/>
      <w:color w:val="000000"/>
    </w:rPr>
  </w:style>
  <w:style w:type="character" w:styleId="Refdenotaalfinal">
    <w:name w:val="endnote reference"/>
    <w:rsid w:val="00522304"/>
    <w:rPr>
      <w:vertAlign w:val="superscript"/>
    </w:rPr>
  </w:style>
  <w:style w:type="paragraph" w:styleId="Textonotaalfinal">
    <w:name w:val="endnote text"/>
    <w:basedOn w:val="Normal"/>
    <w:link w:val="TextonotaalfinalCar"/>
    <w:semiHidden/>
    <w:unhideWhenUsed/>
    <w:rsid w:val="00522304"/>
    <w:pPr>
      <w:spacing w:line="240" w:lineRule="auto"/>
    </w:pPr>
  </w:style>
  <w:style w:type="character" w:customStyle="1" w:styleId="TextonotaalfinalCar">
    <w:name w:val="Texto nota al final Car"/>
    <w:link w:val="Textonotaalfinal"/>
    <w:semiHidden/>
    <w:rsid w:val="00522304"/>
    <w:rPr>
      <w:rFonts w:ascii="Palatino Linotype" w:hAnsi="Palatino Linotype"/>
      <w:noProof/>
      <w:color w:val="000000"/>
    </w:rPr>
  </w:style>
  <w:style w:type="character" w:styleId="Hipervnculovisitado">
    <w:name w:val="FollowedHyperlink"/>
    <w:rsid w:val="00522304"/>
    <w:rPr>
      <w:color w:val="954F72"/>
      <w:u w:val="single"/>
    </w:rPr>
  </w:style>
  <w:style w:type="paragraph" w:styleId="Textonotapie">
    <w:name w:val="footnote text"/>
    <w:basedOn w:val="Normal"/>
    <w:link w:val="TextonotapieCar"/>
    <w:semiHidden/>
    <w:unhideWhenUsed/>
    <w:rsid w:val="00522304"/>
    <w:pPr>
      <w:spacing w:line="240" w:lineRule="auto"/>
    </w:pPr>
  </w:style>
  <w:style w:type="character" w:customStyle="1" w:styleId="TextonotapieCar">
    <w:name w:val="Texto nota pie Car"/>
    <w:link w:val="Textonotapie"/>
    <w:semiHidden/>
    <w:rsid w:val="00522304"/>
    <w:rPr>
      <w:rFonts w:ascii="Palatino Linotype" w:hAnsi="Palatino Linotype"/>
      <w:noProof/>
      <w:color w:val="000000"/>
    </w:rPr>
  </w:style>
  <w:style w:type="paragraph" w:styleId="NormalWeb">
    <w:name w:val="Normal (Web)"/>
    <w:basedOn w:val="Normal"/>
    <w:uiPriority w:val="99"/>
    <w:rsid w:val="00522304"/>
    <w:rPr>
      <w:szCs w:val="24"/>
    </w:rPr>
  </w:style>
  <w:style w:type="paragraph" w:customStyle="1" w:styleId="MsoFootnoteText0">
    <w:name w:val="MsoFootnoteText"/>
    <w:basedOn w:val="NormalWeb"/>
    <w:qFormat/>
    <w:rsid w:val="00522304"/>
    <w:rPr>
      <w:rFonts w:ascii="Times New Roman" w:hAnsi="Times New Roman"/>
    </w:rPr>
  </w:style>
  <w:style w:type="character" w:styleId="Nmerodepgina">
    <w:name w:val="page number"/>
    <w:rsid w:val="00522304"/>
  </w:style>
  <w:style w:type="character" w:styleId="Textodelmarcadordeposicin">
    <w:name w:val="Placeholder Text"/>
    <w:uiPriority w:val="99"/>
    <w:semiHidden/>
    <w:rsid w:val="00522304"/>
    <w:rPr>
      <w:color w:val="808080"/>
    </w:rPr>
  </w:style>
  <w:style w:type="paragraph" w:customStyle="1" w:styleId="MDPI71FootNotes">
    <w:name w:val="MDPI_7.1_FootNotes"/>
    <w:qFormat/>
    <w:rsid w:val="00262314"/>
    <w:pPr>
      <w:numPr>
        <w:numId w:val="21"/>
      </w:numPr>
      <w:adjustRightInd w:val="0"/>
      <w:snapToGrid w:val="0"/>
      <w:spacing w:line="228" w:lineRule="auto"/>
    </w:pPr>
    <w:rPr>
      <w:rFonts w:ascii="Palatino Linotype" w:eastAsiaTheme="minorEastAsia" w:hAnsi="Palatino Linotype"/>
      <w:noProof/>
      <w:color w:val="000000"/>
      <w:sz w:val="18"/>
    </w:rPr>
  </w:style>
  <w:style w:type="table" w:styleId="Tablanormal2">
    <w:name w:val="Plain Table 2"/>
    <w:basedOn w:val="Tablanormal"/>
    <w:uiPriority w:val="42"/>
    <w:rsid w:val="00FD1A7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clara">
    <w:name w:val="Grid Table Light"/>
    <w:basedOn w:val="Tablanormal"/>
    <w:uiPriority w:val="40"/>
    <w:rsid w:val="0031462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34"/>
    <w:qFormat/>
    <w:rsid w:val="008B44F6"/>
    <w:pPr>
      <w:spacing w:after="160" w:line="259" w:lineRule="auto"/>
      <w:ind w:left="720"/>
      <w:contextualSpacing/>
      <w:jc w:val="left"/>
    </w:pPr>
    <w:rPr>
      <w:rFonts w:asciiTheme="minorHAnsi" w:eastAsiaTheme="minorHAnsi" w:hAnsiTheme="minorHAnsi" w:cstheme="minorBidi"/>
      <w:noProof w:val="0"/>
      <w:color w:val="auto"/>
      <w:sz w:val="22"/>
      <w:szCs w:val="22"/>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327243">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rwin_leon@usmp.pe" TargetMode="External"/><Relationship Id="rId13" Type="http://schemas.openxmlformats.org/officeDocument/2006/relationships/hyperlink" Target="mailto:arodriguezmo@cientifica.edu.pe" TargetMode="External"/><Relationship Id="rId18" Type="http://schemas.openxmlformats.org/officeDocument/2006/relationships/footer" Target="footer1.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mailto:mvalladares@continental.edu.pe" TargetMode="External"/><Relationship Id="rId17" Type="http://schemas.openxmlformats.org/officeDocument/2006/relationships/header" Target="header1.xml"/><Relationship Id="rId25"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www.prisma-statement.org"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njitsah@iom.edu.np" TargetMode="External"/><Relationship Id="rId24"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mailto:jbarbozameca@gmail.com" TargetMode="External"/><Relationship Id="rId23" Type="http://schemas.openxmlformats.org/officeDocument/2006/relationships/image" Target="media/image4.png"/><Relationship Id="rId28" Type="http://schemas.openxmlformats.org/officeDocument/2006/relationships/theme" Target="theme/theme1.xml"/><Relationship Id="rId10" Type="http://schemas.openxmlformats.org/officeDocument/2006/relationships/hyperlink" Target="mailto:Abdelmonemalsaid555@std.mans.edu.eg"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jbarbozameca@gmail.com" TargetMode="External"/><Relationship Id="rId14" Type="http://schemas.openxmlformats.org/officeDocument/2006/relationships/hyperlink" Target="mailto:alphonso.morales@lau.edu.lb" TargetMode="External"/><Relationship Id="rId22" Type="http://schemas.openxmlformats.org/officeDocument/2006/relationships/image" Target="media/image3.pn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rwin%20Anthony%20Le&#243;n\Downloads\ijerph-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8F7FD-D75B-4DBF-94CF-5D603C5B7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ijerph-template</Template>
  <TotalTime>21</TotalTime>
  <Pages>18</Pages>
  <Words>17473</Words>
  <Characters>96104</Characters>
  <Application>Microsoft Office Word</Application>
  <DocSecurity>0</DocSecurity>
  <Lines>800</Lines>
  <Paragraphs>226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Type of the Paper (Article</vt:lpstr>
      <vt:lpstr>Type of the Paper (Article</vt:lpstr>
    </vt:vector>
  </TitlesOfParts>
  <Company/>
  <LinksUpToDate>false</LinksUpToDate>
  <CharactersWithSpaces>113351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Darwin Anthony León</dc:creator>
  <cp:keywords/>
  <dc:description/>
  <cp:lastModifiedBy>DARWIN ANTHONY LEON FIGUEROA</cp:lastModifiedBy>
  <cp:revision>28</cp:revision>
  <cp:lastPrinted>2023-06-27T03:08:00Z</cp:lastPrinted>
  <dcterms:created xsi:type="dcterms:W3CDTF">2023-07-30T06:56:00Z</dcterms:created>
  <dcterms:modified xsi:type="dcterms:W3CDTF">2023-08-01T02:54:00Z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id="DjuOJUl8"/&gt;&lt;style id="http://www.zotero.org/styles/multidisciplinary-digital-publishing-institute"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ies>
</file>