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9080E" w14:textId="77777777" w:rsidR="00FF73DA" w:rsidRPr="00FF73DA" w:rsidRDefault="00FF73DA" w:rsidP="00FF73DA">
      <w:pPr>
        <w:spacing w:before="132" w:line="267" w:lineRule="auto"/>
        <w:ind w:left="10" w:right="894" w:firstLine="13"/>
        <w:rPr>
          <w:rFonts w:ascii="Times New Roman" w:eastAsia="Calibri" w:hAnsi="Times New Roman" w:cs="Times New Roman"/>
          <w:sz w:val="28"/>
          <w:szCs w:val="28"/>
        </w:rPr>
      </w:pPr>
      <w:r w:rsidRPr="00FF73DA">
        <w:rPr>
          <w:rFonts w:ascii="Times New Roman" w:eastAsia="Calibri" w:hAnsi="Times New Roman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Mu</w:t>
      </w:r>
      <w:r w:rsidRPr="00FF73DA">
        <w:rPr>
          <w:rFonts w:ascii="Times New Roman" w:eastAsia="Calibri" w:hAnsi="Times New Roman" w:cs="Times New Roman"/>
          <w:spacing w:val="-5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l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tidrug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resistant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tuberculosis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,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extensively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drug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resistant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tuberculosis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,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and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drug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-</w:t>
      </w:r>
      <w:r w:rsidRPr="00FF73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su</w:t>
      </w:r>
      <w:r w:rsidRPr="00FF73DA">
        <w:rPr>
          <w:rFonts w:ascii="Times New Roman" w:eastAsia="Calibri" w:hAnsi="Times New Roman" w:cs="Times New Roman"/>
          <w:spacing w:val="-5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s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ceptible</w:t>
      </w:r>
      <w:r w:rsidRPr="00FF73DA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3"/>
          <w:sz w:val="28"/>
          <w:szCs w:val="28"/>
          <w14:textOutline w14:w="4724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tuberculosis</w:t>
      </w:r>
    </w:p>
    <w:p w14:paraId="3236A846" w14:textId="77777777" w:rsidR="00FF73DA" w:rsidRPr="00FF73DA" w:rsidRDefault="00FF73DA" w:rsidP="00FF73DA">
      <w:pPr>
        <w:spacing w:line="426" w:lineRule="auto"/>
        <w:rPr>
          <w:rFonts w:ascii="Times New Roman" w:hAnsi="Times New Roman" w:cs="Times New Roman"/>
        </w:rPr>
      </w:pPr>
    </w:p>
    <w:p w14:paraId="75E25F31" w14:textId="77777777" w:rsidR="00FF73DA" w:rsidRPr="00FF73DA" w:rsidRDefault="00FF73DA" w:rsidP="00FF73DA">
      <w:pPr>
        <w:spacing w:line="5465" w:lineRule="exact"/>
        <w:textAlignment w:val="center"/>
        <w:rPr>
          <w:rFonts w:ascii="Times New Roman" w:hAnsi="Times New Roman" w:cs="Times New Roman"/>
        </w:rPr>
      </w:pPr>
      <w:r w:rsidRPr="00FF73DA">
        <w:rPr>
          <w:rFonts w:ascii="Times New Roman" w:hAnsi="Times New Roman" w:cs="Times New Roman"/>
          <w:noProof/>
        </w:rPr>
        <w:drawing>
          <wp:inline distT="0" distB="0" distL="0" distR="0" wp14:anchorId="3CA6E1AE" wp14:editId="1D7EFABB">
            <wp:extent cx="5942965" cy="3469640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ACBDF" w14:textId="77777777" w:rsidR="00FF73DA" w:rsidRPr="00FF73DA" w:rsidRDefault="00FF73DA" w:rsidP="00FF73DA">
      <w:pPr>
        <w:spacing w:line="276" w:lineRule="auto"/>
        <w:rPr>
          <w:rFonts w:ascii="Times New Roman" w:hAnsi="Times New Roman" w:cs="Times New Roman"/>
        </w:rPr>
      </w:pPr>
    </w:p>
    <w:p w14:paraId="041BE13D" w14:textId="77777777" w:rsidR="00FF73DA" w:rsidRPr="00FF73DA" w:rsidRDefault="00FF73DA" w:rsidP="00FF73DA">
      <w:pPr>
        <w:spacing w:line="277" w:lineRule="auto"/>
        <w:rPr>
          <w:rFonts w:ascii="Times New Roman" w:hAnsi="Times New Roman" w:cs="Times New Roman"/>
        </w:rPr>
      </w:pPr>
    </w:p>
    <w:p w14:paraId="3C9C8F9E" w14:textId="77777777" w:rsidR="00FF73DA" w:rsidRPr="00FF73DA" w:rsidRDefault="00FF73DA" w:rsidP="00FF73DA">
      <w:pPr>
        <w:spacing w:before="74" w:line="302" w:lineRule="exact"/>
        <w:ind w:left="22"/>
        <w:rPr>
          <w:rFonts w:ascii="Times New Roman" w:eastAsia="Calibri" w:hAnsi="Times New Roman" w:cs="Times New Roman"/>
          <w:sz w:val="28"/>
          <w:szCs w:val="28"/>
        </w:rPr>
      </w:pPr>
      <w:r w:rsidRPr="00FF73DA">
        <w:rPr>
          <w:rFonts w:ascii="Times New Roman" w:eastAsia="Calibri" w:hAnsi="Times New Roman" w:cs="Times New Roman"/>
          <w:spacing w:val="-5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Input</w:t>
      </w:r>
      <w:r w:rsidRPr="00FF73DA">
        <w:rPr>
          <w:rFonts w:ascii="Times New Roman" w:eastAsia="Calibri" w:hAnsi="Times New Roman" w:cs="Times New Roman"/>
          <w:spacing w:val="-5"/>
          <w:position w:val="3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5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dat</w:t>
      </w:r>
      <w:r w:rsidRPr="00FF73DA">
        <w:rPr>
          <w:rFonts w:ascii="Times New Roman" w:eastAsia="Calibri" w:hAnsi="Times New Roman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a</w:t>
      </w:r>
    </w:p>
    <w:p w14:paraId="58995CC0" w14:textId="77777777" w:rsidR="00FF73DA" w:rsidRDefault="00FF73DA" w:rsidP="00FF73DA">
      <w:pPr>
        <w:spacing w:before="6" w:line="272" w:lineRule="auto"/>
        <w:ind w:left="3" w:right="55" w:firstLine="1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B0E12E" w14:textId="43275FF7" w:rsidR="00FF73DA" w:rsidRPr="00FF73DA" w:rsidRDefault="00FF73DA" w:rsidP="00FF73DA">
      <w:pPr>
        <w:spacing w:before="6" w:line="272" w:lineRule="auto"/>
        <w:ind w:left="3" w:right="55" w:firstLine="15"/>
        <w:jc w:val="both"/>
        <w:rPr>
          <w:rFonts w:ascii="Times New Roman" w:eastAsiaTheme="minorEastAsia" w:hAnsi="Times New Roman" w:cs="Times New Roman" w:hint="eastAsia"/>
          <w:sz w:val="24"/>
          <w:szCs w:val="24"/>
        </w:rPr>
        <w:sectPr w:rsidR="00FF73DA" w:rsidRPr="00FF73DA" w:rsidSect="003E358D">
          <w:footerReference w:type="default" r:id="rId7"/>
          <w:pgSz w:w="11906" w:h="16838" w:code="9"/>
          <w:pgMar w:top="1346" w:right="1440" w:bottom="692" w:left="1440" w:header="0" w:footer="543" w:gutter="0"/>
          <w:cols w:space="720"/>
          <w:docGrid w:linePitch="286"/>
        </w:sectPr>
      </w:pPr>
      <w:r w:rsidRPr="00FF73DA">
        <w:rPr>
          <w:rFonts w:ascii="Times New Roman" w:eastAsia="Calibri" w:hAnsi="Times New Roman" w:cs="Times New Roman"/>
          <w:sz w:val="24"/>
          <w:szCs w:val="24"/>
        </w:rPr>
        <w:t>Input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data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include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>: (</w:t>
      </w:r>
      <w:r w:rsidRPr="00FF73DA">
        <w:rPr>
          <w:rFonts w:ascii="Times New Roman" w:eastAsia="Calibri" w:hAnsi="Times New Roman" w:cs="Times New Roman"/>
          <w:sz w:val="24"/>
          <w:szCs w:val="24"/>
        </w:rPr>
        <w:t>i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)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number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drug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resistant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by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type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(</w:t>
      </w:r>
      <w:r w:rsidRPr="00FF73DA">
        <w:rPr>
          <w:rFonts w:ascii="Times New Roman" w:eastAsia="Calibri" w:hAnsi="Times New Roman" w:cs="Times New Roman"/>
          <w:sz w:val="24"/>
          <w:szCs w:val="24"/>
        </w:rPr>
        <w:t>multidrug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resistant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tuberculosis </w:t>
      </w:r>
      <w:r w:rsidRPr="00FF73DA">
        <w:rPr>
          <w:rFonts w:ascii="Times New Roman" w:eastAsia="Calibri" w:hAnsi="Times New Roman" w:cs="Times New Roman"/>
          <w:spacing w:val="29"/>
          <w:sz w:val="24"/>
          <w:szCs w:val="24"/>
        </w:rPr>
        <w:t>[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], </w:t>
      </w:r>
      <w:r w:rsidRPr="00FF73DA">
        <w:rPr>
          <w:rFonts w:ascii="Times New Roman" w:eastAsia="Calibri" w:hAnsi="Times New Roman" w:cs="Times New Roman"/>
          <w:sz w:val="24"/>
          <w:szCs w:val="24"/>
        </w:rPr>
        <w:t>extensively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drug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resistant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tuberculosis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[</w:t>
      </w:r>
      <w:r w:rsidRPr="00FF73DA">
        <w:rPr>
          <w:rFonts w:ascii="Times New Roman" w:eastAsia="Calibri" w:hAnsi="Times New Roman" w:cs="Times New Roman"/>
          <w:sz w:val="24"/>
          <w:szCs w:val="24"/>
        </w:rPr>
        <w:t>XDR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],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all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drug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susceptible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testing 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>[</w:t>
      </w:r>
      <w:r w:rsidRPr="00FF73DA">
        <w:rPr>
          <w:rFonts w:ascii="Times New Roman" w:eastAsia="Calibri" w:hAnsi="Times New Roman" w:cs="Times New Roman"/>
          <w:sz w:val="24"/>
          <w:szCs w:val="24"/>
        </w:rPr>
        <w:t>DST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]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result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for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isoniazid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rifampicin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DST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for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second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line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drugs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) </w:t>
      </w:r>
      <w:r w:rsidRPr="00FF73DA">
        <w:rPr>
          <w:rFonts w:ascii="Times New Roman" w:eastAsia="Calibri" w:hAnsi="Times New Roman" w:cs="Times New Roman"/>
          <w:sz w:val="24"/>
          <w:szCs w:val="24"/>
        </w:rPr>
        <w:t>from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routine surveillance</w:t>
      </w:r>
      <w:r w:rsidRPr="00FF73DA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surveys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reported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to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World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Health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Organization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>, (</w:t>
      </w:r>
      <w:r w:rsidRPr="00FF73DA">
        <w:rPr>
          <w:rFonts w:ascii="Times New Roman" w:eastAsia="Calibri" w:hAnsi="Times New Roman" w:cs="Times New Roman"/>
          <w:sz w:val="24"/>
          <w:szCs w:val="24"/>
        </w:rPr>
        <w:t>ii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) </w:t>
      </w:r>
      <w:r w:rsidRPr="00FF73DA">
        <w:rPr>
          <w:rFonts w:ascii="Times New Roman" w:eastAsia="Calibri" w:hAnsi="Times New Roman" w:cs="Times New Roman"/>
          <w:sz w:val="24"/>
          <w:szCs w:val="24"/>
        </w:rPr>
        <w:t>data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from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studies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(</w:t>
      </w:r>
      <w:r w:rsidRPr="00FF73DA">
        <w:rPr>
          <w:rFonts w:ascii="Times New Roman" w:eastAsia="Calibri" w:hAnsi="Times New Roman" w:cs="Times New Roman"/>
          <w:sz w:val="24"/>
          <w:szCs w:val="24"/>
        </w:rPr>
        <w:t>identified through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our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systematic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review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)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reporting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on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relative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risk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death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in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compared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 non</w:t>
      </w:r>
      <w:r w:rsidRPr="00FF73DA">
        <w:rPr>
          <w:rFonts w:ascii="Times New Roman" w:eastAsia="Calibri" w:hAnsi="Times New Roman" w:cs="Times New Roman"/>
          <w:spacing w:val="30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(</w:t>
      </w:r>
      <w:r w:rsidRPr="00FF73DA">
        <w:rPr>
          <w:rFonts w:ascii="Times New Roman" w:eastAsia="Calibri" w:hAnsi="Times New Roman" w:cs="Times New Roman"/>
          <w:sz w:val="24"/>
          <w:szCs w:val="24"/>
        </w:rPr>
        <w:t>drug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susceptible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)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relative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risk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death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in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XDR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compared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   MDR</w:t>
      </w:r>
      <w:r w:rsidRPr="00FF73DA">
        <w:rPr>
          <w:rFonts w:ascii="Times New Roman" w:eastAsia="Calibri" w:hAnsi="Times New Roman" w:cs="Times New Roman"/>
          <w:spacing w:val="20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(</w:t>
      </w:r>
      <w:r w:rsidRPr="00FF73DA">
        <w:rPr>
          <w:rFonts w:ascii="Times New Roman" w:eastAsia="Calibri" w:hAnsi="Times New Roman" w:cs="Times New Roman"/>
          <w:sz w:val="24"/>
          <w:szCs w:val="24"/>
        </w:rPr>
        <w:t>iii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)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risk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associated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HIV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infection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from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literature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</w:rPr>
        <w:t>.</w:t>
      </w:r>
      <w:r w:rsidRPr="00FF73DA">
        <w:rPr>
          <w:rFonts w:ascii="Times New Roman" w:eastAsia="Calibri" w:hAnsi="Times New Roman" w:cs="Times New Roman"/>
          <w:spacing w:val="18"/>
          <w:sz w:val="24"/>
          <w:szCs w:val="24"/>
          <w:vertAlign w:val="superscript"/>
        </w:rPr>
        <w:t>1</w:t>
      </w:r>
    </w:p>
    <w:p w14:paraId="22BB7D33" w14:textId="1C4E6D18" w:rsidR="00FF73DA" w:rsidRPr="00FF73DA" w:rsidRDefault="00FF73DA" w:rsidP="00FF73DA">
      <w:pPr>
        <w:spacing w:before="93" w:line="314" w:lineRule="exact"/>
        <w:ind w:left="108"/>
        <w:rPr>
          <w:rFonts w:ascii="Times New Roman" w:eastAsia="Calibri" w:hAnsi="Times New Roman" w:cs="Times New Roman"/>
          <w:sz w:val="24"/>
          <w:szCs w:val="24"/>
        </w:rPr>
      </w:pPr>
      <w:r w:rsidRPr="00FF73DA">
        <w:rPr>
          <w:rFonts w:ascii="Times New Roman" w:eastAsia="Calibri" w:hAnsi="Times New Roman" w:cs="Times New Roman"/>
          <w:spacing w:val="-2"/>
          <w:position w:val="3"/>
          <w:sz w:val="24"/>
          <w:szCs w:val="24"/>
        </w:rPr>
        <w:lastRenderedPageBreak/>
        <w:t>PRISMA diagram of MDR-TB mortality rela</w:t>
      </w:r>
      <w:r w:rsidRPr="00FF73DA">
        <w:rPr>
          <w:rFonts w:ascii="Times New Roman" w:eastAsia="Calibri" w:hAnsi="Times New Roman" w:cs="Times New Roman"/>
          <w:spacing w:val="-1"/>
          <w:position w:val="3"/>
          <w:sz w:val="24"/>
          <w:szCs w:val="24"/>
        </w:rPr>
        <w:t>tive</w:t>
      </w:r>
      <w:r w:rsidRPr="00FF73DA">
        <w:rPr>
          <w:rFonts w:ascii="Times New Roman" w:eastAsia="Calibri" w:hAnsi="Times New Roman" w:cs="Times New Roman"/>
          <w:spacing w:val="-2"/>
          <w:position w:val="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pacing w:val="-1"/>
          <w:position w:val="3"/>
          <w:sz w:val="24"/>
          <w:szCs w:val="24"/>
        </w:rPr>
        <w:t>risk</w:t>
      </w:r>
      <w:r w:rsidRPr="00FF73DA">
        <w:rPr>
          <w:rFonts w:ascii="Times New Roman" w:eastAsia="Calibri" w:hAnsi="Times New Roman" w:cs="Times New Roman"/>
          <w:spacing w:val="-2"/>
          <w:position w:val="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pacing w:val="-1"/>
          <w:position w:val="3"/>
          <w:sz w:val="24"/>
          <w:szCs w:val="24"/>
        </w:rPr>
        <w:t>in</w:t>
      </w:r>
      <w:r w:rsidRPr="00FF73DA">
        <w:rPr>
          <w:rFonts w:ascii="Times New Roman" w:eastAsia="Calibri" w:hAnsi="Times New Roman" w:cs="Times New Roman"/>
          <w:spacing w:val="-2"/>
          <w:position w:val="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pacing w:val="-1"/>
          <w:position w:val="3"/>
          <w:sz w:val="24"/>
          <w:szCs w:val="24"/>
        </w:rPr>
        <w:t>GBD</w:t>
      </w:r>
      <w:r>
        <w:rPr>
          <w:rFonts w:ascii="Times New Roman" w:eastAsia="Calibri" w:hAnsi="Times New Roman" w:cs="Times New Roman"/>
          <w:spacing w:val="-1"/>
          <w:position w:val="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pacing w:val="-2"/>
          <w:position w:val="3"/>
          <w:sz w:val="24"/>
          <w:szCs w:val="24"/>
        </w:rPr>
        <w:t>2019</w:t>
      </w:r>
    </w:p>
    <w:p w14:paraId="0DBEDF0D" w14:textId="77777777" w:rsidR="00FF73DA" w:rsidRPr="00FF73DA" w:rsidRDefault="00FF73DA" w:rsidP="00FF73DA">
      <w:pPr>
        <w:spacing w:before="1" w:line="6103" w:lineRule="exact"/>
        <w:ind w:firstLine="86"/>
        <w:jc w:val="center"/>
        <w:textAlignment w:val="center"/>
        <w:rPr>
          <w:rFonts w:ascii="Times New Roman" w:hAnsi="Times New Roman" w:cs="Times New Roman"/>
        </w:rPr>
      </w:pPr>
      <w:r w:rsidRPr="00FF73DA">
        <w:rPr>
          <w:rFonts w:ascii="Times New Roman" w:hAnsi="Times New Roman" w:cs="Times New Roman"/>
          <w:noProof/>
        </w:rPr>
        <w:drawing>
          <wp:inline distT="0" distB="0" distL="0" distR="0" wp14:anchorId="6E70E9D4" wp14:editId="7CC75409">
            <wp:extent cx="5942965" cy="387477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599" cy="387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C92C6" w14:textId="77777777" w:rsidR="00FF73DA" w:rsidRDefault="00FF73DA" w:rsidP="00FF73DA">
      <w:pPr>
        <w:spacing w:before="180" w:line="302" w:lineRule="exact"/>
        <w:ind w:left="108"/>
        <w:rPr>
          <w:rFonts w:ascii="Times New Roman" w:eastAsiaTheme="minorEastAsia" w:hAnsi="Times New Roman" w:cs="Times New Roman"/>
          <w:sz w:val="28"/>
          <w:szCs w:val="28"/>
        </w:rPr>
      </w:pPr>
      <w:r w:rsidRPr="00FF73DA">
        <w:rPr>
          <w:rFonts w:ascii="Times New Roman" w:eastAsia="Calibri" w:hAnsi="Times New Roman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Modelling</w:t>
      </w:r>
      <w:r w:rsidRPr="00FF73DA">
        <w:rPr>
          <w:rFonts w:ascii="Times New Roman" w:eastAsia="Calibri" w:hAnsi="Times New Roman" w:cs="Times New Roman"/>
          <w:spacing w:val="-5"/>
          <w:position w:val="3"/>
          <w:sz w:val="28"/>
          <w:szCs w:val="28"/>
        </w:rPr>
        <w:t xml:space="preserve"> </w:t>
      </w:r>
      <w:r w:rsidRPr="00FF73DA">
        <w:rPr>
          <w:rFonts w:ascii="Times New Roman" w:eastAsia="Calibri" w:hAnsi="Times New Roman" w:cs="Times New Roman"/>
          <w:spacing w:val="-4"/>
          <w:position w:val="3"/>
          <w:sz w:val="28"/>
          <w:szCs w:val="28"/>
          <w14:textOutline w14:w="4356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strategy</w:t>
      </w:r>
    </w:p>
    <w:p w14:paraId="3622B1D1" w14:textId="408671E7" w:rsidR="00FF73DA" w:rsidRPr="00FF73DA" w:rsidRDefault="00FF73DA" w:rsidP="00146A6B">
      <w:pPr>
        <w:spacing w:before="180" w:line="302" w:lineRule="exact"/>
        <w:ind w:left="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73DA">
        <w:rPr>
          <w:rFonts w:ascii="Times New Roman" w:eastAsia="Calibri" w:hAnsi="Times New Roman" w:cs="Times New Roman"/>
          <w:sz w:val="24"/>
          <w:szCs w:val="24"/>
        </w:rPr>
        <w:t>We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conducted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systematic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review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meta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analysis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studies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reporting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relative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risk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death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in MDR</w:t>
      </w:r>
      <w:r w:rsidRPr="00FF73DA">
        <w:rPr>
          <w:rFonts w:ascii="Times New Roman" w:eastAsia="Calibri" w:hAnsi="Times New Roman" w:cs="Times New Roman"/>
          <w:spacing w:val="42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compared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drug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susceptible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. </w:t>
      </w:r>
      <w:r w:rsidRPr="00FF73DA">
        <w:rPr>
          <w:rFonts w:ascii="Times New Roman" w:eastAsia="Calibri" w:hAnsi="Times New Roman" w:cs="Times New Roman"/>
          <w:sz w:val="24"/>
          <w:szCs w:val="24"/>
        </w:rPr>
        <w:t>We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ran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spatiotemporal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Gaussian</w:t>
      </w:r>
      <w:r w:rsidRPr="00FF73DA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process regressions</w:t>
      </w:r>
      <w:r w:rsidRPr="00FF73DA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to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predict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proportions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new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proportions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retreated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 with</w:t>
      </w:r>
      <w:r w:rsidRPr="00FF73DA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proportions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retreated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among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all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for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all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locations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years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. </w:t>
      </w:r>
      <w:r w:rsidRPr="00FF73DA">
        <w:rPr>
          <w:rFonts w:ascii="Times New Roman" w:eastAsia="Calibri" w:hAnsi="Times New Roman" w:cs="Times New Roman"/>
          <w:sz w:val="24"/>
          <w:szCs w:val="24"/>
        </w:rPr>
        <w:t>We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also calculated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proportions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new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among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all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. </w:t>
      </w:r>
      <w:r w:rsidRPr="00FF73DA">
        <w:rPr>
          <w:rFonts w:ascii="Times New Roman" w:eastAsia="Calibri" w:hAnsi="Times New Roman" w:cs="Times New Roman"/>
          <w:sz w:val="24"/>
          <w:szCs w:val="24"/>
        </w:rPr>
        <w:t>We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then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computed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weighted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average</w:t>
      </w:r>
      <w:r w:rsidRPr="00FF73DA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proportions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new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retreated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at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1000-</w:t>
      </w:r>
      <w:r w:rsidRPr="00FF73DA">
        <w:rPr>
          <w:rFonts w:ascii="Times New Roman" w:eastAsia="Calibri" w:hAnsi="Times New Roman" w:cs="Times New Roman"/>
          <w:sz w:val="24"/>
          <w:szCs w:val="24"/>
        </w:rPr>
        <w:t>draw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level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. </w:t>
      </w:r>
      <w:r w:rsidRPr="00FF73DA">
        <w:rPr>
          <w:rFonts w:ascii="Times New Roman" w:eastAsia="Calibri" w:hAnsi="Times New Roman" w:cs="Times New Roman"/>
          <w:sz w:val="24"/>
          <w:szCs w:val="24"/>
        </w:rPr>
        <w:t>We</w:t>
      </w:r>
      <w:r w:rsidRPr="00FF73DA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then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used</w:t>
      </w:r>
      <w:r w:rsidRPr="00FF73DA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weighted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average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proportions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along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HIV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no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HIV</w:t>
      </w:r>
      <w:r w:rsidRPr="00FF73DA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incidence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estimates</w:t>
      </w:r>
      <w:r w:rsidRPr="00FF73DA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>(</w:t>
      </w:r>
      <w:r w:rsidRPr="00FF73DA">
        <w:rPr>
          <w:rFonts w:ascii="Times New Roman" w:eastAsia="Calibri" w:hAnsi="Times New Roman" w:cs="Times New Roman"/>
          <w:sz w:val="24"/>
          <w:szCs w:val="24"/>
        </w:rPr>
        <w:t>from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our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modelling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non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fatal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),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relative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risk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color w:val="303030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color w:val="303030"/>
          <w:spacing w:val="24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color w:val="303030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color w:val="303030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associated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with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HIV infection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from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literature</w:t>
      </w:r>
      <w:r w:rsidRPr="00FF73DA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pacing w:val="25"/>
          <w:position w:val="8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to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compute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proportions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of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MDR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cases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among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HIV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>-</w:t>
      </w:r>
      <w:r w:rsidRPr="00FF73DA">
        <w:rPr>
          <w:rFonts w:ascii="Times New Roman" w:eastAsia="Calibri" w:hAnsi="Times New Roman" w:cs="Times New Roman"/>
          <w:sz w:val="24"/>
          <w:szCs w:val="24"/>
        </w:rPr>
        <w:t>negative</w:t>
      </w:r>
      <w:r w:rsidRPr="00FF73DA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TB</w:t>
      </w:r>
      <w:r w:rsidRPr="00FF73DA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cases </w:t>
      </w:r>
      <w:r w:rsidRPr="00FF73DA">
        <w:rPr>
          <w:rFonts w:ascii="Times New Roman" w:eastAsia="Cambria Math" w:hAnsi="Times New Roman" w:cs="Times New Roman"/>
          <w:spacing w:val="19"/>
          <w:sz w:val="24"/>
          <w:szCs w:val="24"/>
        </w:rPr>
        <w:t>(</w:t>
      </w:r>
      <w:r w:rsidRPr="00FF73DA">
        <w:rPr>
          <w:rFonts w:ascii="Times New Roman" w:eastAsia="宋体" w:hAnsi="Times New Roman" w:cs="Times New Roman"/>
          <w:sz w:val="24"/>
          <w:szCs w:val="24"/>
        </w:rPr>
        <w:t>P</w:t>
      </w:r>
      <w:r w:rsidRPr="00FF73DA">
        <w:rPr>
          <w:rFonts w:ascii="Times New Roman" w:eastAsia="宋体" w:hAnsi="Times New Roman" w:cs="Times New Roman"/>
          <w:position w:val="-4"/>
          <w:sz w:val="24"/>
          <w:szCs w:val="24"/>
          <w:vertAlign w:val="subscript"/>
        </w:rPr>
        <w:t>MDRnoH</w:t>
      </w:r>
      <w:r w:rsidRPr="00FF73DA">
        <w:rPr>
          <w:rFonts w:ascii="Times New Roman" w:eastAsia="宋体" w:hAnsi="Times New Roman" w:cs="Times New Roman"/>
          <w:spacing w:val="19"/>
          <w:position w:val="-4"/>
          <w:sz w:val="24"/>
          <w:szCs w:val="24"/>
          <w:vertAlign w:val="subscript"/>
        </w:rPr>
        <w:t>I</w:t>
      </w:r>
      <w:r w:rsidRPr="00FF73DA">
        <w:rPr>
          <w:rFonts w:ascii="Times New Roman" w:eastAsia="宋体" w:hAnsi="Times New Roman" w:cs="Times New Roman"/>
          <w:position w:val="-4"/>
          <w:sz w:val="24"/>
          <w:szCs w:val="24"/>
          <w:vertAlign w:val="subscript"/>
        </w:rPr>
        <w:t>Vc</w:t>
      </w:r>
      <w:r w:rsidRPr="00FF73DA">
        <w:rPr>
          <w:rFonts w:ascii="Times New Roman" w:eastAsia="宋体" w:hAnsi="Times New Roman" w:cs="Times New Roman"/>
          <w:spacing w:val="19"/>
          <w:position w:val="-4"/>
          <w:sz w:val="24"/>
          <w:szCs w:val="24"/>
          <w:vertAlign w:val="subscript"/>
        </w:rPr>
        <w:t>,</w:t>
      </w:r>
      <w:r w:rsidRPr="00FF73DA">
        <w:rPr>
          <w:rFonts w:ascii="Times New Roman" w:eastAsia="宋体" w:hAnsi="Times New Roman" w:cs="Times New Roman"/>
          <w:position w:val="-4"/>
          <w:sz w:val="24"/>
          <w:szCs w:val="24"/>
          <w:vertAlign w:val="subscript"/>
        </w:rPr>
        <w:t>y</w:t>
      </w:r>
      <w:r w:rsidRPr="00FF73DA">
        <w:rPr>
          <w:rFonts w:ascii="Times New Roman" w:eastAsia="宋体" w:hAnsi="Times New Roman" w:cs="Times New Roman"/>
          <w:spacing w:val="19"/>
          <w:position w:val="-4"/>
          <w:sz w:val="24"/>
          <w:szCs w:val="24"/>
          <w:vertAlign w:val="subscript"/>
        </w:rPr>
        <w:t>,</w:t>
      </w:r>
      <w:r w:rsidRPr="00FF73DA">
        <w:rPr>
          <w:rFonts w:ascii="Times New Roman" w:eastAsia="宋体" w:hAnsi="Times New Roman" w:cs="Times New Roman"/>
          <w:position w:val="-4"/>
          <w:sz w:val="24"/>
          <w:szCs w:val="24"/>
          <w:vertAlign w:val="subscript"/>
        </w:rPr>
        <w:t>a</w:t>
      </w:r>
      <w:r w:rsidRPr="00FF73DA">
        <w:rPr>
          <w:rFonts w:ascii="Times New Roman" w:eastAsia="宋体" w:hAnsi="Times New Roman" w:cs="Times New Roman"/>
          <w:spacing w:val="19"/>
          <w:position w:val="-4"/>
          <w:sz w:val="24"/>
          <w:szCs w:val="24"/>
          <w:vertAlign w:val="subscript"/>
        </w:rPr>
        <w:t>,</w:t>
      </w:r>
      <w:r w:rsidRPr="00FF73DA">
        <w:rPr>
          <w:rFonts w:ascii="Times New Roman" w:eastAsia="宋体" w:hAnsi="Times New Roman" w:cs="Times New Roman"/>
          <w:position w:val="-4"/>
          <w:sz w:val="24"/>
          <w:szCs w:val="24"/>
          <w:vertAlign w:val="subscript"/>
        </w:rPr>
        <w:t>s</w:t>
      </w:r>
      <w:r w:rsidRPr="00FF73DA">
        <w:rPr>
          <w:rFonts w:ascii="Times New Roman" w:eastAsia="宋体" w:hAnsi="Times New Roman" w:cs="Times New Roman"/>
          <w:spacing w:val="19"/>
          <w:sz w:val="24"/>
          <w:szCs w:val="24"/>
        </w:rPr>
        <w:t xml:space="preserve">) </w:t>
      </w:r>
      <w:r w:rsidRPr="00FF73DA">
        <w:rPr>
          <w:rFonts w:ascii="Times New Roman" w:eastAsia="Calibri" w:hAnsi="Times New Roman" w:cs="Times New Roman"/>
          <w:sz w:val="24"/>
          <w:szCs w:val="24"/>
        </w:rPr>
        <w:t>by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location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year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age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, </w:t>
      </w:r>
      <w:r w:rsidRPr="00FF73DA">
        <w:rPr>
          <w:rFonts w:ascii="Times New Roman" w:eastAsia="Calibri" w:hAnsi="Times New Roman" w:cs="Times New Roman"/>
          <w:sz w:val="24"/>
          <w:szCs w:val="24"/>
        </w:rPr>
        <w:t>and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sex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using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the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following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F73DA">
        <w:rPr>
          <w:rFonts w:ascii="Times New Roman" w:eastAsia="Calibri" w:hAnsi="Times New Roman" w:cs="Times New Roman"/>
          <w:sz w:val="24"/>
          <w:szCs w:val="24"/>
        </w:rPr>
        <w:t>formula</w:t>
      </w:r>
      <w:r w:rsidRPr="00FF73DA">
        <w:rPr>
          <w:rFonts w:ascii="Times New Roman" w:eastAsia="Calibri" w:hAnsi="Times New Roman" w:cs="Times New Roman"/>
          <w:spacing w:val="19"/>
          <w:sz w:val="24"/>
          <w:szCs w:val="24"/>
        </w:rPr>
        <w:t>:</w:t>
      </w:r>
    </w:p>
    <w:p w14:paraId="6C0C6A14" w14:textId="77777777" w:rsidR="00FF73DA" w:rsidRPr="00FF73DA" w:rsidRDefault="00FF73DA" w:rsidP="00FF73DA"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center"/>
        <w:rPr>
          <w:rFonts w:ascii="Times New Roman" w:eastAsiaTheme="minorEastAsia" w:hAnsi="Times New Roman" w:cs="Times New Roman"/>
        </w:rPr>
      </w:pPr>
      <w:r w:rsidRPr="00FF73DA">
        <w:rPr>
          <w:rFonts w:ascii="Times New Roman" w:eastAsiaTheme="minorEastAsia" w:hAnsi="Times New Roman" w:cs="Times New Roman"/>
          <w:noProof/>
        </w:rPr>
        <w:drawing>
          <wp:inline distT="0" distB="0" distL="0" distR="0" wp14:anchorId="05EFDE60" wp14:editId="5E32BB26">
            <wp:extent cx="4908550" cy="100965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8877E" w14:textId="55A0260E" w:rsidR="00FF73DA" w:rsidRPr="00FF73DA" w:rsidRDefault="00FF73DA" w:rsidP="00FF73DA"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73DA">
        <w:rPr>
          <w:rFonts w:ascii="Times New Roman" w:eastAsia="Calibri" w:hAnsi="Times New Roman" w:cs="Times New Roman"/>
          <w:sz w:val="24"/>
          <w:szCs w:val="24"/>
        </w:rPr>
        <w:t>where MDR</w:t>
      </w:r>
      <w:r w:rsidRPr="00FF73DA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c,y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 is the number of all MDR-TB cases among HIV-positive and HIV-negative individuals by location and year, RR</w:t>
      </w:r>
      <w:r w:rsidRPr="00FF73DA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H</w:t>
      </w:r>
      <w:r w:rsidRPr="00FF73DA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I</w:t>
      </w:r>
      <w:r w:rsidRPr="00FF73DA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V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 is the relative risk of MDR-TB associated with HIV infection, </w:t>
      </w:r>
      <w:r w:rsidRPr="00FF73DA">
        <w:rPr>
          <w:rFonts w:ascii="Times New Roman" w:eastAsia="Calibri" w:hAnsi="Times New Roman" w:cs="Times New Roman"/>
          <w:i/>
          <w:iCs/>
          <w:sz w:val="24"/>
          <w:szCs w:val="24"/>
        </w:rPr>
        <w:t>HIVTB</w:t>
      </w:r>
      <w:r w:rsidRPr="00FF73DA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c,y,a,s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 is the number of HIV-TB incident cases by location, year, age, and sex, and </w:t>
      </w:r>
      <w:r w:rsidRPr="00146A6B">
        <w:rPr>
          <w:rFonts w:ascii="Times New Roman" w:eastAsia="Calibri" w:hAnsi="Times New Roman" w:cs="Times New Roman"/>
          <w:i/>
          <w:iCs/>
          <w:sz w:val="24"/>
          <w:szCs w:val="24"/>
        </w:rPr>
        <w:t>TBnoHIV</w:t>
      </w:r>
      <w:r w:rsidRPr="00146A6B">
        <w:rPr>
          <w:rFonts w:ascii="Times New Roman" w:eastAsia="Calibri" w:hAnsi="Times New Roman" w:cs="Times New Roman"/>
          <w:i/>
          <w:iCs/>
          <w:sz w:val="24"/>
          <w:szCs w:val="24"/>
          <w:vertAlign w:val="subscript"/>
        </w:rPr>
        <w:t>c,y,a,s</w:t>
      </w:r>
      <w:r w:rsidRPr="00FF73DA">
        <w:rPr>
          <w:rFonts w:ascii="Times New Roman" w:eastAsia="Calibri" w:hAnsi="Times New Roman" w:cs="Times New Roman"/>
          <w:sz w:val="24"/>
          <w:szCs w:val="24"/>
        </w:rPr>
        <w:t xml:space="preserve"> is the number of TB no-HIV incident </w:t>
      </w:r>
      <w:r w:rsidRPr="00FF73DA">
        <w:rPr>
          <w:rFonts w:ascii="Times New Roman" w:eastAsia="Calibri" w:hAnsi="Times New Roman" w:cs="Times New Roman"/>
          <w:sz w:val="24"/>
          <w:szCs w:val="24"/>
        </w:rPr>
        <w:lastRenderedPageBreak/>
        <w:t>cases by location, year, age, and sex.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8859BD">
        <w:rPr>
          <w:rFonts w:ascii="Times New Roman" w:eastAsia="宋体" w:hAnsi="Times New Roman" w:cs="Times New Roman"/>
          <w:snapToGrid/>
          <w:sz w:val="24"/>
          <w:szCs w:val="24"/>
        </w:rPr>
        <w:t>We then computed the fraction of MDR-TB deaths among all HIV-negative TB deaths (</w:t>
      </w:r>
      <w:r w:rsidRPr="008859BD">
        <w:rPr>
          <w:rFonts w:ascii="Cambria Math" w:eastAsia="宋体" w:hAnsi="Cambria Math" w:cs="Cambria Math"/>
          <w:i/>
          <w:iCs/>
          <w:snapToGrid/>
          <w:sz w:val="24"/>
          <w:szCs w:val="24"/>
        </w:rPr>
        <w:t>𝐷</w:t>
      </w:r>
      <w:r w:rsidRPr="00146A6B">
        <w:rPr>
          <w:rFonts w:ascii="Times New Roman" w:eastAsia="宋体" w:hAnsi="Times New Roman" w:cs="Times New Roman"/>
          <w:i/>
          <w:iCs/>
          <w:snapToGrid/>
          <w:sz w:val="24"/>
          <w:szCs w:val="24"/>
          <w:vertAlign w:val="subscript"/>
        </w:rPr>
        <w:t>MD RnoHIV c,y,a,s</w:t>
      </w:r>
      <w:r w:rsidRPr="008859BD">
        <w:rPr>
          <w:rFonts w:ascii="Times New Roman" w:eastAsia="宋体" w:hAnsi="Times New Roman" w:cs="Times New Roman"/>
          <w:snapToGrid/>
          <w:sz w:val="24"/>
          <w:szCs w:val="24"/>
        </w:rPr>
        <w:t xml:space="preserve">) </w:t>
      </w:r>
      <w:r w:rsidRPr="00FF73DA">
        <w:rPr>
          <w:rFonts w:ascii="Times New Roman" w:eastAsia="宋体" w:hAnsi="Times New Roman" w:cs="Times New Roman"/>
          <w:snapToGrid/>
          <w:sz w:val="24"/>
          <w:szCs w:val="24"/>
        </w:rPr>
        <w:t>using the following formula:</w:t>
      </w:r>
    </w:p>
    <w:p w14:paraId="4F72E316" w14:textId="77777777" w:rsidR="00FF73DA" w:rsidRPr="00FF73DA" w:rsidRDefault="00FF73DA" w:rsidP="00FF73DA">
      <w:pPr>
        <w:kinsoku/>
        <w:autoSpaceDE/>
        <w:autoSpaceDN/>
        <w:adjustRightInd/>
        <w:snapToGrid/>
        <w:jc w:val="center"/>
        <w:textAlignment w:val="auto"/>
        <w:rPr>
          <w:rFonts w:ascii="Times New Roman" w:eastAsia="宋体" w:hAnsi="Times New Roman" w:cs="Times New Roman"/>
          <w:snapToGrid/>
          <w:sz w:val="22"/>
          <w:szCs w:val="22"/>
        </w:rPr>
      </w:pPr>
      <w:r w:rsidRPr="00FF73DA">
        <w:rPr>
          <w:rFonts w:ascii="Times New Roman" w:eastAsia="宋体" w:hAnsi="Times New Roman" w:cs="Times New Roman"/>
          <w:noProof/>
          <w:snapToGrid/>
          <w:sz w:val="22"/>
          <w:szCs w:val="22"/>
        </w:rPr>
        <w:drawing>
          <wp:inline distT="0" distB="0" distL="0" distR="0" wp14:anchorId="5B429C6F" wp14:editId="2578434A">
            <wp:extent cx="5346700" cy="60960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F7577" w14:textId="6C5F5041" w:rsidR="00FF73DA" w:rsidRPr="008859BD" w:rsidRDefault="00FF73DA" w:rsidP="00FF73DA">
      <w:pPr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color w:val="auto"/>
          <w:sz w:val="24"/>
          <w:szCs w:val="24"/>
        </w:rPr>
      </w:pPr>
      <w:r w:rsidRPr="008859BD">
        <w:rPr>
          <w:rFonts w:ascii="Times New Roman" w:eastAsia="宋体" w:hAnsi="Times New Roman" w:cs="Times New Roman"/>
          <w:snapToGrid/>
          <w:sz w:val="24"/>
          <w:szCs w:val="24"/>
        </w:rPr>
        <w:t xml:space="preserve">where </w:t>
      </w:r>
      <w:r w:rsidRPr="008859BD">
        <w:rPr>
          <w:rFonts w:ascii="Cambria Math" w:eastAsia="宋体" w:hAnsi="Cambria Math" w:cs="Cambria Math"/>
          <w:snapToGrid/>
          <w:sz w:val="24"/>
          <w:szCs w:val="24"/>
        </w:rPr>
        <w:t>𝑅𝑅</w:t>
      </w:r>
      <w:r w:rsidRPr="00FF73DA">
        <w:rPr>
          <w:rFonts w:ascii="Times New Roman" w:eastAsia="宋体" w:hAnsi="Times New Roman" w:cs="Times New Roman"/>
          <w:i/>
          <w:iCs/>
          <w:snapToGrid/>
          <w:sz w:val="24"/>
          <w:szCs w:val="24"/>
          <w:vertAlign w:val="subscript"/>
        </w:rPr>
        <w:t>MDR</w:t>
      </w:r>
      <w:r w:rsidRPr="008859BD">
        <w:rPr>
          <w:rFonts w:ascii="Times New Roman" w:eastAsia="宋体" w:hAnsi="Times New Roman" w:cs="Times New Roman"/>
          <w:i/>
          <w:iCs/>
          <w:snapToGrid/>
          <w:sz w:val="24"/>
          <w:szCs w:val="24"/>
        </w:rPr>
        <w:t xml:space="preserve"> </w:t>
      </w:r>
      <w:r w:rsidRPr="008859BD">
        <w:rPr>
          <w:rFonts w:ascii="Times New Roman" w:eastAsia="宋体" w:hAnsi="Times New Roman" w:cs="Times New Roman"/>
          <w:snapToGrid/>
          <w:sz w:val="24"/>
          <w:szCs w:val="24"/>
        </w:rPr>
        <w:t>is the relative risk of death in MDR-TB cases compared with drug-susceptible TB cases. In GBD 2019, the pooled relative risk was derived from a meta-analysis in the meta-regression with</w:t>
      </w:r>
      <w:r w:rsidRPr="00FF73DA">
        <w:rPr>
          <w:rFonts w:ascii="Times New Roman" w:eastAsia="宋体" w:hAnsi="Times New Roman" w:cs="Times New Roman"/>
          <w:snapToGrid/>
          <w:sz w:val="24"/>
          <w:szCs w:val="24"/>
        </w:rPr>
        <w:t xml:space="preserve"> </w:t>
      </w:r>
      <w:r w:rsidRPr="008859BD">
        <w:rPr>
          <w:rFonts w:ascii="Times New Roman" w:eastAsia="宋体" w:hAnsi="Times New Roman" w:cs="Times New Roman"/>
          <w:snapToGrid/>
          <w:sz w:val="24"/>
          <w:szCs w:val="24"/>
        </w:rPr>
        <w:t xml:space="preserve">Bayesian priors, regularization, and trimming (MR-BRT) model. After derivation of the pooled relative risk, we then applied the predicted HIV-MDR-TB death fractions to all HIV-TB death estimates to generate HIV-MDR-TB deaths by location, year, age, and sex. Next, we subtracted MDR-TB deaths from all TB deaths to generate drug-susceptible TB deaths by location, year, age, and sex. </w:t>
      </w:r>
    </w:p>
    <w:p w14:paraId="718A3B9B" w14:textId="77777777" w:rsidR="00FF73DA" w:rsidRPr="00FF73DA" w:rsidRDefault="00FF73DA" w:rsidP="00FF73DA">
      <w:pPr>
        <w:kinsoku/>
        <w:autoSpaceDE/>
        <w:autoSpaceDN/>
        <w:adjustRightInd/>
        <w:snapToGrid/>
        <w:textAlignment w:val="auto"/>
        <w:rPr>
          <w:rFonts w:ascii="Times New Roman" w:eastAsia="宋体" w:hAnsi="Times New Roman" w:cs="Times New Roman"/>
          <w:snapToGrid/>
          <w:sz w:val="22"/>
          <w:szCs w:val="22"/>
        </w:rPr>
      </w:pPr>
    </w:p>
    <w:p w14:paraId="0E9B482C" w14:textId="2CD6135C" w:rsidR="00FF73DA" w:rsidRPr="00FF73DA" w:rsidRDefault="00FF73DA" w:rsidP="00FF73DA">
      <w:pPr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color w:val="auto"/>
          <w:sz w:val="24"/>
          <w:szCs w:val="24"/>
        </w:rPr>
      </w:pPr>
      <w:r w:rsidRPr="008859BD">
        <w:rPr>
          <w:rFonts w:ascii="Times New Roman" w:eastAsia="宋体" w:hAnsi="Times New Roman" w:cs="Times New Roman"/>
          <w:snapToGrid/>
          <w:sz w:val="24"/>
          <w:szCs w:val="24"/>
        </w:rPr>
        <w:t>To separate out XDR-TB from MDR-TB, we aggregated the XDR-TB cases and MDR-TB cases (with DST for second-line drugs) up to the super-region level and calculated the super-region-level proportions of XDR-TB among MDR-TB cases. Next, we computed the super-region-specific fractions of XDR-TB deaths among all MDR-TB deaths (</w:t>
      </w:r>
      <w:r w:rsidRPr="008859BD">
        <w:rPr>
          <w:rFonts w:ascii="Cambria Math" w:eastAsia="宋体" w:hAnsi="Cambria Math" w:cs="Cambria Math"/>
          <w:snapToGrid/>
          <w:sz w:val="24"/>
          <w:szCs w:val="24"/>
        </w:rPr>
        <w:t>𝐷</w:t>
      </w:r>
      <w:r w:rsidRPr="00FF73DA">
        <w:rPr>
          <w:rFonts w:ascii="Times New Roman" w:eastAsia="宋体" w:hAnsi="Times New Roman" w:cs="Times New Roman"/>
          <w:i/>
          <w:iCs/>
          <w:snapToGrid/>
          <w:sz w:val="24"/>
          <w:szCs w:val="24"/>
          <w:vertAlign w:val="subscript"/>
        </w:rPr>
        <w:t>XDRsr</w:t>
      </w:r>
      <w:r w:rsidRPr="00FF73DA">
        <w:rPr>
          <w:rFonts w:ascii="Times New Roman" w:eastAsia="宋体" w:hAnsi="Times New Roman" w:cs="Times New Roman"/>
          <w:snapToGrid/>
          <w:sz w:val="24"/>
          <w:szCs w:val="24"/>
        </w:rPr>
        <w:t>) using the following formula:</w:t>
      </w:r>
    </w:p>
    <w:p w14:paraId="762C7B2D" w14:textId="77777777" w:rsidR="00FF73DA" w:rsidRPr="00FF73DA" w:rsidRDefault="00FF73DA" w:rsidP="00FF73DA">
      <w:pPr>
        <w:kinsoku/>
        <w:autoSpaceDE/>
        <w:autoSpaceDN/>
        <w:adjustRightInd/>
        <w:snapToGrid/>
        <w:jc w:val="center"/>
        <w:textAlignment w:val="auto"/>
        <w:rPr>
          <w:rFonts w:ascii="Times New Roman" w:eastAsia="宋体" w:hAnsi="Times New Roman" w:cs="Times New Roman"/>
          <w:snapToGrid/>
          <w:sz w:val="22"/>
          <w:szCs w:val="22"/>
        </w:rPr>
      </w:pPr>
      <w:r w:rsidRPr="00FF73DA">
        <w:rPr>
          <w:rFonts w:ascii="Times New Roman" w:eastAsia="宋体" w:hAnsi="Times New Roman" w:cs="Times New Roman"/>
          <w:noProof/>
          <w:snapToGrid/>
          <w:sz w:val="22"/>
          <w:szCs w:val="22"/>
        </w:rPr>
        <w:drawing>
          <wp:inline distT="0" distB="0" distL="0" distR="0" wp14:anchorId="11BA361E" wp14:editId="2FBAD446">
            <wp:extent cx="3390900" cy="8128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5A38" w14:textId="77777777" w:rsidR="00FF73DA" w:rsidRPr="00FF73DA" w:rsidRDefault="00FF73DA" w:rsidP="00FF73DA">
      <w:pPr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color w:val="auto"/>
          <w:sz w:val="24"/>
          <w:szCs w:val="24"/>
        </w:rPr>
      </w:pP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</w:rPr>
        <w:t>where P</w:t>
      </w:r>
      <w:r w:rsidRPr="00FF73DA">
        <w:rPr>
          <w:rFonts w:ascii="Times New Roman" w:eastAsia="宋体" w:hAnsi="Times New Roman" w:cs="Times New Roman"/>
          <w:i/>
          <w:iCs/>
          <w:snapToGrid/>
          <w:color w:val="auto"/>
          <w:sz w:val="24"/>
          <w:szCs w:val="24"/>
          <w:vertAlign w:val="subscript"/>
        </w:rPr>
        <w:t>XDRsr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  <w:vertAlign w:val="subscript"/>
        </w:rPr>
        <w:t xml:space="preserve"> 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</w:rPr>
        <w:t xml:space="preserve">is the proportion of XDR-TB among MDR-TB cases for each super-region, and </w:t>
      </w:r>
      <w:r w:rsidRPr="00FF73DA">
        <w:rPr>
          <w:rFonts w:ascii="Cambria Math" w:eastAsia="宋体" w:hAnsi="Cambria Math" w:cs="Cambria Math"/>
          <w:snapToGrid/>
          <w:color w:val="auto"/>
          <w:sz w:val="24"/>
          <w:szCs w:val="24"/>
        </w:rPr>
        <w:t>𝑅𝑅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  <w:vertAlign w:val="subscript"/>
        </w:rPr>
        <w:t>XDR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</w:rPr>
        <w:t xml:space="preserve"> is the pooled relative risk of mortality in XDR-TB cases compared with MDR-TB cases. Similar to the pooled relative risk for MDR-TB, the derivation of the pooled relative risk of mortality in XDR-TB was computed </w:t>
      </w:r>
    </w:p>
    <w:p w14:paraId="6538D1A9" w14:textId="26758BA0" w:rsidR="00FF73DA" w:rsidRPr="00FF73DA" w:rsidRDefault="00FF73DA" w:rsidP="00FF73DA">
      <w:pPr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color w:val="auto"/>
          <w:sz w:val="24"/>
          <w:szCs w:val="24"/>
        </w:rPr>
      </w:pP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</w:rPr>
        <w:t>with a meta-analysis in the MR-BRT model for GBD 2019. These fractions were then applied to MDR-TB deaths in corresponding countries within the super-regions to produce XDR-TB deaths by location, age, and sex for the most recent year of estimation. We linearly extrapolated XDR-TB mortality rates back, assuming the mortality rates were zero in 1992, one year before 1993 when XDR-TB was first recorded in USA surveillance data.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  <w:vertAlign w:val="superscript"/>
        </w:rPr>
        <w:t>2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</w:rPr>
        <w:t xml:space="preserve"> Finally, we subtracted XDR-TB deaths from MDR-TB deaths to generate MDR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</w:rPr>
        <w:t>-</w:t>
      </w:r>
      <w:r w:rsidRPr="00FF73DA">
        <w:rPr>
          <w:rFonts w:ascii="Times New Roman" w:eastAsia="宋体" w:hAnsi="Times New Roman" w:cs="Times New Roman"/>
          <w:snapToGrid/>
          <w:color w:val="auto"/>
          <w:sz w:val="24"/>
          <w:szCs w:val="24"/>
        </w:rPr>
        <w:t>TB (without extensive drug resistance) deaths by location, year, age, and sex.</w:t>
      </w:r>
    </w:p>
    <w:p w14:paraId="7DF2BCCF" w14:textId="77777777" w:rsidR="00FF73DA" w:rsidRPr="00FF73DA" w:rsidRDefault="00FF73DA" w:rsidP="00FF73DA">
      <w:pPr>
        <w:kinsoku/>
        <w:autoSpaceDE/>
        <w:autoSpaceDN/>
        <w:adjustRightInd/>
        <w:snapToGrid/>
        <w:textAlignment w:val="auto"/>
        <w:rPr>
          <w:rFonts w:ascii="Times New Roman" w:eastAsia="宋体" w:hAnsi="Times New Roman" w:cs="Times New Roman" w:hint="eastAsia"/>
          <w:snapToGrid/>
          <w:color w:val="auto"/>
          <w:sz w:val="24"/>
          <w:szCs w:val="24"/>
        </w:rPr>
      </w:pPr>
    </w:p>
    <w:p w14:paraId="6442560C" w14:textId="2B6598E6" w:rsidR="00FF73DA" w:rsidRPr="00FF73DA" w:rsidRDefault="00FF73DA" w:rsidP="00FF73DA"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rPr>
          <w:rFonts w:ascii="Times New Roman" w:eastAsiaTheme="minorEastAsia" w:hAnsi="Times New Roman" w:cs="Times New Roman"/>
          <w:sz w:val="24"/>
          <w:szCs w:val="24"/>
        </w:rPr>
      </w:pPr>
      <w:r w:rsidRPr="00FF73DA">
        <w:rPr>
          <w:rFonts w:ascii="Times New Roman" w:eastAsiaTheme="minorEastAsia" w:hAnsi="Times New Roman" w:cs="Times New Roman"/>
          <w:sz w:val="24"/>
          <w:szCs w:val="24"/>
        </w:rPr>
        <w:t>References</w:t>
      </w:r>
      <w:r w:rsidR="003E358D">
        <w:rPr>
          <w:rFonts w:ascii="Times New Roman" w:eastAsiaTheme="minorEastAsia" w:hAnsi="Times New Roman" w:cs="Times New Roman"/>
          <w:sz w:val="24"/>
          <w:szCs w:val="24"/>
        </w:rPr>
        <w:t>:</w:t>
      </w:r>
      <w:r w:rsidRPr="00FF73D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7E906D5" w14:textId="157B69E5" w:rsidR="00FF73DA" w:rsidRPr="00FF73DA" w:rsidRDefault="00FF73DA" w:rsidP="00FF73DA"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73DA">
        <w:rPr>
          <w:rFonts w:ascii="Times New Roman" w:eastAsiaTheme="minorEastAsia" w:hAnsi="Times New Roman" w:cs="Times New Roman"/>
          <w:sz w:val="24"/>
          <w:szCs w:val="24"/>
        </w:rPr>
        <w:t>1. Mesfin YM, Hailemariam D, Biadglign S, Kibret KT. Association between HIV/AIDS and multi-drug resistance tuberculosis: a systematic review and meta-analysis. PLoS One. 2014;9(1):e82235.</w:t>
      </w:r>
    </w:p>
    <w:p w14:paraId="4FD9ADF1" w14:textId="3A9A30A3" w:rsidR="00FF73DA" w:rsidRPr="00FF73DA" w:rsidRDefault="00FF73DA" w:rsidP="00FF73DA"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F73DA">
        <w:rPr>
          <w:rFonts w:ascii="Times New Roman" w:eastAsiaTheme="minorEastAsia" w:hAnsi="Times New Roman" w:cs="Times New Roman"/>
          <w:sz w:val="24"/>
          <w:szCs w:val="24"/>
        </w:rPr>
        <w:lastRenderedPageBreak/>
        <w:t>2. Centers for Disease Control and Prevention (CDC). Extensively Drug-Resistant Tuberculosis --- United States, 1993—2006. MMWR. 2007; 56(11);250-253</w:t>
      </w:r>
    </w:p>
    <w:p w14:paraId="6CF2E0CC" w14:textId="77777777" w:rsidR="00FF73DA" w:rsidRPr="00FF73DA" w:rsidRDefault="00FF73DA" w:rsidP="00FF73DA">
      <w:pPr>
        <w:tabs>
          <w:tab w:val="left" w:pos="95"/>
          <w:tab w:val="left" w:pos="98"/>
          <w:tab w:val="left" w:pos="101"/>
          <w:tab w:val="left" w:pos="105"/>
        </w:tabs>
        <w:spacing w:before="2" w:line="271" w:lineRule="auto"/>
        <w:ind w:right="4" w:firstLine="92"/>
        <w:rPr>
          <w:rFonts w:ascii="Times New Roman" w:eastAsiaTheme="minorEastAsia" w:hAnsi="Times New Roman" w:cs="Times New Roman"/>
        </w:rPr>
      </w:pPr>
    </w:p>
    <w:p w14:paraId="6FAB022D" w14:textId="77777777" w:rsidR="00E816A3" w:rsidRPr="00FF73DA" w:rsidRDefault="00E816A3">
      <w:pPr>
        <w:rPr>
          <w:rFonts w:ascii="Times New Roman" w:hAnsi="Times New Roman" w:cs="Times New Roman"/>
        </w:rPr>
      </w:pPr>
    </w:p>
    <w:sectPr w:rsidR="00E816A3" w:rsidRPr="00FF7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94C2" w14:textId="77777777" w:rsidR="004C7FB8" w:rsidRDefault="004C7FB8" w:rsidP="00FF73DA">
      <w:r>
        <w:separator/>
      </w:r>
    </w:p>
  </w:endnote>
  <w:endnote w:type="continuationSeparator" w:id="0">
    <w:p w14:paraId="69CEAB3B" w14:textId="77777777" w:rsidR="004C7FB8" w:rsidRDefault="004C7FB8" w:rsidP="00FF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459162"/>
      <w:docPartObj>
        <w:docPartGallery w:val="Page Numbers (Bottom of Page)"/>
        <w:docPartUnique/>
      </w:docPartObj>
    </w:sdtPr>
    <w:sdtContent>
      <w:p w14:paraId="7F9B2D5D" w14:textId="49620E30" w:rsidR="00146A6B" w:rsidRDefault="00146A6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6E3DD3" w14:textId="6BDC5AFB" w:rsidR="00FF73DA" w:rsidRDefault="00FF73DA">
    <w:pPr>
      <w:spacing w:line="194" w:lineRule="auto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C1C1" w14:textId="77777777" w:rsidR="004C7FB8" w:rsidRDefault="004C7FB8" w:rsidP="00FF73DA">
      <w:r>
        <w:separator/>
      </w:r>
    </w:p>
  </w:footnote>
  <w:footnote w:type="continuationSeparator" w:id="0">
    <w:p w14:paraId="10C94753" w14:textId="77777777" w:rsidR="004C7FB8" w:rsidRDefault="004C7FB8" w:rsidP="00FF73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F494B"/>
    <w:rsid w:val="00146A6B"/>
    <w:rsid w:val="003E1700"/>
    <w:rsid w:val="003E358D"/>
    <w:rsid w:val="004318B5"/>
    <w:rsid w:val="004C7FB8"/>
    <w:rsid w:val="007F494B"/>
    <w:rsid w:val="00E816A3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846BD"/>
  <w15:chartTrackingRefBased/>
  <w15:docId w15:val="{14CE5592-E670-4609-87A5-00250CD6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3D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73D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3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3D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3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1193623826@qq.com</dc:creator>
  <cp:keywords/>
  <dc:description/>
  <cp:lastModifiedBy>1193623826@qq.com</cp:lastModifiedBy>
  <cp:revision>4</cp:revision>
  <dcterms:created xsi:type="dcterms:W3CDTF">2023-07-31T07:02:00Z</dcterms:created>
  <dcterms:modified xsi:type="dcterms:W3CDTF">2023-07-31T09:07:00Z</dcterms:modified>
</cp:coreProperties>
</file>