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AE943" w14:textId="1EBBC833" w:rsidR="0065267E" w:rsidRPr="00391503" w:rsidRDefault="00391503" w:rsidP="00391503">
      <w:pPr>
        <w:pStyle w:val="Heading1"/>
        <w:spacing w:before="0" w:after="120"/>
        <w:rPr>
          <w:rFonts w:ascii="Arial" w:hAnsi="Arial" w:cs="Arial"/>
        </w:rPr>
      </w:pPr>
      <w:r w:rsidRPr="00391503">
        <w:rPr>
          <w:rFonts w:ascii="Arial" w:hAnsi="Arial" w:cs="Arial"/>
        </w:rPr>
        <w:t>Supplementary Materials</w:t>
      </w:r>
    </w:p>
    <w:p w14:paraId="24FC004E" w14:textId="0F0E8456" w:rsidR="00391503" w:rsidRDefault="00391503" w:rsidP="00391503">
      <w:pPr>
        <w:spacing w:after="120"/>
        <w:rPr>
          <w:rFonts w:ascii="Arial" w:hAnsi="Arial" w:cs="Arial"/>
        </w:rPr>
      </w:pPr>
    </w:p>
    <w:p w14:paraId="0FA2D1BD" w14:textId="3D3A8CF6" w:rsidR="00EC1809" w:rsidRDefault="00EC1809" w:rsidP="00EC1809">
      <w:pPr>
        <w:spacing w:after="120"/>
        <w:rPr>
          <w:rFonts w:ascii="Arial" w:hAnsi="Arial" w:cs="Arial"/>
        </w:rPr>
      </w:pPr>
      <w:r w:rsidRPr="00EC1809">
        <w:rPr>
          <w:rFonts w:ascii="Arial" w:hAnsi="Arial" w:cs="Arial"/>
          <w:b/>
          <w:bCs/>
        </w:rPr>
        <w:t>Supplementary Table 1:</w:t>
      </w:r>
      <w:r w:rsidRPr="00EC1809">
        <w:rPr>
          <w:rFonts w:ascii="Arial" w:hAnsi="Arial" w:cs="Arial"/>
        </w:rPr>
        <w:t xml:space="preserve"> Tumor and normal tissue FLTs from in situ widefield TD fluorescence imaging of HCC tumors across four mice. FLT</w:t>
      </w:r>
      <w:r w:rsidR="00DB3F12">
        <w:rPr>
          <w:rFonts w:ascii="Arial" w:hAnsi="Arial" w:cs="Arial"/>
        </w:rPr>
        <w:t>s</w:t>
      </w:r>
      <w:r w:rsidRPr="00EC1809">
        <w:rPr>
          <w:rFonts w:ascii="Arial" w:hAnsi="Arial" w:cs="Arial"/>
        </w:rPr>
        <w:t xml:space="preserve"> are presented as Mean ± SD.</w:t>
      </w:r>
    </w:p>
    <w:p w14:paraId="77949393" w14:textId="77777777" w:rsidR="00EC1809" w:rsidRDefault="00EC1809" w:rsidP="00EC1809">
      <w:pPr>
        <w:spacing w:after="120"/>
        <w:rPr>
          <w:rFonts w:ascii="Arial" w:hAnsi="Arial" w:cs="Arial"/>
        </w:rPr>
      </w:pPr>
    </w:p>
    <w:p w14:paraId="7C2B4B99" w14:textId="05144207" w:rsidR="00EC1809" w:rsidRDefault="00EC1809" w:rsidP="00EC1809">
      <w:pPr>
        <w:spacing w:after="12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105E07BB" wp14:editId="5F5DDF8C">
            <wp:extent cx="5022520" cy="1663471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0831" cy="16662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35B260" w14:textId="2808F0AE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7A061AF3" w14:textId="5744D104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0613604C" w14:textId="3061EEEB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381786C3" w14:textId="7999B510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18C418EE" w14:textId="35FD2E84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4CEE3F71" w14:textId="6B04A272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2BD8EBCC" w14:textId="3BDAB8AB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50EB3D81" w14:textId="6BA35F58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758D98DE" w14:textId="542E7E0C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16A686E0" w14:textId="0D91042A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0F5968FF" w14:textId="741DB8C7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3346A8B3" w14:textId="38C29EFD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1D5A2016" w14:textId="258DAD1B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4736B8BA" w14:textId="1959A232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1EB01DDA" w14:textId="6575E4D2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76D84811" w14:textId="6251B713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73E93A54" w14:textId="556F8DF8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33A63AD6" w14:textId="0B2BF21F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2FF44297" w14:textId="48AB5E97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7158A87C" w14:textId="714490E2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7F7E501E" w14:textId="2BD48A4F" w:rsidR="00EC1809" w:rsidRDefault="00EC1809" w:rsidP="00EC1809">
      <w:pPr>
        <w:spacing w:after="120"/>
        <w:jc w:val="both"/>
        <w:rPr>
          <w:rFonts w:ascii="Arial" w:hAnsi="Arial" w:cs="Arial"/>
        </w:rPr>
      </w:pPr>
    </w:p>
    <w:p w14:paraId="13CAB279" w14:textId="39493DDE" w:rsidR="00EC1809" w:rsidRPr="00EC1809" w:rsidRDefault="00EC1809" w:rsidP="00EC1809">
      <w:pPr>
        <w:spacing w:after="120"/>
        <w:jc w:val="both"/>
        <w:rPr>
          <w:rFonts w:ascii="Arial" w:hAnsi="Arial" w:cs="Arial"/>
          <w:b/>
          <w:bCs/>
        </w:rPr>
      </w:pPr>
      <w:r w:rsidRPr="00EC1809">
        <w:rPr>
          <w:rFonts w:ascii="Arial" w:hAnsi="Arial" w:cs="Arial"/>
          <w:b/>
          <w:bCs/>
        </w:rPr>
        <w:lastRenderedPageBreak/>
        <w:t>Supplementary Figure 1</w:t>
      </w:r>
    </w:p>
    <w:p w14:paraId="644D3934" w14:textId="569ACA3C" w:rsidR="00EC1809" w:rsidRDefault="00EC1809" w:rsidP="005064A8">
      <w:pPr>
        <w:spacing w:after="120"/>
        <w:jc w:val="center"/>
        <w:rPr>
          <w:rFonts w:ascii="Arial" w:hAnsi="Arial" w:cs="Arial"/>
        </w:rPr>
      </w:pPr>
      <w:r w:rsidRPr="00EC1809">
        <w:rPr>
          <w:rFonts w:ascii="Arial" w:hAnsi="Arial" w:cs="Arial"/>
          <w:noProof/>
        </w:rPr>
        <w:drawing>
          <wp:inline distT="0" distB="0" distL="0" distR="0" wp14:anchorId="72BB21D4" wp14:editId="67B48A35">
            <wp:extent cx="5837275" cy="5019014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FF6525EF-87D2-405D-B0C1-CACD46FAF16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FF6525EF-87D2-405D-B0C1-CACD46FAF16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40866" cy="5022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83CFB" w14:textId="077BB32A" w:rsidR="00EC1809" w:rsidRDefault="00742BFD" w:rsidP="00A33E5A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</w:t>
      </w:r>
      <w:r w:rsidR="00EC1809" w:rsidRPr="009B0E49">
        <w:rPr>
          <w:rFonts w:ascii="Arial" w:hAnsi="Arial" w:cs="Arial"/>
          <w:b/>
          <w:bCs/>
        </w:rPr>
        <w:t xml:space="preserve">Figure 1. </w:t>
      </w:r>
      <w:r w:rsidR="00CA1A55" w:rsidRPr="009B0E49">
        <w:rPr>
          <w:rFonts w:ascii="Arial" w:hAnsi="Arial" w:cs="Arial"/>
          <w:b/>
          <w:bCs/>
        </w:rPr>
        <w:t>PD</w:t>
      </w:r>
      <w:r w:rsidR="00CA1A55">
        <w:rPr>
          <w:rFonts w:ascii="Arial" w:hAnsi="Arial" w:cs="Arial"/>
          <w:b/>
          <w:bCs/>
        </w:rPr>
        <w:t xml:space="preserve">-L1 </w:t>
      </w:r>
      <w:r w:rsidR="00CA1A55" w:rsidRPr="002532F2">
        <w:rPr>
          <w:rFonts w:ascii="Arial" w:hAnsi="Arial" w:cs="Arial"/>
          <w:b/>
          <w:bCs/>
        </w:rPr>
        <w:t>specificity of αPDL1-800</w:t>
      </w:r>
      <w:r w:rsidR="00CA1A55">
        <w:rPr>
          <w:rFonts w:ascii="Arial" w:hAnsi="Arial" w:cs="Arial"/>
          <w:b/>
          <w:bCs/>
        </w:rPr>
        <w:t xml:space="preserve"> FLTs in RIL-175 cells. </w:t>
      </w:r>
      <w:r w:rsidR="00CA1A55" w:rsidRPr="00A86F19">
        <w:rPr>
          <w:rFonts w:ascii="Arial" w:hAnsi="Arial" w:cs="Arial"/>
        </w:rPr>
        <w:t>A competition assay of αPDL1-800 uptake</w:t>
      </w:r>
      <w:r w:rsidR="00CA1A55">
        <w:rPr>
          <w:rFonts w:ascii="Arial" w:hAnsi="Arial" w:cs="Arial"/>
        </w:rPr>
        <w:t xml:space="preserve"> in RIL-175 cells</w:t>
      </w:r>
      <w:r w:rsidR="00CA1A55" w:rsidRPr="00A86F19">
        <w:rPr>
          <w:rFonts w:ascii="Arial" w:hAnsi="Arial" w:cs="Arial"/>
        </w:rPr>
        <w:t xml:space="preserve"> with excess unlabeled αPDL1 (anti-PD-L1 antibody) showing PD-L1 </w:t>
      </w:r>
      <w:r w:rsidR="00CA1A55">
        <w:rPr>
          <w:rFonts w:ascii="Arial" w:hAnsi="Arial" w:cs="Arial"/>
        </w:rPr>
        <w:t>dependent</w:t>
      </w:r>
      <w:r w:rsidR="00CA1A55" w:rsidRPr="00A86F19">
        <w:rPr>
          <w:rFonts w:ascii="Arial" w:hAnsi="Arial" w:cs="Arial"/>
        </w:rPr>
        <w:t xml:space="preserve"> </w:t>
      </w:r>
      <w:r w:rsidR="00CA1A55">
        <w:rPr>
          <w:rFonts w:ascii="Arial" w:hAnsi="Arial" w:cs="Arial"/>
        </w:rPr>
        <w:t xml:space="preserve">intracellular accumulation of </w:t>
      </w:r>
      <w:r w:rsidR="00CA1A55" w:rsidRPr="00A86F19">
        <w:rPr>
          <w:rFonts w:ascii="Arial" w:hAnsi="Arial" w:cs="Arial"/>
        </w:rPr>
        <w:t xml:space="preserve">αPDL1-800. Confocal fluorescence intensity (top row) and FLIM (middle row) images of </w:t>
      </w:r>
      <w:r w:rsidR="005064A8">
        <w:rPr>
          <w:rFonts w:ascii="Arial" w:hAnsi="Arial" w:cs="Arial"/>
        </w:rPr>
        <w:t>RIL-175</w:t>
      </w:r>
      <w:r w:rsidR="00CA1A55" w:rsidRPr="00A86F19">
        <w:rPr>
          <w:rFonts w:ascii="Arial" w:hAnsi="Arial" w:cs="Arial"/>
        </w:rPr>
        <w:t xml:space="preserve"> cells</w:t>
      </w:r>
      <w:r w:rsidR="00CA1A55">
        <w:rPr>
          <w:rFonts w:ascii="Arial" w:hAnsi="Arial" w:cs="Arial"/>
        </w:rPr>
        <w:t xml:space="preserve"> after 1 h incubation of</w:t>
      </w:r>
      <w:r w:rsidR="00CA1A55" w:rsidRPr="00A86F19">
        <w:rPr>
          <w:rFonts w:ascii="Arial" w:hAnsi="Arial" w:cs="Arial"/>
        </w:rPr>
        <w:t xml:space="preserve"> αPDL1-800 (100 µg)</w:t>
      </w:r>
      <w:r w:rsidR="00CA1A55">
        <w:rPr>
          <w:rFonts w:ascii="Arial" w:hAnsi="Arial" w:cs="Arial"/>
        </w:rPr>
        <w:t xml:space="preserve"> and </w:t>
      </w:r>
      <w:r w:rsidR="00CA1A55" w:rsidRPr="00A86F19">
        <w:rPr>
          <w:rFonts w:ascii="Arial" w:hAnsi="Arial" w:cs="Arial"/>
        </w:rPr>
        <w:t>increasing doses of unlabeled αPD-L1</w:t>
      </w:r>
      <w:r w:rsidR="00CA1A55">
        <w:rPr>
          <w:rFonts w:ascii="Arial" w:hAnsi="Arial" w:cs="Arial"/>
        </w:rPr>
        <w:t xml:space="preserve"> antibody </w:t>
      </w:r>
      <w:r w:rsidR="00CA1A55" w:rsidRPr="00A86F19">
        <w:rPr>
          <w:rFonts w:ascii="Arial" w:hAnsi="Arial" w:cs="Arial"/>
        </w:rPr>
        <w:t>are shown. The bottom row shows nuclear stain with DAPI.</w:t>
      </w:r>
      <w:r w:rsidR="00772444">
        <w:rPr>
          <w:rFonts w:ascii="Arial" w:hAnsi="Arial" w:cs="Arial"/>
        </w:rPr>
        <w:t xml:space="preserve"> Excess unlabeled anti-PD-L1 antibody reduced the intracellular αPDL1-800 fluorescence in a dose-dependent manner indicating that the uptake of αPDL1-800 is PD-L1 specific</w:t>
      </w:r>
      <w:r w:rsidR="00456BF4">
        <w:rPr>
          <w:rFonts w:ascii="Arial" w:hAnsi="Arial" w:cs="Arial"/>
        </w:rPr>
        <w:t>.</w:t>
      </w:r>
      <w:r w:rsidR="00BB3109">
        <w:rPr>
          <w:rFonts w:ascii="Arial" w:hAnsi="Arial" w:cs="Arial"/>
        </w:rPr>
        <w:t xml:space="preserve"> Scale bar: 150 µm.</w:t>
      </w:r>
    </w:p>
    <w:p w14:paraId="56512CC3" w14:textId="032F25E9" w:rsidR="00584E53" w:rsidRDefault="00584E53" w:rsidP="00391503">
      <w:pPr>
        <w:spacing w:after="120"/>
        <w:rPr>
          <w:rFonts w:ascii="Arial" w:hAnsi="Arial" w:cs="Arial"/>
        </w:rPr>
      </w:pPr>
    </w:p>
    <w:p w14:paraId="42CE12CB" w14:textId="76B3C399" w:rsidR="00584E53" w:rsidRDefault="00584E53" w:rsidP="00391503">
      <w:pPr>
        <w:spacing w:after="120"/>
        <w:rPr>
          <w:rFonts w:ascii="Arial" w:hAnsi="Arial" w:cs="Arial"/>
        </w:rPr>
      </w:pPr>
    </w:p>
    <w:p w14:paraId="6963AADB" w14:textId="2F9E9184" w:rsidR="00584E53" w:rsidRDefault="00584E53" w:rsidP="00391503">
      <w:pPr>
        <w:spacing w:after="120"/>
        <w:rPr>
          <w:rFonts w:ascii="Arial" w:hAnsi="Arial" w:cs="Arial"/>
        </w:rPr>
      </w:pPr>
    </w:p>
    <w:p w14:paraId="71413564" w14:textId="6DAA1F42" w:rsidR="00584E53" w:rsidRDefault="00584E53" w:rsidP="00391503">
      <w:pPr>
        <w:spacing w:after="120"/>
        <w:rPr>
          <w:rFonts w:ascii="Arial" w:hAnsi="Arial" w:cs="Arial"/>
        </w:rPr>
      </w:pPr>
    </w:p>
    <w:p w14:paraId="327E1067" w14:textId="294808C6" w:rsidR="00584E53" w:rsidRDefault="00584E53" w:rsidP="00391503">
      <w:pPr>
        <w:spacing w:after="120"/>
        <w:rPr>
          <w:rFonts w:ascii="Arial" w:hAnsi="Arial" w:cs="Arial"/>
        </w:rPr>
      </w:pPr>
    </w:p>
    <w:p w14:paraId="4B85671A" w14:textId="57D11BBF" w:rsidR="00584E53" w:rsidRDefault="00584E53" w:rsidP="00391503">
      <w:pPr>
        <w:spacing w:after="120"/>
        <w:rPr>
          <w:rFonts w:ascii="Arial" w:hAnsi="Arial" w:cs="Arial"/>
        </w:rPr>
      </w:pPr>
    </w:p>
    <w:p w14:paraId="0C225D49" w14:textId="1D616667" w:rsidR="00584E53" w:rsidRDefault="00584E53" w:rsidP="00391503">
      <w:pPr>
        <w:spacing w:after="120"/>
        <w:rPr>
          <w:rFonts w:ascii="Arial" w:hAnsi="Arial" w:cs="Arial"/>
        </w:rPr>
      </w:pPr>
    </w:p>
    <w:p w14:paraId="2E2D02BD" w14:textId="626B5D41" w:rsidR="00584E53" w:rsidRPr="00DB3F12" w:rsidRDefault="00584E53" w:rsidP="00391503">
      <w:pPr>
        <w:spacing w:after="120"/>
        <w:rPr>
          <w:rFonts w:ascii="Arial" w:hAnsi="Arial" w:cs="Arial"/>
          <w:b/>
          <w:bCs/>
        </w:rPr>
      </w:pPr>
      <w:r w:rsidRPr="00DB3F12">
        <w:rPr>
          <w:rFonts w:ascii="Arial" w:hAnsi="Arial" w:cs="Arial"/>
          <w:b/>
          <w:bCs/>
        </w:rPr>
        <w:lastRenderedPageBreak/>
        <w:t>Supplementary Figure 2</w:t>
      </w:r>
    </w:p>
    <w:p w14:paraId="0BEFF9B0" w14:textId="5C6CD7AC" w:rsidR="00584E53" w:rsidRDefault="00F041D2" w:rsidP="005064A8">
      <w:pPr>
        <w:spacing w:after="12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091FBC0" wp14:editId="3C79C2F2">
            <wp:extent cx="5337018" cy="4684170"/>
            <wp:effectExtent l="0" t="0" r="0" b="254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35" t="1417" r="791" b="727"/>
                    <a:stretch/>
                  </pic:blipFill>
                  <pic:spPr bwMode="auto">
                    <a:xfrm>
                      <a:off x="0" y="0"/>
                      <a:ext cx="5349308" cy="4694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7186EB" w14:textId="36CD92DE" w:rsidR="00584E53" w:rsidRDefault="00742BFD" w:rsidP="00A33E5A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</w:t>
      </w:r>
      <w:r w:rsidR="00584E53" w:rsidRPr="00AF0AF6">
        <w:rPr>
          <w:rFonts w:ascii="Arial" w:hAnsi="Arial" w:cs="Arial"/>
          <w:b/>
          <w:bCs/>
        </w:rPr>
        <w:t>Figure 2.</w:t>
      </w:r>
      <w:r w:rsidR="007B2552" w:rsidRPr="00AF0AF6">
        <w:rPr>
          <w:rFonts w:ascii="Arial" w:hAnsi="Arial" w:cs="Arial"/>
          <w:b/>
          <w:bCs/>
        </w:rPr>
        <w:t xml:space="preserve"> </w:t>
      </w:r>
      <w:r w:rsidR="00AF0AF6" w:rsidRPr="00AF0AF6">
        <w:rPr>
          <w:rFonts w:ascii="Arial" w:hAnsi="Arial" w:cs="Arial"/>
          <w:b/>
          <w:bCs/>
        </w:rPr>
        <w:t>IFN-γ induced PD-L1 expression in RIL-175 HCC cell line increases intracellular αPDL1-800 uptake.</w:t>
      </w:r>
      <w:r w:rsidR="00AF0AF6">
        <w:rPr>
          <w:rFonts w:ascii="Arial" w:hAnsi="Arial" w:cs="Arial"/>
        </w:rPr>
        <w:t xml:space="preserve"> </w:t>
      </w:r>
      <w:r w:rsidR="007B2552" w:rsidRPr="007B2552">
        <w:rPr>
          <w:rFonts w:ascii="Arial" w:hAnsi="Arial" w:cs="Arial"/>
          <w:b/>
          <w:bCs/>
        </w:rPr>
        <w:t>a</w:t>
      </w:r>
      <w:r w:rsidR="00F041D2">
        <w:rPr>
          <w:rFonts w:ascii="Arial" w:hAnsi="Arial" w:cs="Arial"/>
          <w:b/>
          <w:bCs/>
        </w:rPr>
        <w:t>,</w:t>
      </w:r>
      <w:r w:rsidR="007B2552">
        <w:rPr>
          <w:rFonts w:ascii="Arial" w:hAnsi="Arial" w:cs="Arial"/>
        </w:rPr>
        <w:t xml:space="preserve"> </w:t>
      </w:r>
      <w:r w:rsidR="007B2552" w:rsidRPr="00A86F19">
        <w:rPr>
          <w:rFonts w:ascii="Arial" w:hAnsi="Arial" w:cs="Arial"/>
        </w:rPr>
        <w:t xml:space="preserve">PD-L1 expression measured via western blot from </w:t>
      </w:r>
      <w:r w:rsidR="00AF0AF6">
        <w:rPr>
          <w:rFonts w:ascii="Arial" w:hAnsi="Arial" w:cs="Arial"/>
        </w:rPr>
        <w:t>RIL-175</w:t>
      </w:r>
      <w:r w:rsidR="007B2552">
        <w:rPr>
          <w:rFonts w:ascii="Arial" w:hAnsi="Arial" w:cs="Arial"/>
        </w:rPr>
        <w:t xml:space="preserve"> </w:t>
      </w:r>
      <w:r w:rsidR="007B2552" w:rsidRPr="00A86F19">
        <w:rPr>
          <w:rFonts w:ascii="Arial" w:hAnsi="Arial" w:cs="Arial"/>
        </w:rPr>
        <w:t>cells harvested after IFN-γ treatment</w:t>
      </w:r>
      <w:r w:rsidR="00BD5497">
        <w:rPr>
          <w:rFonts w:ascii="Arial" w:hAnsi="Arial" w:cs="Arial"/>
        </w:rPr>
        <w:t xml:space="preserve"> (48 hours at 37</w:t>
      </w:r>
      <w:r w:rsidR="00BD5497" w:rsidRPr="00BD5497">
        <w:rPr>
          <w:rFonts w:ascii="Arial" w:hAnsi="Arial" w:cs="Arial"/>
          <w:vertAlign w:val="superscript"/>
        </w:rPr>
        <w:t>0</w:t>
      </w:r>
      <w:r w:rsidR="00BD5497">
        <w:rPr>
          <w:rFonts w:ascii="Arial" w:hAnsi="Arial" w:cs="Arial"/>
        </w:rPr>
        <w:t>C)</w:t>
      </w:r>
      <w:r w:rsidR="007B2552" w:rsidRPr="00A86F19">
        <w:rPr>
          <w:rFonts w:ascii="Arial" w:hAnsi="Arial" w:cs="Arial"/>
        </w:rPr>
        <w:t xml:space="preserve">. </w:t>
      </w:r>
      <w:r w:rsidR="007B2552" w:rsidRPr="00A86F19">
        <w:rPr>
          <w:rFonts w:ascii="Arial" w:hAnsi="Arial" w:cs="Arial"/>
          <w:lang w:val="el-GR"/>
        </w:rPr>
        <w:t>β</w:t>
      </w:r>
      <w:r w:rsidR="007B2552" w:rsidRPr="00A86F19">
        <w:rPr>
          <w:rFonts w:ascii="Arial" w:hAnsi="Arial" w:cs="Arial"/>
        </w:rPr>
        <w:t>-Actin is used as a loading control.</w:t>
      </w:r>
      <w:r w:rsidR="00584E53">
        <w:rPr>
          <w:rFonts w:ascii="Arial" w:hAnsi="Arial" w:cs="Arial"/>
        </w:rPr>
        <w:t xml:space="preserve"> </w:t>
      </w:r>
      <w:r w:rsidR="007B2552" w:rsidRPr="007B2552">
        <w:rPr>
          <w:rFonts w:ascii="Arial" w:hAnsi="Arial" w:cs="Arial"/>
          <w:b/>
          <w:bCs/>
        </w:rPr>
        <w:t>b</w:t>
      </w:r>
      <w:r w:rsidR="00F041D2">
        <w:rPr>
          <w:rFonts w:ascii="Arial" w:hAnsi="Arial" w:cs="Arial"/>
          <w:b/>
          <w:bCs/>
        </w:rPr>
        <w:t>,</w:t>
      </w:r>
      <w:r w:rsidR="00584E53" w:rsidRPr="00A86F19">
        <w:rPr>
          <w:rFonts w:ascii="Arial" w:hAnsi="Arial" w:cs="Arial"/>
        </w:rPr>
        <w:t xml:space="preserve"> Confocal fluorescence intensity (top row) and FLIM (middle row) images of </w:t>
      </w:r>
      <w:r w:rsidR="00F07404">
        <w:rPr>
          <w:rFonts w:ascii="Arial" w:hAnsi="Arial" w:cs="Arial"/>
        </w:rPr>
        <w:t>RIL-175</w:t>
      </w:r>
      <w:r w:rsidR="00584E53" w:rsidRPr="00A86F19">
        <w:rPr>
          <w:rFonts w:ascii="Arial" w:hAnsi="Arial" w:cs="Arial"/>
        </w:rPr>
        <w:t xml:space="preserve"> cells </w:t>
      </w:r>
      <w:r w:rsidR="00584E53">
        <w:rPr>
          <w:rFonts w:ascii="Arial" w:hAnsi="Arial" w:cs="Arial"/>
        </w:rPr>
        <w:t xml:space="preserve">treated </w:t>
      </w:r>
      <w:r w:rsidR="00584E53" w:rsidRPr="00A86F19">
        <w:rPr>
          <w:rFonts w:ascii="Arial" w:hAnsi="Arial" w:cs="Arial"/>
        </w:rPr>
        <w:t xml:space="preserve">with increasing </w:t>
      </w:r>
      <w:r w:rsidR="00584E53">
        <w:rPr>
          <w:rFonts w:ascii="Arial" w:hAnsi="Arial" w:cs="Arial"/>
        </w:rPr>
        <w:t>concentration</w:t>
      </w:r>
      <w:r w:rsidR="00584E53" w:rsidRPr="00A86F19">
        <w:rPr>
          <w:rFonts w:ascii="Arial" w:hAnsi="Arial" w:cs="Arial"/>
        </w:rPr>
        <w:t xml:space="preserve"> of IFN-γ </w:t>
      </w:r>
      <w:r w:rsidR="00584E53">
        <w:rPr>
          <w:rFonts w:ascii="Arial" w:hAnsi="Arial" w:cs="Arial"/>
        </w:rPr>
        <w:t>(</w:t>
      </w:r>
      <w:r w:rsidR="00F07404">
        <w:rPr>
          <w:rFonts w:ascii="Arial" w:hAnsi="Arial" w:cs="Arial"/>
        </w:rPr>
        <w:t>48 hours at 37</w:t>
      </w:r>
      <w:r w:rsidR="00F07404" w:rsidRPr="00BD5497">
        <w:rPr>
          <w:rFonts w:ascii="Arial" w:hAnsi="Arial" w:cs="Arial"/>
          <w:vertAlign w:val="superscript"/>
        </w:rPr>
        <w:t>0</w:t>
      </w:r>
      <w:r w:rsidR="00F07404">
        <w:rPr>
          <w:rFonts w:ascii="Arial" w:hAnsi="Arial" w:cs="Arial"/>
        </w:rPr>
        <w:t>C</w:t>
      </w:r>
      <w:r w:rsidR="00584E53">
        <w:rPr>
          <w:rFonts w:ascii="Arial" w:hAnsi="Arial" w:cs="Arial"/>
        </w:rPr>
        <w:t>)</w:t>
      </w:r>
      <w:r w:rsidR="00584E53" w:rsidRPr="00A86F19">
        <w:rPr>
          <w:rFonts w:ascii="Arial" w:hAnsi="Arial" w:cs="Arial"/>
        </w:rPr>
        <w:t xml:space="preserve"> </w:t>
      </w:r>
      <w:r w:rsidR="00584E53">
        <w:rPr>
          <w:rFonts w:ascii="Arial" w:hAnsi="Arial" w:cs="Arial"/>
        </w:rPr>
        <w:t xml:space="preserve">followed by </w:t>
      </w:r>
      <w:r w:rsidR="00584E53" w:rsidRPr="00A86F19">
        <w:rPr>
          <w:rFonts w:ascii="Arial" w:hAnsi="Arial" w:cs="Arial"/>
        </w:rPr>
        <w:t>1 h incubation with αPDL1-800 (100 µg) are shown. The bottom row shows nuclear stain with DAPI.</w:t>
      </w:r>
      <w:r w:rsidR="00472D3D">
        <w:rPr>
          <w:rFonts w:ascii="Arial" w:hAnsi="Arial" w:cs="Arial"/>
        </w:rPr>
        <w:t xml:space="preserve"> T</w:t>
      </w:r>
      <w:r w:rsidR="00472D3D" w:rsidRPr="00842C96">
        <w:rPr>
          <w:rFonts w:ascii="Arial" w:hAnsi="Arial" w:cs="Arial"/>
        </w:rPr>
        <w:t xml:space="preserve">he intracellular </w:t>
      </w:r>
      <w:r w:rsidR="00472D3D" w:rsidRPr="00AD3C64">
        <w:rPr>
          <w:rFonts w:ascii="Arial" w:hAnsi="Arial" w:cs="Arial"/>
        </w:rPr>
        <w:t xml:space="preserve">αPDL1-800 </w:t>
      </w:r>
      <w:r w:rsidR="00472D3D">
        <w:rPr>
          <w:rFonts w:ascii="Arial" w:hAnsi="Arial" w:cs="Arial"/>
        </w:rPr>
        <w:t>uptake</w:t>
      </w:r>
      <w:r w:rsidR="00472D3D" w:rsidRPr="00842C96">
        <w:rPr>
          <w:rFonts w:ascii="Arial" w:hAnsi="Arial" w:cs="Arial"/>
        </w:rPr>
        <w:t xml:space="preserve"> increased with increasing doses of IFN-</w:t>
      </w:r>
      <w:r w:rsidR="00472D3D" w:rsidRPr="00AD3C64">
        <w:rPr>
          <w:rFonts w:ascii="Arial" w:hAnsi="Arial" w:cs="Arial"/>
        </w:rPr>
        <w:t>γ</w:t>
      </w:r>
      <w:r w:rsidR="00472D3D" w:rsidRPr="00842C96">
        <w:rPr>
          <w:rFonts w:ascii="Arial" w:hAnsi="Arial" w:cs="Arial"/>
        </w:rPr>
        <w:t xml:space="preserve"> (top row</w:t>
      </w:r>
      <w:r w:rsidR="00472D3D">
        <w:rPr>
          <w:rFonts w:ascii="Arial" w:hAnsi="Arial" w:cs="Arial"/>
        </w:rPr>
        <w:t>)</w:t>
      </w:r>
      <w:r w:rsidR="00472D3D" w:rsidRPr="00842C96">
        <w:rPr>
          <w:rFonts w:ascii="Arial" w:hAnsi="Arial" w:cs="Arial"/>
        </w:rPr>
        <w:t xml:space="preserve"> indicating higher PD-L1 expression with IFN-g treatment. </w:t>
      </w:r>
      <w:r w:rsidR="00F75A89">
        <w:rPr>
          <w:rFonts w:ascii="Arial" w:hAnsi="Arial" w:cs="Arial"/>
        </w:rPr>
        <w:t>T</w:t>
      </w:r>
      <w:r w:rsidR="00472D3D" w:rsidRPr="00842C96">
        <w:rPr>
          <w:rFonts w:ascii="Arial" w:hAnsi="Arial" w:cs="Arial"/>
        </w:rPr>
        <w:t xml:space="preserve">he mean intracellular FLT was unaffected </w:t>
      </w:r>
      <w:r w:rsidR="00F75A89">
        <w:rPr>
          <w:rFonts w:ascii="Arial" w:hAnsi="Arial" w:cs="Arial"/>
        </w:rPr>
        <w:t>(</w:t>
      </w:r>
      <w:r w:rsidR="00472D3D" w:rsidRPr="00842C96">
        <w:rPr>
          <w:rFonts w:ascii="Arial" w:hAnsi="Arial" w:cs="Arial"/>
        </w:rPr>
        <w:t>middle row</w:t>
      </w:r>
      <w:r w:rsidR="00F75A89">
        <w:rPr>
          <w:rFonts w:ascii="Arial" w:hAnsi="Arial" w:cs="Arial"/>
        </w:rPr>
        <w:t>)</w:t>
      </w:r>
      <w:r w:rsidR="00472D3D" w:rsidRPr="00842C96">
        <w:rPr>
          <w:rFonts w:ascii="Arial" w:hAnsi="Arial" w:cs="Arial"/>
        </w:rPr>
        <w:t xml:space="preserve"> with increasing IFN-γ doses and remained at 0.6</w:t>
      </w:r>
      <w:r w:rsidR="00472D3D">
        <w:rPr>
          <w:rFonts w:ascii="Arial" w:hAnsi="Arial" w:cs="Arial"/>
        </w:rPr>
        <w:t>7</w:t>
      </w:r>
      <w:r w:rsidR="00472D3D" w:rsidRPr="00842C96">
        <w:rPr>
          <w:rFonts w:ascii="Arial" w:hAnsi="Arial" w:cs="Arial"/>
        </w:rPr>
        <w:t xml:space="preserve"> ± 0.0</w:t>
      </w:r>
      <w:r w:rsidR="00472D3D">
        <w:rPr>
          <w:rFonts w:ascii="Arial" w:hAnsi="Arial" w:cs="Arial"/>
        </w:rPr>
        <w:t>6</w:t>
      </w:r>
      <w:r w:rsidR="00472D3D" w:rsidRPr="00842C96">
        <w:rPr>
          <w:rFonts w:ascii="Arial" w:hAnsi="Arial" w:cs="Arial"/>
        </w:rPr>
        <w:t xml:space="preserve"> ns.</w:t>
      </w:r>
    </w:p>
    <w:p w14:paraId="5C99522A" w14:textId="00F2008F" w:rsidR="00584E53" w:rsidRDefault="00584E53" w:rsidP="00391503">
      <w:pPr>
        <w:spacing w:after="120"/>
        <w:rPr>
          <w:rFonts w:ascii="Arial" w:hAnsi="Arial" w:cs="Arial"/>
        </w:rPr>
      </w:pPr>
    </w:p>
    <w:p w14:paraId="5F0C259F" w14:textId="700C1D07" w:rsidR="00584E53" w:rsidRDefault="00584E53" w:rsidP="00391503">
      <w:pPr>
        <w:spacing w:after="120"/>
        <w:rPr>
          <w:rFonts w:ascii="Arial" w:hAnsi="Arial" w:cs="Arial"/>
        </w:rPr>
      </w:pPr>
    </w:p>
    <w:p w14:paraId="1BC279CD" w14:textId="0EC76273" w:rsidR="00584E53" w:rsidRDefault="00584E53" w:rsidP="00391503">
      <w:pPr>
        <w:spacing w:after="120"/>
        <w:rPr>
          <w:rFonts w:ascii="Arial" w:hAnsi="Arial" w:cs="Arial"/>
        </w:rPr>
      </w:pPr>
    </w:p>
    <w:p w14:paraId="1218995E" w14:textId="4EA561BF" w:rsidR="00584E53" w:rsidRDefault="00584E53" w:rsidP="00391503">
      <w:pPr>
        <w:spacing w:after="120"/>
        <w:rPr>
          <w:rFonts w:ascii="Arial" w:hAnsi="Arial" w:cs="Arial"/>
        </w:rPr>
      </w:pPr>
    </w:p>
    <w:p w14:paraId="39A3A9A3" w14:textId="56AFB678" w:rsidR="00A33E5A" w:rsidRDefault="00A33E5A" w:rsidP="00391503">
      <w:pPr>
        <w:spacing w:after="120"/>
        <w:rPr>
          <w:rFonts w:ascii="Arial" w:hAnsi="Arial" w:cs="Arial"/>
        </w:rPr>
      </w:pPr>
    </w:p>
    <w:p w14:paraId="2DF7F4C8" w14:textId="77777777" w:rsidR="00A33E5A" w:rsidRDefault="00A33E5A" w:rsidP="00391503">
      <w:pPr>
        <w:spacing w:after="120"/>
        <w:rPr>
          <w:rFonts w:ascii="Arial" w:hAnsi="Arial" w:cs="Arial"/>
        </w:rPr>
      </w:pPr>
    </w:p>
    <w:p w14:paraId="720F3C66" w14:textId="4D8D0D77" w:rsidR="00584E53" w:rsidRDefault="00584E53" w:rsidP="00391503">
      <w:pPr>
        <w:spacing w:after="120"/>
        <w:rPr>
          <w:rFonts w:ascii="Arial" w:hAnsi="Arial" w:cs="Arial"/>
        </w:rPr>
      </w:pPr>
    </w:p>
    <w:p w14:paraId="1FD32DAF" w14:textId="4BE56B64" w:rsidR="00584E53" w:rsidRPr="00DB3F12" w:rsidRDefault="00584E53" w:rsidP="00391503">
      <w:pPr>
        <w:spacing w:after="120"/>
        <w:rPr>
          <w:rFonts w:ascii="Arial" w:hAnsi="Arial" w:cs="Arial"/>
          <w:b/>
          <w:bCs/>
        </w:rPr>
      </w:pPr>
      <w:r w:rsidRPr="00DB3F12">
        <w:rPr>
          <w:rFonts w:ascii="Arial" w:hAnsi="Arial" w:cs="Arial"/>
          <w:b/>
          <w:bCs/>
        </w:rPr>
        <w:lastRenderedPageBreak/>
        <w:t>Supplementary Figure 3</w:t>
      </w:r>
    </w:p>
    <w:p w14:paraId="3962A195" w14:textId="77777777" w:rsidR="00584E53" w:rsidRDefault="00584E53" w:rsidP="00391503">
      <w:pPr>
        <w:spacing w:after="120"/>
        <w:rPr>
          <w:rFonts w:ascii="Arial" w:hAnsi="Arial" w:cs="Arial"/>
        </w:rPr>
      </w:pPr>
    </w:p>
    <w:p w14:paraId="6ABB9545" w14:textId="0466115D" w:rsidR="007B2552" w:rsidRDefault="00EC311C" w:rsidP="009D09FB">
      <w:pPr>
        <w:spacing w:after="12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3B2A372C" wp14:editId="18999395">
            <wp:extent cx="3596640" cy="4273550"/>
            <wp:effectExtent l="0" t="0" r="381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640" cy="427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31FBD3" w14:textId="4539004E" w:rsidR="007B2552" w:rsidRDefault="00742BFD" w:rsidP="00A33E5A">
      <w:p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</w:t>
      </w:r>
      <w:r w:rsidR="007B2552" w:rsidRPr="00AF0AF6">
        <w:rPr>
          <w:rFonts w:ascii="Arial" w:hAnsi="Arial" w:cs="Arial"/>
          <w:b/>
          <w:bCs/>
        </w:rPr>
        <w:t>Figure 3.</w:t>
      </w:r>
      <w:r w:rsidR="00AF0AF6" w:rsidRPr="00AF0AF6">
        <w:rPr>
          <w:rFonts w:ascii="Arial" w:hAnsi="Arial" w:cs="Arial"/>
          <w:b/>
          <w:bCs/>
        </w:rPr>
        <w:t xml:space="preserve"> Photograph representing the source and detector locations.</w:t>
      </w:r>
      <w:r w:rsidR="007B2552">
        <w:rPr>
          <w:rFonts w:ascii="Arial" w:hAnsi="Arial" w:cs="Arial"/>
        </w:rPr>
        <w:t xml:space="preserve"> </w:t>
      </w:r>
      <w:r w:rsidR="00BE4A9C">
        <w:rPr>
          <w:rFonts w:ascii="Arial" w:hAnsi="Arial" w:cs="Arial"/>
        </w:rPr>
        <w:t>Top-down view of the ventral surface of a representative mouse with orthotopic RIL-175 tumor in the liver.</w:t>
      </w:r>
      <w:r w:rsidR="003E7133">
        <w:rPr>
          <w:rFonts w:ascii="Arial" w:hAnsi="Arial" w:cs="Arial"/>
        </w:rPr>
        <w:t xml:space="preserve"> Arrows indicate</w:t>
      </w:r>
      <w:r w:rsidR="00D44673">
        <w:rPr>
          <w:rFonts w:ascii="Arial" w:hAnsi="Arial" w:cs="Arial"/>
        </w:rPr>
        <w:t xml:space="preserve"> the</w:t>
      </w:r>
      <w:r w:rsidR="003E7133">
        <w:rPr>
          <w:rFonts w:ascii="Arial" w:hAnsi="Arial" w:cs="Arial"/>
        </w:rPr>
        <w:t xml:space="preserve"> fiducial points used for co-registration of the tomographic data with CT.</w:t>
      </w:r>
      <w:r w:rsidR="00D44673">
        <w:rPr>
          <w:rFonts w:ascii="Arial" w:hAnsi="Arial" w:cs="Arial"/>
        </w:rPr>
        <w:t xml:space="preserve"> The sources (o) determined from the impulse response function and detectors (x) </w:t>
      </w:r>
      <w:r w:rsidR="00DB3996">
        <w:rPr>
          <w:rFonts w:ascii="Arial" w:hAnsi="Arial" w:cs="Arial"/>
        </w:rPr>
        <w:t>assigned on the camera</w:t>
      </w:r>
      <w:r w:rsidR="00EC311C">
        <w:rPr>
          <w:rFonts w:ascii="Arial" w:hAnsi="Arial" w:cs="Arial"/>
        </w:rPr>
        <w:t xml:space="preserve"> are shown</w:t>
      </w:r>
      <w:r w:rsidR="00DB3996">
        <w:rPr>
          <w:rFonts w:ascii="Arial" w:hAnsi="Arial" w:cs="Arial"/>
        </w:rPr>
        <w:t>.</w:t>
      </w:r>
      <w:r w:rsidR="001B339F">
        <w:rPr>
          <w:rFonts w:ascii="Arial" w:hAnsi="Arial" w:cs="Arial"/>
        </w:rPr>
        <w:t xml:space="preserve"> The sources were separated by 5 mm from each other, while the detector locations were separated by </w:t>
      </w:r>
      <w:r w:rsidR="00F07404">
        <w:rPr>
          <w:rFonts w:ascii="Arial" w:hAnsi="Arial" w:cs="Arial"/>
        </w:rPr>
        <w:t>3.3</w:t>
      </w:r>
      <w:r w:rsidR="001B339F">
        <w:rPr>
          <w:rFonts w:ascii="Arial" w:hAnsi="Arial" w:cs="Arial"/>
        </w:rPr>
        <w:t xml:space="preserve"> mm.</w:t>
      </w:r>
    </w:p>
    <w:p w14:paraId="69E450F0" w14:textId="7701F46E" w:rsidR="00584E53" w:rsidRDefault="00584E53" w:rsidP="00584E53">
      <w:pPr>
        <w:spacing w:after="120"/>
        <w:rPr>
          <w:rFonts w:ascii="Arial" w:hAnsi="Arial" w:cs="Arial"/>
        </w:rPr>
      </w:pPr>
    </w:p>
    <w:p w14:paraId="210B19B9" w14:textId="41E68820" w:rsidR="00584E53" w:rsidRDefault="00584E53" w:rsidP="00584E53">
      <w:pPr>
        <w:spacing w:after="120"/>
        <w:rPr>
          <w:rFonts w:ascii="Arial" w:hAnsi="Arial" w:cs="Arial"/>
        </w:rPr>
      </w:pPr>
    </w:p>
    <w:p w14:paraId="44011D20" w14:textId="79C724DF" w:rsidR="00584E53" w:rsidRDefault="00584E53" w:rsidP="00584E53">
      <w:pPr>
        <w:spacing w:after="120"/>
        <w:rPr>
          <w:rFonts w:ascii="Arial" w:hAnsi="Arial" w:cs="Arial"/>
        </w:rPr>
      </w:pPr>
    </w:p>
    <w:p w14:paraId="67DE6D74" w14:textId="5B19F173" w:rsidR="00584E53" w:rsidRDefault="00584E53" w:rsidP="00584E53">
      <w:pPr>
        <w:spacing w:after="120"/>
        <w:rPr>
          <w:rFonts w:ascii="Arial" w:hAnsi="Arial" w:cs="Arial"/>
        </w:rPr>
      </w:pPr>
    </w:p>
    <w:p w14:paraId="0D50C1B7" w14:textId="6E244366" w:rsidR="00584E53" w:rsidRDefault="00584E53" w:rsidP="00584E53">
      <w:pPr>
        <w:spacing w:after="120"/>
        <w:rPr>
          <w:rFonts w:ascii="Arial" w:hAnsi="Arial" w:cs="Arial"/>
        </w:rPr>
      </w:pPr>
    </w:p>
    <w:p w14:paraId="003A898F" w14:textId="60BBDCD5" w:rsidR="00584E53" w:rsidRDefault="00584E53" w:rsidP="00584E53">
      <w:pPr>
        <w:spacing w:after="120"/>
        <w:rPr>
          <w:rFonts w:ascii="Arial" w:hAnsi="Arial" w:cs="Arial"/>
        </w:rPr>
      </w:pPr>
    </w:p>
    <w:p w14:paraId="2213C5D4" w14:textId="6B990DD6" w:rsidR="00584E53" w:rsidRDefault="00584E53" w:rsidP="00584E53">
      <w:pPr>
        <w:spacing w:after="120"/>
        <w:rPr>
          <w:rFonts w:ascii="Arial" w:hAnsi="Arial" w:cs="Arial"/>
        </w:rPr>
      </w:pPr>
    </w:p>
    <w:p w14:paraId="69B4B0F1" w14:textId="53F50476" w:rsidR="00584E53" w:rsidRDefault="00584E53" w:rsidP="00584E53">
      <w:pPr>
        <w:spacing w:after="120"/>
        <w:rPr>
          <w:rFonts w:ascii="Arial" w:hAnsi="Arial" w:cs="Arial"/>
        </w:rPr>
      </w:pPr>
    </w:p>
    <w:p w14:paraId="79B906D1" w14:textId="7AD29311" w:rsidR="00584E53" w:rsidRDefault="00584E53" w:rsidP="00584E53">
      <w:pPr>
        <w:spacing w:after="120"/>
        <w:rPr>
          <w:rFonts w:ascii="Arial" w:hAnsi="Arial" w:cs="Arial"/>
        </w:rPr>
      </w:pPr>
    </w:p>
    <w:p w14:paraId="7B60E104" w14:textId="77777777" w:rsidR="00A33E5A" w:rsidRDefault="00A33E5A" w:rsidP="00584E53">
      <w:pPr>
        <w:spacing w:after="120"/>
        <w:rPr>
          <w:rFonts w:ascii="Arial" w:hAnsi="Arial" w:cs="Arial"/>
        </w:rPr>
      </w:pPr>
    </w:p>
    <w:p w14:paraId="35D16F4D" w14:textId="3EA7BE61" w:rsidR="00584E53" w:rsidRDefault="00584E53" w:rsidP="00584E53">
      <w:pPr>
        <w:spacing w:after="120"/>
        <w:rPr>
          <w:rFonts w:ascii="Arial" w:hAnsi="Arial" w:cs="Arial"/>
        </w:rPr>
      </w:pPr>
    </w:p>
    <w:p w14:paraId="4735C441" w14:textId="56247B78" w:rsidR="00584E53" w:rsidRPr="00AF0AF6" w:rsidRDefault="00584E53" w:rsidP="00584E53">
      <w:pPr>
        <w:spacing w:after="120"/>
        <w:rPr>
          <w:rFonts w:ascii="Arial" w:hAnsi="Arial" w:cs="Arial"/>
          <w:b/>
          <w:bCs/>
        </w:rPr>
      </w:pPr>
      <w:r w:rsidRPr="00AF0AF6">
        <w:rPr>
          <w:rFonts w:ascii="Arial" w:hAnsi="Arial" w:cs="Arial"/>
          <w:b/>
          <w:bCs/>
        </w:rPr>
        <w:t>Supplementary Figure 4</w:t>
      </w:r>
    </w:p>
    <w:p w14:paraId="00F71BCF" w14:textId="659391EC" w:rsidR="00584E53" w:rsidRDefault="00584E53" w:rsidP="00584E53">
      <w:pPr>
        <w:spacing w:after="120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4C3D95AD" wp14:editId="7CA72E7C">
            <wp:extent cx="5986824" cy="394419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9564" cy="39525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FAD849C" w14:textId="55E07995" w:rsidR="00FC6457" w:rsidRDefault="00742BFD" w:rsidP="00A33E5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Supplementary </w:t>
      </w:r>
      <w:r w:rsidR="00CB7198" w:rsidRPr="00FC6457">
        <w:rPr>
          <w:rFonts w:ascii="Arial" w:hAnsi="Arial" w:cs="Arial"/>
          <w:b/>
          <w:bCs/>
        </w:rPr>
        <w:t>Figure 4.</w:t>
      </w:r>
      <w:r w:rsidR="00824F89" w:rsidRPr="00FC6457">
        <w:rPr>
          <w:rFonts w:ascii="Arial" w:hAnsi="Arial" w:cs="Arial"/>
          <w:b/>
          <w:bCs/>
        </w:rPr>
        <w:t xml:space="preserve"> </w:t>
      </w:r>
      <w:r w:rsidR="00824F89" w:rsidRPr="00BE4A9C">
        <w:rPr>
          <w:rFonts w:ascii="Arial" w:hAnsi="Arial" w:cs="Arial"/>
          <w:b/>
          <w:bCs/>
          <w:i/>
          <w:iCs/>
        </w:rPr>
        <w:t>Ex vivo</w:t>
      </w:r>
      <w:r w:rsidR="00824F89" w:rsidRPr="00FC6457">
        <w:rPr>
          <w:rFonts w:ascii="Arial" w:hAnsi="Arial" w:cs="Arial"/>
          <w:b/>
          <w:bCs/>
        </w:rPr>
        <w:t xml:space="preserve"> </w:t>
      </w:r>
      <w:r w:rsidR="00BE4A9C">
        <w:rPr>
          <w:rFonts w:ascii="Arial" w:hAnsi="Arial" w:cs="Arial"/>
          <w:b/>
          <w:bCs/>
        </w:rPr>
        <w:t xml:space="preserve">validation of </w:t>
      </w:r>
      <w:r w:rsidR="00BE4A9C" w:rsidRPr="00BE4A9C">
        <w:rPr>
          <w:rFonts w:ascii="Arial" w:hAnsi="Arial" w:cs="Arial"/>
          <w:b/>
          <w:bCs/>
        </w:rPr>
        <w:t>the αPDL1-800 FLT</w:t>
      </w:r>
      <w:r w:rsidR="00BE4A9C">
        <w:rPr>
          <w:rFonts w:ascii="Arial" w:hAnsi="Arial" w:cs="Arial"/>
          <w:b/>
          <w:bCs/>
        </w:rPr>
        <w:t xml:space="preserve"> enhancement</w:t>
      </w:r>
      <w:r w:rsidR="00824F89" w:rsidRPr="00FC6457">
        <w:rPr>
          <w:rFonts w:ascii="Arial" w:hAnsi="Arial" w:cs="Arial"/>
          <w:b/>
          <w:bCs/>
        </w:rPr>
        <w:t xml:space="preserve"> </w:t>
      </w:r>
      <w:r w:rsidR="00BE4A9C">
        <w:rPr>
          <w:rFonts w:ascii="Arial" w:hAnsi="Arial" w:cs="Arial"/>
          <w:b/>
          <w:bCs/>
        </w:rPr>
        <w:t>in</w:t>
      </w:r>
      <w:r w:rsidR="00824F89" w:rsidRPr="00FC6457">
        <w:rPr>
          <w:rFonts w:ascii="Arial" w:hAnsi="Arial" w:cs="Arial"/>
          <w:b/>
          <w:bCs/>
        </w:rPr>
        <w:t xml:space="preserve"> a representative HCC tumor.</w:t>
      </w:r>
      <w:r w:rsidR="008239DB">
        <w:rPr>
          <w:rFonts w:ascii="Arial" w:hAnsi="Arial" w:cs="Arial"/>
        </w:rPr>
        <w:t xml:space="preserve"> </w:t>
      </w:r>
      <w:r w:rsidR="00AE40F9">
        <w:rPr>
          <w:rFonts w:ascii="Arial" w:hAnsi="Arial" w:cs="Arial"/>
        </w:rPr>
        <w:t xml:space="preserve">The tumor was harvested from a mouse with an orthotopic RIL-175 tumor in the liver, 48 h after systemic administration of </w:t>
      </w:r>
      <w:r w:rsidR="00AE40F9" w:rsidRPr="00AE40F9">
        <w:rPr>
          <w:rFonts w:ascii="Arial" w:hAnsi="Arial" w:cs="Arial"/>
        </w:rPr>
        <w:t>αPDL1-800</w:t>
      </w:r>
      <w:r w:rsidR="00AE40F9">
        <w:rPr>
          <w:rFonts w:ascii="Arial" w:hAnsi="Arial" w:cs="Arial"/>
        </w:rPr>
        <w:t xml:space="preserve">. </w:t>
      </w:r>
      <w:r w:rsidR="003F671F">
        <w:rPr>
          <w:rFonts w:ascii="Arial" w:hAnsi="Arial" w:cs="Arial"/>
          <w:b/>
          <w:bCs/>
        </w:rPr>
        <w:t>a</w:t>
      </w:r>
      <w:r w:rsidR="003F671F" w:rsidRPr="003F671F">
        <w:rPr>
          <w:rFonts w:ascii="Arial" w:hAnsi="Arial" w:cs="Arial"/>
        </w:rPr>
        <w:t xml:space="preserve">, </w:t>
      </w:r>
      <w:r w:rsidR="00FC6457">
        <w:rPr>
          <w:rFonts w:ascii="Arial" w:hAnsi="Arial" w:cs="Arial"/>
        </w:rPr>
        <w:t>A</w:t>
      </w:r>
      <w:r w:rsidR="00FC6457" w:rsidRPr="00FC6457">
        <w:rPr>
          <w:rFonts w:ascii="Arial" w:hAnsi="Arial" w:cs="Arial"/>
        </w:rPr>
        <w:t xml:space="preserve"> histology image of an OCT frozen </w:t>
      </w:r>
      <w:r w:rsidR="00FC6457">
        <w:rPr>
          <w:rFonts w:ascii="Arial" w:hAnsi="Arial" w:cs="Arial"/>
        </w:rPr>
        <w:t xml:space="preserve">tissue </w:t>
      </w:r>
      <w:r w:rsidR="00FC6457" w:rsidRPr="00FC6457">
        <w:rPr>
          <w:rFonts w:ascii="Arial" w:hAnsi="Arial" w:cs="Arial"/>
        </w:rPr>
        <w:t>section</w:t>
      </w:r>
      <w:r w:rsidR="00FC6457">
        <w:rPr>
          <w:rFonts w:ascii="Arial" w:hAnsi="Arial" w:cs="Arial"/>
        </w:rPr>
        <w:t xml:space="preserve"> (10 µm). The tumor (T) and normal liver boundary is indicated by a white dashed line.</w:t>
      </w:r>
      <w:r w:rsidR="00FC6457" w:rsidRPr="00FC6457">
        <w:rPr>
          <w:rFonts w:ascii="Arial" w:hAnsi="Arial" w:cs="Arial"/>
        </w:rPr>
        <w:t xml:space="preserve"> </w:t>
      </w:r>
      <w:r w:rsidR="00D21335" w:rsidRPr="00D21335">
        <w:rPr>
          <w:rFonts w:ascii="Arial" w:hAnsi="Arial" w:cs="Arial"/>
          <w:b/>
          <w:bCs/>
        </w:rPr>
        <w:t>b</w:t>
      </w:r>
      <w:r w:rsidR="00D21335">
        <w:rPr>
          <w:rFonts w:ascii="Arial" w:hAnsi="Arial" w:cs="Arial"/>
        </w:rPr>
        <w:t xml:space="preserve">, </w:t>
      </w:r>
      <w:r w:rsidR="00D21335" w:rsidRPr="00EF6695">
        <w:rPr>
          <w:rFonts w:ascii="Arial" w:hAnsi="Arial" w:cs="Arial"/>
        </w:rPr>
        <w:t>Confocal microscopy of the same tissue section</w:t>
      </w:r>
      <w:r w:rsidR="004F31D4">
        <w:rPr>
          <w:rFonts w:ascii="Arial" w:hAnsi="Arial" w:cs="Arial"/>
        </w:rPr>
        <w:t xml:space="preserve"> is shown. </w:t>
      </w:r>
      <w:r w:rsidR="004F31D4" w:rsidRPr="00654C4C">
        <w:rPr>
          <w:rFonts w:ascii="Arial" w:hAnsi="Arial" w:cs="Arial"/>
          <w:b/>
          <w:bCs/>
        </w:rPr>
        <w:t>c</w:t>
      </w:r>
      <w:r w:rsidR="004F31D4">
        <w:rPr>
          <w:rFonts w:ascii="Arial" w:hAnsi="Arial" w:cs="Arial"/>
        </w:rPr>
        <w:t>, Intensity histograms show a considerable overlap between the HCC tumor</w:t>
      </w:r>
      <w:r w:rsidR="00C827EB">
        <w:rPr>
          <w:rFonts w:ascii="Arial" w:hAnsi="Arial" w:cs="Arial"/>
        </w:rPr>
        <w:t xml:space="preserve"> (purple)</w:t>
      </w:r>
      <w:r w:rsidR="004F31D4">
        <w:rPr>
          <w:rFonts w:ascii="Arial" w:hAnsi="Arial" w:cs="Arial"/>
        </w:rPr>
        <w:t xml:space="preserve"> and normal liver</w:t>
      </w:r>
      <w:r w:rsidR="00C827EB">
        <w:rPr>
          <w:rFonts w:ascii="Arial" w:hAnsi="Arial" w:cs="Arial"/>
        </w:rPr>
        <w:t xml:space="preserve"> (green)</w:t>
      </w:r>
      <w:r w:rsidR="004F31D4">
        <w:rPr>
          <w:rFonts w:ascii="Arial" w:hAnsi="Arial" w:cs="Arial"/>
        </w:rPr>
        <w:t xml:space="preserve"> with a mean tumor intensity of </w:t>
      </w:r>
      <w:r w:rsidR="004F31D4" w:rsidRPr="00EF6695">
        <w:rPr>
          <w:rFonts w:ascii="Arial" w:hAnsi="Arial" w:cs="Arial"/>
        </w:rPr>
        <w:t>87.6±37.2 AU</w:t>
      </w:r>
      <w:r w:rsidR="004F31D4">
        <w:rPr>
          <w:rFonts w:ascii="Arial" w:hAnsi="Arial" w:cs="Arial"/>
        </w:rPr>
        <w:t xml:space="preserve"> and </w:t>
      </w:r>
      <w:r w:rsidR="00654C4C">
        <w:rPr>
          <w:rFonts w:ascii="Arial" w:hAnsi="Arial" w:cs="Arial"/>
        </w:rPr>
        <w:t>a</w:t>
      </w:r>
      <w:r w:rsidR="004F31D4">
        <w:rPr>
          <w:rFonts w:ascii="Arial" w:hAnsi="Arial" w:cs="Arial"/>
        </w:rPr>
        <w:t xml:space="preserve"> mean normal liver intensity of </w:t>
      </w:r>
      <w:r w:rsidR="004F31D4" w:rsidRPr="00EF6695">
        <w:rPr>
          <w:rFonts w:ascii="Arial" w:hAnsi="Arial" w:cs="Arial"/>
        </w:rPr>
        <w:t>144.2±36.2 AU</w:t>
      </w:r>
      <w:r w:rsidR="004F31D4">
        <w:rPr>
          <w:rFonts w:ascii="Arial" w:hAnsi="Arial" w:cs="Arial"/>
        </w:rPr>
        <w:t>.</w:t>
      </w:r>
      <w:r w:rsidR="00AE40F9">
        <w:rPr>
          <w:rFonts w:ascii="Arial" w:hAnsi="Arial" w:cs="Arial"/>
        </w:rPr>
        <w:t xml:space="preserve"> </w:t>
      </w:r>
      <w:r w:rsidR="00AE40F9" w:rsidRPr="00AE40F9">
        <w:rPr>
          <w:rFonts w:ascii="Arial" w:hAnsi="Arial" w:cs="Arial"/>
          <w:b/>
          <w:bCs/>
        </w:rPr>
        <w:t>d</w:t>
      </w:r>
      <w:r w:rsidR="00AE40F9">
        <w:rPr>
          <w:rFonts w:ascii="Arial" w:hAnsi="Arial" w:cs="Arial"/>
        </w:rPr>
        <w:t xml:space="preserve">, </w:t>
      </w:r>
      <w:r w:rsidR="00E6483C">
        <w:rPr>
          <w:rFonts w:ascii="Arial" w:hAnsi="Arial" w:cs="Arial"/>
        </w:rPr>
        <w:t xml:space="preserve">Representative </w:t>
      </w:r>
      <w:r w:rsidR="00AE40F9">
        <w:rPr>
          <w:rFonts w:ascii="Arial" w:hAnsi="Arial" w:cs="Arial"/>
        </w:rPr>
        <w:t xml:space="preserve">TD fluorescence decay curves of </w:t>
      </w:r>
      <w:r w:rsidR="00E6483C" w:rsidRPr="00AE40F9">
        <w:rPr>
          <w:rFonts w:ascii="Arial" w:hAnsi="Arial" w:cs="Arial"/>
        </w:rPr>
        <w:t>αPDL1-800</w:t>
      </w:r>
      <w:r w:rsidR="00F40C1E">
        <w:rPr>
          <w:rFonts w:ascii="Arial" w:hAnsi="Arial" w:cs="Arial"/>
        </w:rPr>
        <w:t xml:space="preserve"> obtained from confocal FLIM.</w:t>
      </w:r>
      <w:r w:rsidR="00E6483C">
        <w:rPr>
          <w:rFonts w:ascii="Arial" w:hAnsi="Arial" w:cs="Arial"/>
        </w:rPr>
        <w:t xml:space="preserve"> </w:t>
      </w:r>
      <w:r w:rsidR="00F40C1E">
        <w:rPr>
          <w:rFonts w:ascii="Arial" w:hAnsi="Arial" w:cs="Arial"/>
        </w:rPr>
        <w:t>T</w:t>
      </w:r>
      <w:r w:rsidR="00E6483C">
        <w:rPr>
          <w:rFonts w:ascii="Arial" w:hAnsi="Arial" w:cs="Arial"/>
        </w:rPr>
        <w:t>he</w:t>
      </w:r>
      <w:r w:rsidR="00F40C1E">
        <w:rPr>
          <w:rFonts w:ascii="Arial" w:hAnsi="Arial" w:cs="Arial"/>
        </w:rPr>
        <w:t xml:space="preserve"> decay curve from the</w:t>
      </w:r>
      <w:r w:rsidR="00E6483C">
        <w:rPr>
          <w:rFonts w:ascii="Arial" w:hAnsi="Arial" w:cs="Arial"/>
        </w:rPr>
        <w:t xml:space="preserve"> tumor (purple)</w:t>
      </w:r>
      <w:r w:rsidR="00470D19">
        <w:rPr>
          <w:rFonts w:ascii="Arial" w:hAnsi="Arial" w:cs="Arial"/>
        </w:rPr>
        <w:t xml:space="preserve"> show</w:t>
      </w:r>
      <w:r w:rsidR="00F40C1E">
        <w:rPr>
          <w:rFonts w:ascii="Arial" w:hAnsi="Arial" w:cs="Arial"/>
        </w:rPr>
        <w:t>ed</w:t>
      </w:r>
      <w:r w:rsidR="00470D19">
        <w:rPr>
          <w:rFonts w:ascii="Arial" w:hAnsi="Arial" w:cs="Arial"/>
        </w:rPr>
        <w:t xml:space="preserve"> a longer FLT (1.05 ns)</w:t>
      </w:r>
      <w:r w:rsidR="00E6483C">
        <w:rPr>
          <w:rFonts w:ascii="Arial" w:hAnsi="Arial" w:cs="Arial"/>
        </w:rPr>
        <w:t xml:space="preserve"> </w:t>
      </w:r>
      <w:r w:rsidR="00470D19">
        <w:rPr>
          <w:rFonts w:ascii="Arial" w:hAnsi="Arial" w:cs="Arial"/>
        </w:rPr>
        <w:t>compared to that in the</w:t>
      </w:r>
      <w:r w:rsidR="00E6483C">
        <w:rPr>
          <w:rFonts w:ascii="Arial" w:hAnsi="Arial" w:cs="Arial"/>
        </w:rPr>
        <w:t xml:space="preserve"> normal liver (green</w:t>
      </w:r>
      <w:r w:rsidR="00470D19">
        <w:rPr>
          <w:rFonts w:ascii="Arial" w:hAnsi="Arial" w:cs="Arial"/>
        </w:rPr>
        <w:t>; 0.85 ns</w:t>
      </w:r>
      <w:r w:rsidR="00E6483C">
        <w:rPr>
          <w:rFonts w:ascii="Arial" w:hAnsi="Arial" w:cs="Arial"/>
        </w:rPr>
        <w:t>).</w:t>
      </w:r>
      <w:r w:rsidR="00AE40F9">
        <w:rPr>
          <w:rFonts w:ascii="Arial" w:hAnsi="Arial" w:cs="Arial"/>
        </w:rPr>
        <w:t xml:space="preserve"> </w:t>
      </w:r>
      <w:r w:rsidR="00AE40F9" w:rsidRPr="003F671F">
        <w:rPr>
          <w:rFonts w:ascii="Arial" w:hAnsi="Arial" w:cs="Arial"/>
        </w:rPr>
        <w:t xml:space="preserve">The corresponding </w:t>
      </w:r>
      <w:r w:rsidR="00F40C1E">
        <w:rPr>
          <w:rFonts w:ascii="Arial" w:hAnsi="Arial" w:cs="Arial"/>
        </w:rPr>
        <w:t xml:space="preserve">confocal </w:t>
      </w:r>
      <w:r w:rsidR="00AE40F9" w:rsidRPr="003F671F">
        <w:rPr>
          <w:rFonts w:ascii="Arial" w:hAnsi="Arial" w:cs="Arial"/>
        </w:rPr>
        <w:t>FL</w:t>
      </w:r>
      <w:r w:rsidR="00F40C1E">
        <w:rPr>
          <w:rFonts w:ascii="Arial" w:hAnsi="Arial" w:cs="Arial"/>
        </w:rPr>
        <w:t>IM</w:t>
      </w:r>
      <w:r w:rsidR="00AE40F9" w:rsidRPr="003F671F">
        <w:rPr>
          <w:rFonts w:ascii="Arial" w:hAnsi="Arial" w:cs="Arial"/>
        </w:rPr>
        <w:t xml:space="preserve"> image (</w:t>
      </w:r>
      <w:r w:rsidR="00F40C1E">
        <w:rPr>
          <w:rFonts w:ascii="Arial" w:hAnsi="Arial" w:cs="Arial"/>
          <w:b/>
          <w:bCs/>
        </w:rPr>
        <w:t>e</w:t>
      </w:r>
      <w:r w:rsidR="00AE40F9" w:rsidRPr="003F671F">
        <w:rPr>
          <w:rFonts w:ascii="Arial" w:hAnsi="Arial" w:cs="Arial"/>
        </w:rPr>
        <w:t>)</w:t>
      </w:r>
      <w:r w:rsidR="00F40C1E">
        <w:rPr>
          <w:rFonts w:ascii="Arial" w:hAnsi="Arial" w:cs="Arial"/>
        </w:rPr>
        <w:t xml:space="preserve"> of the same tissue section </w:t>
      </w:r>
      <w:r w:rsidR="00AE40F9" w:rsidRPr="003F671F">
        <w:rPr>
          <w:rFonts w:ascii="Arial" w:hAnsi="Arial" w:cs="Arial"/>
        </w:rPr>
        <w:t xml:space="preserve">and </w:t>
      </w:r>
      <w:r w:rsidR="00F40C1E">
        <w:rPr>
          <w:rFonts w:ascii="Arial" w:hAnsi="Arial" w:cs="Arial"/>
        </w:rPr>
        <w:t xml:space="preserve">the </w:t>
      </w:r>
      <w:r w:rsidR="00AE40F9" w:rsidRPr="003F671F">
        <w:rPr>
          <w:rFonts w:ascii="Arial" w:hAnsi="Arial" w:cs="Arial"/>
        </w:rPr>
        <w:t xml:space="preserve">FLT </w:t>
      </w:r>
      <w:r w:rsidR="00F40C1E">
        <w:rPr>
          <w:rFonts w:ascii="Arial" w:hAnsi="Arial" w:cs="Arial"/>
        </w:rPr>
        <w:t>histograms</w:t>
      </w:r>
      <w:r w:rsidR="00AE40F9" w:rsidRPr="003F671F">
        <w:rPr>
          <w:rFonts w:ascii="Arial" w:hAnsi="Arial" w:cs="Arial"/>
        </w:rPr>
        <w:t xml:space="preserve"> (</w:t>
      </w:r>
      <w:r w:rsidR="00F40C1E">
        <w:rPr>
          <w:rFonts w:ascii="Arial" w:hAnsi="Arial" w:cs="Arial"/>
          <w:b/>
          <w:bCs/>
        </w:rPr>
        <w:t>f</w:t>
      </w:r>
      <w:r w:rsidR="00AE40F9" w:rsidRPr="003F671F">
        <w:rPr>
          <w:rFonts w:ascii="Arial" w:hAnsi="Arial" w:cs="Arial"/>
        </w:rPr>
        <w:t>)</w:t>
      </w:r>
      <w:r w:rsidR="00F40C1E">
        <w:rPr>
          <w:rFonts w:ascii="Arial" w:hAnsi="Arial" w:cs="Arial"/>
        </w:rPr>
        <w:t xml:space="preserve"> of tumor</w:t>
      </w:r>
      <w:r w:rsidR="00DA1372">
        <w:rPr>
          <w:rFonts w:ascii="Arial" w:hAnsi="Arial" w:cs="Arial"/>
        </w:rPr>
        <w:t xml:space="preserve"> (purple)</w:t>
      </w:r>
      <w:r w:rsidR="00F40C1E">
        <w:rPr>
          <w:rFonts w:ascii="Arial" w:hAnsi="Arial" w:cs="Arial"/>
        </w:rPr>
        <w:t xml:space="preserve"> and normal liver</w:t>
      </w:r>
      <w:r w:rsidR="00DA1372">
        <w:rPr>
          <w:rFonts w:ascii="Arial" w:hAnsi="Arial" w:cs="Arial"/>
        </w:rPr>
        <w:t xml:space="preserve"> (green)</w:t>
      </w:r>
      <w:r w:rsidR="00F40C1E">
        <w:rPr>
          <w:rFonts w:ascii="Arial" w:hAnsi="Arial" w:cs="Arial"/>
        </w:rPr>
        <w:t xml:space="preserve"> are shown.</w:t>
      </w:r>
      <w:r w:rsidR="00AE40F9" w:rsidRPr="003F671F">
        <w:rPr>
          <w:rFonts w:ascii="Arial" w:hAnsi="Arial" w:cs="Arial"/>
        </w:rPr>
        <w:t xml:space="preserve"> </w:t>
      </w:r>
      <w:r w:rsidR="00F40C1E">
        <w:rPr>
          <w:rFonts w:ascii="Arial" w:hAnsi="Arial" w:cs="Arial"/>
        </w:rPr>
        <w:t xml:space="preserve">The tumor FLT </w:t>
      </w:r>
      <w:r w:rsidR="00F40C1E" w:rsidRPr="00F40C1E">
        <w:rPr>
          <w:rFonts w:ascii="Arial" w:hAnsi="Arial" w:cs="Arial"/>
        </w:rPr>
        <w:t>was longer (</w:t>
      </w:r>
      <m:oMath>
        <m:sSub>
          <m:sSubPr>
            <m:ctrlPr>
              <w:rPr>
                <w:rFonts w:ascii="Cambria Math" w:hAnsi="Cambria Math" w:cs="Arial"/>
                <w:i/>
                <w:iCs/>
              </w:rPr>
            </m:ctrlPr>
          </m:sSubPr>
          <m:e>
            <m:r>
              <w:rPr>
                <w:rFonts w:ascii="Cambria Math" w:hAnsi="Cambria Math" w:cs="Arial"/>
              </w:rPr>
              <m:t>τ</m:t>
            </m:r>
          </m:e>
          <m:sub>
            <m:r>
              <w:rPr>
                <w:rFonts w:ascii="Cambria Math" w:hAnsi="Cambria Math" w:cs="Arial"/>
              </w:rPr>
              <m:t>T</m:t>
            </m:r>
          </m:sub>
        </m:sSub>
      </m:oMath>
      <w:r w:rsidR="00F40C1E" w:rsidRPr="00F40C1E">
        <w:rPr>
          <w:rFonts w:ascii="Arial" w:hAnsi="Arial" w:cs="Arial"/>
        </w:rPr>
        <w:t xml:space="preserve"> = 1.04±0.04 ns) than the normal liver FLT (</w:t>
      </w:r>
      <m:oMath>
        <m:sSub>
          <m:sSubPr>
            <m:ctrlPr>
              <w:rPr>
                <w:rFonts w:ascii="Cambria Math" w:hAnsi="Cambria Math" w:cs="Arial"/>
                <w:i/>
                <w:iCs/>
              </w:rPr>
            </m:ctrlPr>
          </m:sSubPr>
          <m:e>
            <m:r>
              <w:rPr>
                <w:rFonts w:ascii="Cambria Math" w:hAnsi="Cambria Math" w:cs="Arial"/>
              </w:rPr>
              <m:t>τ</m:t>
            </m:r>
          </m:e>
          <m:sub>
            <m:r>
              <w:rPr>
                <w:rFonts w:ascii="Cambria Math" w:hAnsi="Cambria Math" w:cs="Arial"/>
              </w:rPr>
              <m:t>NS</m:t>
            </m:r>
          </m:sub>
        </m:sSub>
      </m:oMath>
      <w:r w:rsidR="00F40C1E" w:rsidRPr="00F40C1E">
        <w:rPr>
          <w:rFonts w:ascii="Arial" w:hAnsi="Arial" w:cs="Arial"/>
        </w:rPr>
        <w:t xml:space="preserve"> = 0.88±0.05 ns) with minimal overlap</w:t>
      </w:r>
      <w:r w:rsidR="00F40C1E">
        <w:rPr>
          <w:rFonts w:ascii="Arial" w:hAnsi="Arial" w:cs="Arial"/>
        </w:rPr>
        <w:t>.</w:t>
      </w:r>
    </w:p>
    <w:p w14:paraId="5B688259" w14:textId="77777777" w:rsidR="00FC6457" w:rsidRDefault="00FC6457" w:rsidP="003F671F">
      <w:pPr>
        <w:rPr>
          <w:rFonts w:ascii="Arial" w:hAnsi="Arial" w:cs="Arial"/>
        </w:rPr>
      </w:pPr>
    </w:p>
    <w:p w14:paraId="69520624" w14:textId="76FCA7F6" w:rsidR="00CB7198" w:rsidRPr="00391503" w:rsidRDefault="00CB7198" w:rsidP="00584E53">
      <w:pPr>
        <w:spacing w:after="120"/>
        <w:rPr>
          <w:rFonts w:ascii="Arial" w:hAnsi="Arial" w:cs="Arial"/>
        </w:rPr>
      </w:pPr>
    </w:p>
    <w:sectPr w:rsidR="00CB7198" w:rsidRPr="00391503" w:rsidSect="00391503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3239EB"/>
    <w:rsid w:val="0009203E"/>
    <w:rsid w:val="000B3090"/>
    <w:rsid w:val="001309D1"/>
    <w:rsid w:val="001B339F"/>
    <w:rsid w:val="00213D88"/>
    <w:rsid w:val="003204D8"/>
    <w:rsid w:val="003239EB"/>
    <w:rsid w:val="00391503"/>
    <w:rsid w:val="003E7133"/>
    <w:rsid w:val="003F671F"/>
    <w:rsid w:val="00456BF4"/>
    <w:rsid w:val="00470D19"/>
    <w:rsid w:val="00472D3D"/>
    <w:rsid w:val="004E3128"/>
    <w:rsid w:val="004F31D4"/>
    <w:rsid w:val="005064A8"/>
    <w:rsid w:val="00584E53"/>
    <w:rsid w:val="0065267E"/>
    <w:rsid w:val="00654C4C"/>
    <w:rsid w:val="006E0C09"/>
    <w:rsid w:val="00742BFD"/>
    <w:rsid w:val="00772444"/>
    <w:rsid w:val="007B2552"/>
    <w:rsid w:val="007D07E8"/>
    <w:rsid w:val="008239DB"/>
    <w:rsid w:val="00824F89"/>
    <w:rsid w:val="00854129"/>
    <w:rsid w:val="00912278"/>
    <w:rsid w:val="00925DF1"/>
    <w:rsid w:val="009B0E49"/>
    <w:rsid w:val="009D09FB"/>
    <w:rsid w:val="00A33E5A"/>
    <w:rsid w:val="00AE40F9"/>
    <w:rsid w:val="00AF0AF6"/>
    <w:rsid w:val="00B760EC"/>
    <w:rsid w:val="00BB3109"/>
    <w:rsid w:val="00BD5497"/>
    <w:rsid w:val="00BE4A9C"/>
    <w:rsid w:val="00C827EB"/>
    <w:rsid w:val="00CA1A55"/>
    <w:rsid w:val="00CB7198"/>
    <w:rsid w:val="00D21335"/>
    <w:rsid w:val="00D44673"/>
    <w:rsid w:val="00DA1372"/>
    <w:rsid w:val="00DB3996"/>
    <w:rsid w:val="00DB3F12"/>
    <w:rsid w:val="00E6483C"/>
    <w:rsid w:val="00EC1809"/>
    <w:rsid w:val="00EC311C"/>
    <w:rsid w:val="00EF6695"/>
    <w:rsid w:val="00F041D2"/>
    <w:rsid w:val="00F07404"/>
    <w:rsid w:val="00F40C1E"/>
    <w:rsid w:val="00F75A89"/>
    <w:rsid w:val="00FC6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2C57E"/>
  <w15:chartTrackingRefBased/>
  <w15:docId w15:val="{F781343C-F9B4-4152-B18F-0899B9A54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15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15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3F6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59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Pal, Rahul,PhD</dc:creator>
  <cp:keywords/>
  <dc:description/>
  <cp:lastModifiedBy>Pal, Rahul,PhD</cp:lastModifiedBy>
  <cp:revision>52</cp:revision>
  <dcterms:created xsi:type="dcterms:W3CDTF">2023-07-26T17:22:00Z</dcterms:created>
  <dcterms:modified xsi:type="dcterms:W3CDTF">2023-07-31T19:50:00Z</dcterms:modified>
</cp:coreProperties>
</file>