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33C11" w14:textId="77777777" w:rsidR="00BE0AA2" w:rsidRPr="007419C2" w:rsidRDefault="00BE0AA2" w:rsidP="00BE0AA2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lang w:val="en-US" w:eastAsia="ja-JP"/>
        </w:rPr>
      </w:pPr>
      <w:r>
        <w:rPr>
          <w:rFonts w:ascii="Times New Roman" w:hAnsi="Times New Roman" w:cs="Times New Roman"/>
          <w:b/>
          <w:sz w:val="24"/>
          <w:szCs w:val="24"/>
          <w:lang w:val="en-US" w:eastAsia="ja-JP"/>
        </w:rPr>
        <w:t xml:space="preserve">Online </w:t>
      </w:r>
      <w:r w:rsidRPr="007419C2">
        <w:rPr>
          <w:rFonts w:ascii="Times New Roman" w:hAnsi="Times New Roman" w:cs="Times New Roman"/>
          <w:b/>
          <w:sz w:val="24"/>
          <w:szCs w:val="24"/>
          <w:lang w:val="en-US" w:eastAsia="ja-JP"/>
        </w:rPr>
        <w:t>Methods</w:t>
      </w:r>
    </w:p>
    <w:p w14:paraId="03442654" w14:textId="77777777" w:rsidR="00BE0AA2" w:rsidRPr="007419C2" w:rsidRDefault="00BE0AA2" w:rsidP="00BE0AA2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</w:p>
    <w:p w14:paraId="687F294C" w14:textId="77777777" w:rsidR="00BE0AA2" w:rsidRPr="007419C2" w:rsidRDefault="00D96EF1" w:rsidP="00BE0AA2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lang w:val="en-US" w:eastAsia="ja-JP"/>
        </w:rPr>
      </w:pPr>
      <w:r>
        <w:rPr>
          <w:rFonts w:ascii="Times New Roman" w:hAnsi="Times New Roman" w:cs="Times New Roman"/>
          <w:b/>
          <w:sz w:val="24"/>
          <w:szCs w:val="24"/>
          <w:lang w:val="en-US" w:eastAsia="ja-JP"/>
        </w:rPr>
        <w:t>Ethics</w:t>
      </w:r>
      <w:r w:rsidR="00BE0AA2" w:rsidRPr="007419C2">
        <w:rPr>
          <w:rFonts w:ascii="Times New Roman" w:hAnsi="Times New Roman" w:cs="Times New Roman"/>
          <w:b/>
          <w:sz w:val="24"/>
          <w:szCs w:val="24"/>
          <w:lang w:val="en-US" w:eastAsia="ja-JP"/>
        </w:rPr>
        <w:t xml:space="preserve"> approval</w:t>
      </w:r>
    </w:p>
    <w:p w14:paraId="71603F12" w14:textId="77777777" w:rsidR="00BE0AA2" w:rsidRPr="007419C2" w:rsidRDefault="00BE0AA2" w:rsidP="00BE0AA2">
      <w:pPr>
        <w:widowControl w:val="0"/>
        <w:autoSpaceDE w:val="0"/>
        <w:autoSpaceDN w:val="0"/>
        <w:adjustRightInd w:val="0"/>
        <w:spacing w:after="0" w:line="500" w:lineRule="exact"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  <w:r w:rsidRPr="007419C2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Experiments using rats were permitted by the Animal Experiments Committee of Hokkaido University (permission no. 20-0032) and performed in accordance with the Guidelines for the Care and Use of Laboratory Animals at Hokkaido University. 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Experiments using human materials were permitted by </w:t>
      </w:r>
      <w:r w:rsidR="00497C9B" w:rsidRPr="004A62CC">
        <w:rPr>
          <w:rFonts w:ascii="Times New Roman" w:hAnsi="Times New Roman" w:cs="Times New Roman"/>
          <w:sz w:val="24"/>
          <w:szCs w:val="24"/>
          <w:lang w:val="en-US"/>
        </w:rPr>
        <w:t>the Ethics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Committee of the Faculty of Health Sciences, Hokkaido University (permission no. 20-40) and performed in </w:t>
      </w:r>
      <w:r w:rsidRPr="007419C2">
        <w:rPr>
          <w:rFonts w:ascii="Times New Roman" w:hAnsi="Times New Roman" w:cs="Times New Roman"/>
          <w:sz w:val="24"/>
          <w:szCs w:val="24"/>
          <w:lang w:val="en-US" w:eastAsia="ja-JP"/>
        </w:rPr>
        <w:t>accordance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with the Declaration of Helsinki. After acqu</w:t>
      </w:r>
      <w:r w:rsidR="00D96EF1" w:rsidRPr="004A62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sition of written informed consent, per</w:t>
      </w:r>
      <w:r w:rsidR="00D96EF1" w:rsidRPr="004A62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pheral blood (10 ml) was drawn from healthy volunteers.</w:t>
      </w:r>
    </w:p>
    <w:p w14:paraId="14608D0D" w14:textId="77777777" w:rsidR="00BE0AA2" w:rsidRPr="004A62CC" w:rsidRDefault="00BE0AA2" w:rsidP="00BE0AA2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lang w:val="en-US" w:eastAsia="ja-JP"/>
        </w:rPr>
      </w:pPr>
    </w:p>
    <w:p w14:paraId="570FFAC5" w14:textId="77777777" w:rsidR="00E13ED0" w:rsidRPr="007419C2" w:rsidRDefault="00E13ED0" w:rsidP="00E13ED0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lang w:val="en-US" w:eastAsia="ja-JP"/>
        </w:rPr>
      </w:pPr>
      <w:r w:rsidRPr="007419C2">
        <w:rPr>
          <w:rFonts w:ascii="Times New Roman" w:hAnsi="Times New Roman" w:cs="Times New Roman"/>
          <w:b/>
          <w:sz w:val="24"/>
          <w:szCs w:val="24"/>
          <w:lang w:val="en-US" w:eastAsia="ja-JP"/>
        </w:rPr>
        <w:t>Compound and drugs</w:t>
      </w:r>
    </w:p>
    <w:p w14:paraId="1B14499C" w14:textId="42BE3C04" w:rsidR="00E13ED0" w:rsidRPr="007419C2" w:rsidRDefault="00E13ED0" w:rsidP="00E13ED0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hAnsi="Times New Roman" w:cs="Times New Roman"/>
          <w:sz w:val="24"/>
          <w:szCs w:val="24"/>
          <w:lang w:val="en-US" w:eastAsia="ja-JP"/>
        </w:rPr>
        <w:t xml:space="preserve">A novel </w:t>
      </w:r>
      <w:r>
        <w:rPr>
          <w:rFonts w:ascii="Times New Roman" w:hAnsi="Times New Roman" w:cs="Times New Roman" w:hint="eastAsia"/>
          <w:sz w:val="24"/>
          <w:szCs w:val="24"/>
          <w:lang w:val="en-US" w:eastAsia="ja-JP"/>
        </w:rPr>
        <w:t>c</w:t>
      </w:r>
      <w:r>
        <w:rPr>
          <w:rFonts w:ascii="Times New Roman" w:hAnsi="Times New Roman" w:cs="Times New Roman"/>
          <w:sz w:val="24"/>
          <w:szCs w:val="24"/>
          <w:lang w:val="en-US" w:eastAsia="ja-JP"/>
        </w:rPr>
        <w:t>athepsin C (CatC) inhibitor</w:t>
      </w:r>
      <w:r w:rsidR="00302182">
        <w:rPr>
          <w:rFonts w:ascii="Times New Roman" w:hAnsi="Times New Roman" w:cs="Times New Roman" w:hint="eastAsia"/>
          <w:sz w:val="24"/>
          <w:szCs w:val="24"/>
          <w:lang w:val="en-US" w:eastAsia="ja-JP"/>
        </w:rPr>
        <w:t>,</w:t>
      </w:r>
      <w:r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MOD06051</w:t>
      </w:r>
      <w:r w:rsidR="00302182">
        <w:rPr>
          <w:rFonts w:ascii="Times New Roman" w:hAnsi="Times New Roman" w:cs="Times New Roman"/>
          <w:sz w:val="24"/>
          <w:szCs w:val="24"/>
          <w:lang w:val="en-US" w:eastAsia="ja-JP"/>
        </w:rPr>
        <w:t>,</w:t>
      </w:r>
      <w:r w:rsidRPr="007419C2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was</w:t>
      </w:r>
      <w:r w:rsidR="00302182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developed at</w:t>
      </w:r>
      <w:r w:rsidRPr="007419C2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</w:t>
      </w:r>
      <w:r w:rsidRPr="00AE6194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Modulus Discovery, Inc. </w:t>
      </w:r>
      <w:r w:rsidRPr="00AD66BD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(Tokyo, Japan). </w:t>
      </w:r>
      <w:r w:rsidR="007F3C8C" w:rsidRPr="00CF1242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>AZD7986</w:t>
      </w:r>
      <w:r w:rsidR="00AD66BD">
        <w:rPr>
          <w:rFonts w:ascii="Times New Roman" w:eastAsia="ＭＳ 明朝" w:hAnsi="Times New Roman" w:cs="Times New Roman"/>
          <w:sz w:val="24"/>
          <w:szCs w:val="24"/>
          <w:lang w:val="en-US" w:eastAsia="ja-JP"/>
        </w:rPr>
        <w:t>,</w:t>
      </w:r>
      <w:r w:rsidR="007F3C8C" w:rsidRPr="00CF1242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 xml:space="preserve"> </w:t>
      </w:r>
      <w:r w:rsidR="00AD66BD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a </w:t>
      </w:r>
      <w:r w:rsidR="00AD66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en-US"/>
        </w:rPr>
        <w:t>d</w:t>
      </w:r>
      <w:r w:rsidR="00AD66BD" w:rsidRPr="00AD66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en-US"/>
        </w:rPr>
        <w:t xml:space="preserve">ipeptidyl </w:t>
      </w:r>
      <w:r w:rsidR="00AD66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en-US"/>
        </w:rPr>
        <w:t>p</w:t>
      </w:r>
      <w:r w:rsidR="00AD66BD" w:rsidRPr="00AD66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en-US"/>
        </w:rPr>
        <w:t xml:space="preserve">eptidase 1 </w:t>
      </w:r>
      <w:r w:rsidR="00AD66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en-US"/>
        </w:rPr>
        <w:t>i</w:t>
      </w:r>
      <w:r w:rsidR="00AD66BD" w:rsidRPr="00AD66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en-US"/>
        </w:rPr>
        <w:t>nhibitor</w:t>
      </w:r>
      <w:r w:rsidR="00AD66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en-US"/>
        </w:rPr>
        <w:t xml:space="preserve">, </w:t>
      </w:r>
      <w:r w:rsidR="007F3C8C" w:rsidRPr="00CF1242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>was synthesized and su</w:t>
      </w:r>
      <w:r w:rsidR="00AD66BD">
        <w:rPr>
          <w:rFonts w:ascii="Times New Roman" w:eastAsia="ＭＳ 明朝" w:hAnsi="Times New Roman" w:cs="Times New Roman"/>
          <w:sz w:val="24"/>
          <w:szCs w:val="24"/>
          <w:lang w:val="en-US" w:eastAsia="ja-JP"/>
        </w:rPr>
        <w:t>p</w:t>
      </w:r>
      <w:r w:rsidR="007F3C8C" w:rsidRPr="00CF1242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>pl</w:t>
      </w:r>
      <w:r w:rsidR="00AD66BD">
        <w:rPr>
          <w:rFonts w:ascii="Times New Roman" w:eastAsia="ＭＳ 明朝" w:hAnsi="Times New Roman" w:cs="Times New Roman"/>
          <w:sz w:val="24"/>
          <w:szCs w:val="24"/>
          <w:lang w:val="en-US" w:eastAsia="ja-JP"/>
        </w:rPr>
        <w:t>i</w:t>
      </w:r>
      <w:r w:rsidR="007F3C8C" w:rsidRPr="00CF1242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 xml:space="preserve">ed by </w:t>
      </w:r>
      <w:r w:rsidR="007F3C8C" w:rsidRPr="00AE6194">
        <w:rPr>
          <w:rFonts w:ascii="Times New Roman" w:eastAsia="ＭＳ 明朝" w:hAnsi="Times New Roman" w:cs="Times New Roman"/>
          <w:sz w:val="24"/>
          <w:szCs w:val="24"/>
          <w:lang w:val="en-US"/>
        </w:rPr>
        <w:t>Modulus Discovery, Inc</w:t>
      </w:r>
      <w:r w:rsidR="007F3C8C" w:rsidRPr="00CF1242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. </w:t>
      </w:r>
      <w:r w:rsidR="00302182" w:rsidRPr="00AE6194">
        <w:rPr>
          <w:rFonts w:ascii="Times New Roman" w:eastAsia="ＭＳ 明朝" w:hAnsi="Times New Roman" w:cs="Times New Roman"/>
          <w:sz w:val="24"/>
          <w:szCs w:val="24"/>
          <w:lang w:val="en-US"/>
        </w:rPr>
        <w:t>Sivelestat, a</w:t>
      </w:r>
      <w:r w:rsidRPr="00AE6194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neutrophil elastase (NE) inhibitor, and </w:t>
      </w:r>
      <w:r w:rsidR="00302182" w:rsidRPr="00AE6194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avacopan, </w:t>
      </w:r>
      <w:r w:rsidRPr="00AE6194">
        <w:rPr>
          <w:rFonts w:ascii="Times New Roman" w:eastAsia="ＭＳ 明朝" w:hAnsi="Times New Roman" w:cs="Times New Roman"/>
          <w:sz w:val="24"/>
          <w:szCs w:val="24"/>
          <w:lang w:val="en-US"/>
        </w:rPr>
        <w:t>a C5a receptor (C5aR) inhibitor, were purchased from Cayman Chemical (</w:t>
      </w:r>
      <w:hyperlink r:id="rId6" w:history="1">
        <w:r w:rsidRPr="00AE6194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en-US"/>
          </w:rPr>
          <w:t>Ann Arbor, MI,</w:t>
        </w:r>
      </w:hyperlink>
      <w:r w:rsidRPr="00AE6194">
        <w:rPr>
          <w:rFonts w:ascii="Times New Roman" w:hAnsi="Times New Roman" w:cs="Times New Roman"/>
          <w:sz w:val="24"/>
          <w:szCs w:val="24"/>
          <w:lang w:val="en-US"/>
        </w:rPr>
        <w:t xml:space="preserve"> USA)</w:t>
      </w:r>
      <w:r w:rsidRPr="00AE6194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and Selleck Chemicals (Houston, TX, USA), respectively.</w:t>
      </w:r>
    </w:p>
    <w:p w14:paraId="7458AAAE" w14:textId="77777777" w:rsidR="00BE0AA2" w:rsidRPr="00E13ED0" w:rsidRDefault="00BE0AA2" w:rsidP="00BE0AA2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</w:p>
    <w:p w14:paraId="0898BA38" w14:textId="77777777" w:rsidR="00BE0AA2" w:rsidRPr="007419C2" w:rsidRDefault="00BE0AA2" w:rsidP="00BE0AA2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lang w:val="en-US" w:eastAsia="ja-JP"/>
        </w:rPr>
      </w:pPr>
      <w:r>
        <w:rPr>
          <w:rFonts w:ascii="Times New Roman" w:hAnsi="Times New Roman" w:cs="Times New Roman"/>
          <w:b/>
          <w:sz w:val="24"/>
          <w:szCs w:val="24"/>
          <w:lang w:val="en-US" w:eastAsia="ja-JP"/>
        </w:rPr>
        <w:t>Inhibition s</w:t>
      </w:r>
      <w:r w:rsidRPr="007419C2">
        <w:rPr>
          <w:rFonts w:ascii="Times New Roman" w:hAnsi="Times New Roman" w:cs="Times New Roman"/>
          <w:b/>
          <w:sz w:val="24"/>
          <w:szCs w:val="24"/>
          <w:lang w:val="en-US" w:eastAsia="ja-JP"/>
        </w:rPr>
        <w:t>pecificity of MOD06051</w:t>
      </w:r>
    </w:p>
    <w:p w14:paraId="662CA41F" w14:textId="77777777" w:rsidR="00BE0AA2" w:rsidRPr="004A62CC" w:rsidRDefault="00B355DD" w:rsidP="00BE0AA2">
      <w:pPr>
        <w:spacing w:line="500" w:lineRule="exact"/>
        <w:jc w:val="both"/>
        <w:rPr>
          <w:rStyle w:val="q4iawc"/>
          <w:rFonts w:ascii="Times New Roman" w:eastAsia="ＭＳ 明朝" w:hAnsi="Times New Roman" w:cs="Times New Roman"/>
          <w:sz w:val="24"/>
          <w:szCs w:val="24"/>
          <w:lang w:val="en-US"/>
        </w:rPr>
      </w:pP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E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nzymatic activity of cathepsins B, C, D, E, H, K, L, L2, S, and Z</w:t>
      </w:r>
      <w:r w:rsidR="00D64846" w:rsidRPr="004A62CC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 xml:space="preserve"> </w:t>
      </w:r>
      <w:r w:rsidR="00D64846" w:rsidRPr="004A62CC">
        <w:rPr>
          <w:rFonts w:ascii="Times New Roman" w:eastAsia="ＭＳ 明朝" w:hAnsi="Times New Roman" w:cs="Times New Roman"/>
          <w:sz w:val="24"/>
          <w:szCs w:val="24"/>
          <w:lang w:val="en-US" w:eastAsia="ja-JP"/>
        </w:rPr>
        <w:t>and NE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was </w:t>
      </w:r>
      <w:r w:rsidR="00DA66DD" w:rsidRPr="004A62CC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>d</w:t>
      </w:r>
      <w:r w:rsidR="00DA66DD" w:rsidRPr="004A62CC">
        <w:rPr>
          <w:rFonts w:ascii="Times New Roman" w:eastAsia="ＭＳ 明朝" w:hAnsi="Times New Roman" w:cs="Times New Roman"/>
          <w:sz w:val="24"/>
          <w:szCs w:val="24"/>
          <w:lang w:val="en-US" w:eastAsia="ja-JP"/>
        </w:rPr>
        <w:t>etermined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using recombinant 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lang w:val="en-US" w:eastAsia="ja-JP"/>
        </w:rPr>
        <w:t xml:space="preserve">human 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enzymes and each fluorescent substrate in appropriate buffer (</w:t>
      </w:r>
      <w:r w:rsidR="00BE0AA2" w:rsidRPr="004A62CC">
        <w:rPr>
          <w:rFonts w:ascii="Times New Roman" w:eastAsia="ＭＳ 明朝" w:hAnsi="Times New Roman" w:cs="Times New Roman"/>
          <w:b/>
          <w:sz w:val="24"/>
          <w:szCs w:val="24"/>
          <w:lang w:val="en-US"/>
        </w:rPr>
        <w:t>Table S1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). The inhibitory activity of </w:t>
      </w:r>
      <w:r w:rsidR="00BE0AA2" w:rsidRPr="007419C2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MOD06051 against these enzymes 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was determined </w:t>
      </w:r>
      <w:r w:rsidR="00BE0AA2" w:rsidRPr="004A62CC">
        <w:rPr>
          <w:rFonts w:ascii="Times New Roman" w:eastAsia="ＭＳ 明朝" w:hAnsi="Times New Roman" w:cs="Times New Roman"/>
          <w:i/>
          <w:iCs/>
          <w:sz w:val="24"/>
          <w:szCs w:val="24"/>
          <w:lang w:val="en-US"/>
        </w:rPr>
        <w:t>in vitro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.</w:t>
      </w:r>
    </w:p>
    <w:p w14:paraId="59A138CA" w14:textId="77777777" w:rsidR="00BE0AA2" w:rsidRPr="007419C2" w:rsidRDefault="00BE0AA2" w:rsidP="00BE0AA2">
      <w:pPr>
        <w:spacing w:line="500" w:lineRule="exact"/>
        <w:jc w:val="both"/>
        <w:rPr>
          <w:rFonts w:ascii="Times New Roman" w:eastAsia="ＭＳ 明朝" w:hAnsi="Times New Roman" w:cs="Times New Roman"/>
          <w:sz w:val="24"/>
          <w:szCs w:val="24"/>
          <w:lang w:val="en-US" w:eastAsia="ja-JP"/>
        </w:rPr>
      </w:pPr>
    </w:p>
    <w:p w14:paraId="190C7D12" w14:textId="77777777" w:rsidR="00BE0AA2" w:rsidRPr="004A62CC" w:rsidRDefault="00BE0AA2" w:rsidP="00BE0AA2">
      <w:pPr>
        <w:spacing w:line="500" w:lineRule="exact"/>
        <w:jc w:val="both"/>
        <w:rPr>
          <w:rFonts w:ascii="Times New Roman" w:eastAsia="ＭＳ 明朝" w:hAnsi="Times New Roman" w:cs="Times New Roman"/>
          <w:b/>
          <w:sz w:val="24"/>
          <w:szCs w:val="24"/>
          <w:lang w:val="en-US" w:eastAsia="ja-JP"/>
        </w:rPr>
      </w:pPr>
      <w:r w:rsidRPr="004A62CC">
        <w:rPr>
          <w:rFonts w:ascii="Times New Roman" w:eastAsia="ＭＳ 明朝" w:hAnsi="Times New Roman" w:cs="Times New Roman"/>
          <w:b/>
          <w:sz w:val="24"/>
          <w:szCs w:val="24"/>
          <w:lang w:val="en-US" w:eastAsia="ja-JP"/>
        </w:rPr>
        <w:t xml:space="preserve">Inhibition of </w:t>
      </w:r>
      <w:r w:rsidR="00DA66DD" w:rsidRPr="004A62CC">
        <w:rPr>
          <w:rFonts w:ascii="Times New Roman" w:eastAsia="ＭＳ 明朝" w:hAnsi="Times New Roman" w:cs="Times New Roman"/>
          <w:b/>
          <w:sz w:val="24"/>
          <w:szCs w:val="24"/>
          <w:lang w:val="en-US" w:eastAsia="ja-JP"/>
        </w:rPr>
        <w:t xml:space="preserve">cellular </w:t>
      </w:r>
      <w:r w:rsidRPr="004A62CC">
        <w:rPr>
          <w:rFonts w:ascii="Times New Roman" w:eastAsia="ＭＳ 明朝" w:hAnsi="Times New Roman" w:cs="Times New Roman"/>
          <w:b/>
          <w:sz w:val="24"/>
          <w:szCs w:val="24"/>
          <w:lang w:val="en-US" w:eastAsia="ja-JP"/>
        </w:rPr>
        <w:t>NE activity by MOD06051</w:t>
      </w:r>
    </w:p>
    <w:p w14:paraId="0F26CD4B" w14:textId="51998E5A" w:rsidR="00BE0AA2" w:rsidRPr="004A62CC" w:rsidRDefault="00BE0AA2" w:rsidP="00BE0AA2">
      <w:pPr>
        <w:spacing w:line="500" w:lineRule="exact"/>
        <w:jc w:val="both"/>
        <w:rPr>
          <w:rFonts w:ascii="Times New Roman" w:eastAsia="ＭＳ 明朝" w:hAnsi="Times New Roman" w:cs="Times New Roman"/>
          <w:sz w:val="24"/>
          <w:szCs w:val="24"/>
          <w:lang w:val="en-US"/>
        </w:rPr>
      </w:pP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Human CD34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en-IN"/>
        </w:rPr>
        <w:t>+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 Bone Marrow Stem/Progenitor Cells (Hemacare, </w:t>
      </w:r>
      <w:r w:rsidRPr="004A62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Northridge</w:t>
      </w:r>
      <w:r w:rsidRPr="004A62CC">
        <w:rPr>
          <w:rFonts w:ascii="Times New Roman" w:hAnsi="Times New Roman" w:cs="Times New Roman"/>
          <w:sz w:val="24"/>
          <w:szCs w:val="24"/>
          <w:shd w:val="clear" w:color="auto" w:fill="FFFFFF"/>
          <w:lang w:val="en-US" w:eastAsia="ja-JP"/>
        </w:rPr>
        <w:t xml:space="preserve">, </w:t>
      </w:r>
      <w:r w:rsidRPr="004A62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CA, USA) 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were cultured in 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Stem Span SFEM II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Stemcell Technologies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, Vancouver, Canada) supplemented with 100 ng/ml SCF (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PeproTech, 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Cranbury</w:t>
      </w:r>
      <w:r w:rsidRPr="004A62CC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, 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NJ, USA), 10</w:t>
      </w:r>
      <w:r w:rsidRPr="004A62CC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ng/ml IL-3 (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R&amp;D Systems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, Minnneapolis</w:t>
      </w:r>
      <w:r w:rsidRPr="004A62CC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, 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MN, USA), and 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Stemspan CD34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en-IN"/>
        </w:rPr>
        <w:t>+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 expansion media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Stemcell Technologies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) for</w:t>
      </w:r>
      <w:r w:rsidR="0026737D"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first two weeks with regular medium change every four days. On day 15, cells were centrifuged at 400 </w:t>
      </w:r>
      <w:r w:rsidRPr="004A62CC">
        <w:rPr>
          <w:rFonts w:ascii="Times New Roman" w:hAnsi="Times New Roman" w:cs="Times New Roman"/>
          <w:i/>
          <w:sz w:val="24"/>
          <w:szCs w:val="24"/>
          <w:lang w:val="en-US"/>
        </w:rPr>
        <w:t>g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for 5 min at room temperature (RT) and resuspended in the medium containing 10 ng/ml G-CSF (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R&amp;D Systems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) and 0–10 µM MOD06051 (</w:t>
      </w:r>
      <w:r w:rsidRPr="007419C2">
        <w:rPr>
          <w:rFonts w:ascii="Times New Roman" w:hAnsi="Times New Roman" w:cs="Times New Roman"/>
          <w:sz w:val="24"/>
          <w:szCs w:val="24"/>
          <w:lang w:val="en-IN"/>
        </w:rPr>
        <w:t>2×10</w:t>
      </w:r>
      <w:r w:rsidRPr="007419C2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5</w:t>
      </w:r>
      <w:r w:rsidRPr="007419C2">
        <w:rPr>
          <w:rFonts w:ascii="Times New Roman" w:hAnsi="Times New Roman" w:cs="Times New Roman"/>
          <w:sz w:val="24"/>
          <w:szCs w:val="24"/>
          <w:lang w:val="en-IN"/>
        </w:rPr>
        <w:t xml:space="preserve"> cells/well of 96-well plate)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6737D" w:rsidRPr="004A62C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alf of the medium was </w:t>
      </w:r>
      <w:r w:rsidR="0026737D"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freshly 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replaced every day. One week later, the cells were transferred onto a 96-well V-bottom plate. After centrifugation of the plate at 1800 rpm for 5 min at RT, the supernatants were removed carefully. </w:t>
      </w:r>
      <w:r w:rsidR="0026737D" w:rsidRPr="004A62CC">
        <w:rPr>
          <w:rFonts w:ascii="Times New Roman" w:hAnsi="Times New Roman" w:cs="Times New Roman"/>
          <w:sz w:val="24"/>
          <w:szCs w:val="24"/>
          <w:lang w:val="en-US"/>
        </w:rPr>
        <w:t>Fifty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µl of cold NE lysis buffer was added and the samples were </w:t>
      </w:r>
      <w:r w:rsidR="0026737D" w:rsidRPr="004A62CC">
        <w:rPr>
          <w:rFonts w:ascii="Times New Roman" w:hAnsi="Times New Roman" w:cs="Times New Roman"/>
          <w:sz w:val="24"/>
          <w:szCs w:val="24"/>
          <w:lang w:val="en-US"/>
        </w:rPr>
        <w:t>analyzed by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NE activity assay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using </w:t>
      </w:r>
      <w:r w:rsidR="007810E9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the NE substrate (</w:t>
      </w:r>
      <w:r w:rsidR="009B1945" w:rsidRPr="009B1945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MeOSuc-AAPV-AFC</w:t>
      </w:r>
      <w:r w:rsidR="007810E9">
        <w:rPr>
          <w:rFonts w:ascii="Times New Roman" w:eastAsia="ＭＳ 明朝" w:hAnsi="Times New Roman" w:cs="Times New Roman"/>
          <w:sz w:val="24"/>
          <w:szCs w:val="24"/>
          <w:lang w:val="en-IN"/>
        </w:rPr>
        <w:t xml:space="preserve">; </w:t>
      </w:r>
      <w:r w:rsidR="009B1945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Abcam, Cambridge, UK)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. </w:t>
      </w:r>
      <w:r w:rsidR="00B355DD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26737D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B355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55DD" w:rsidRPr="00B355DD">
        <w:rPr>
          <w:rFonts w:ascii="Times New Roman" w:hAnsi="Times New Roman" w:cs="Times New Roman"/>
          <w:i/>
          <w:sz w:val="24"/>
          <w:szCs w:val="24"/>
          <w:lang w:val="en-US"/>
        </w:rPr>
        <w:t>in vivo</w:t>
      </w:r>
      <w:r w:rsidR="00B355DD">
        <w:rPr>
          <w:rFonts w:ascii="Times New Roman" w:hAnsi="Times New Roman" w:cs="Times New Roman"/>
          <w:sz w:val="24"/>
          <w:szCs w:val="24"/>
          <w:lang w:val="en-US"/>
        </w:rPr>
        <w:t xml:space="preserve"> study</w:t>
      </w:r>
      <w:r w:rsidR="00DA66D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B355DD" w:rsidRPr="009E67C5">
        <w:rPr>
          <w:rFonts w:ascii="Times New Roman" w:hAnsi="Times New Roman" w:cs="Times New Roman"/>
          <w:sz w:val="24"/>
          <w:szCs w:val="24"/>
          <w:lang w:val="en-US"/>
        </w:rPr>
        <w:t xml:space="preserve">normal rats </w:t>
      </w:r>
      <w:r w:rsidR="00B355DD">
        <w:rPr>
          <w:rFonts w:ascii="Times New Roman" w:hAnsi="Times New Roman" w:cs="Times New Roman"/>
          <w:sz w:val="24"/>
          <w:szCs w:val="24"/>
          <w:lang w:val="en-US"/>
        </w:rPr>
        <w:t xml:space="preserve">were administered with </w:t>
      </w:r>
      <w:r w:rsidR="00B355DD" w:rsidRPr="007419C2">
        <w:rPr>
          <w:rFonts w:ascii="Times New Roman" w:hAnsi="Times New Roman" w:cs="Times New Roman"/>
          <w:sz w:val="24"/>
          <w:szCs w:val="24"/>
          <w:lang w:val="en-US"/>
        </w:rPr>
        <w:t>MOD06051</w:t>
      </w:r>
      <w:r w:rsidR="00B355DD">
        <w:rPr>
          <w:rFonts w:ascii="Times New Roman" w:hAnsi="Times New Roman" w:cs="Times New Roman"/>
          <w:sz w:val="24"/>
          <w:szCs w:val="24"/>
          <w:lang w:val="en-US"/>
        </w:rPr>
        <w:t xml:space="preserve"> (0, 0.3, 1, 3, and 10 mg/kg) orally bis in die (bid) every day (n=5/group). Two weeks later, </w:t>
      </w:r>
      <w:r w:rsidR="00450242">
        <w:rPr>
          <w:rFonts w:ascii="Times New Roman" w:hAnsi="Times New Roman" w:cs="Times New Roman"/>
          <w:sz w:val="24"/>
          <w:szCs w:val="24"/>
          <w:lang w:val="en-US"/>
        </w:rPr>
        <w:t>polymorph</w:t>
      </w:r>
      <w:r w:rsidR="0026737D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50242">
        <w:rPr>
          <w:rFonts w:ascii="Times New Roman" w:hAnsi="Times New Roman" w:cs="Times New Roman"/>
          <w:sz w:val="24"/>
          <w:szCs w:val="24"/>
          <w:lang w:val="en-US"/>
        </w:rPr>
        <w:t>nuclear cells (PMN</w:t>
      </w:r>
      <w:r w:rsidR="0016195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50242">
        <w:rPr>
          <w:rFonts w:ascii="Times New Roman" w:hAnsi="Times New Roman" w:cs="Times New Roman"/>
          <w:sz w:val="24"/>
          <w:szCs w:val="24"/>
          <w:lang w:val="en-US"/>
        </w:rPr>
        <w:t xml:space="preserve">) in the bone marrow were recovered and their </w:t>
      </w:r>
      <w:r w:rsidR="00B355DD">
        <w:rPr>
          <w:rFonts w:ascii="Times New Roman" w:hAnsi="Times New Roman" w:cs="Times New Roman"/>
          <w:sz w:val="24"/>
          <w:szCs w:val="24"/>
          <w:lang w:val="en-US"/>
        </w:rPr>
        <w:t xml:space="preserve">NE activity was assessed. </w:t>
      </w:r>
      <w:r w:rsidR="00807FF4" w:rsidRPr="00CF1242">
        <w:rPr>
          <w:rFonts w:ascii="Times New Roman" w:eastAsia="ＭＳ 明朝" w:hAnsi="Times New Roman" w:cs="Times New Roman"/>
          <w:sz w:val="24"/>
          <w:szCs w:val="24"/>
          <w:lang w:val="en-US"/>
        </w:rPr>
        <w:t>The 100% of NE activity in the lysed sample was determined with mean activity of vehicle</w:t>
      </w:r>
      <w:r w:rsidR="00AD66BD">
        <w:rPr>
          <w:rFonts w:ascii="Times New Roman" w:eastAsia="ＭＳ 明朝" w:hAnsi="Times New Roman" w:cs="Times New Roman"/>
          <w:sz w:val="24"/>
          <w:szCs w:val="24"/>
          <w:lang w:val="en-US"/>
        </w:rPr>
        <w:t>-</w:t>
      </w:r>
      <w:r w:rsidR="00807FF4" w:rsidRPr="00CF1242">
        <w:rPr>
          <w:rFonts w:ascii="Times New Roman" w:eastAsia="ＭＳ 明朝" w:hAnsi="Times New Roman" w:cs="Times New Roman"/>
          <w:sz w:val="24"/>
          <w:szCs w:val="24"/>
          <w:lang w:val="en-US"/>
        </w:rPr>
        <w:t>treated rats and 0% of activity in the samples was determined with mean activity of 10 mg/kg of AZD7986</w:t>
      </w:r>
      <w:r w:rsidR="00AD66BD">
        <w:rPr>
          <w:rFonts w:ascii="Times New Roman" w:eastAsia="ＭＳ 明朝" w:hAnsi="Times New Roman" w:cs="Times New Roman"/>
          <w:sz w:val="24"/>
          <w:szCs w:val="24"/>
          <w:lang w:val="en-US"/>
        </w:rPr>
        <w:t>-</w:t>
      </w:r>
      <w:r w:rsidR="00807FF4" w:rsidRPr="00CF1242">
        <w:rPr>
          <w:rFonts w:ascii="Times New Roman" w:eastAsia="ＭＳ 明朝" w:hAnsi="Times New Roman" w:cs="Times New Roman"/>
          <w:sz w:val="24"/>
          <w:szCs w:val="24"/>
          <w:lang w:val="en-US"/>
        </w:rPr>
        <w:t>treated rat</w:t>
      </w:r>
      <w:r w:rsidR="00AD66BD">
        <w:rPr>
          <w:rFonts w:ascii="Times New Roman" w:eastAsia="ＭＳ 明朝" w:hAnsi="Times New Roman" w:cs="Times New Roman"/>
          <w:sz w:val="24"/>
          <w:szCs w:val="24"/>
          <w:lang w:val="en-US"/>
        </w:rPr>
        <w:t>s</w:t>
      </w:r>
      <w:r w:rsidR="00807FF4" w:rsidRPr="00CF1242">
        <w:rPr>
          <w:rFonts w:ascii="Times New Roman" w:eastAsia="ＭＳ 明朝" w:hAnsi="Times New Roman" w:cs="Times New Roman"/>
          <w:sz w:val="24"/>
          <w:szCs w:val="24"/>
          <w:lang w:val="en-US"/>
        </w:rPr>
        <w:t>.</w:t>
      </w:r>
      <w:r w:rsidR="00807FF4" w:rsidRPr="00CF1242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 xml:space="preserve"> </w:t>
      </w:r>
      <w:r w:rsidR="00FE728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In other experiments, </w:t>
      </w:r>
      <w:r w:rsidR="00472CD1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normal </w:t>
      </w:r>
      <w:r w:rsidR="00472CD1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rats were </w:t>
      </w:r>
      <w:r w:rsidR="0026737D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dosed</w:t>
      </w:r>
      <w:r w:rsidR="00472CD1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orally bid with MOD06051 (3 mg/kg) or vehicle (0.5% methylcellulose) da</w:t>
      </w:r>
      <w:r w:rsidR="0026737D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il</w:t>
      </w:r>
      <w:r w:rsidR="00472CD1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y (n=3/group). </w:t>
      </w:r>
      <w:r w:rsidR="00472CD1">
        <w:rPr>
          <w:rFonts w:ascii="Times New Roman" w:hAnsi="Times New Roman" w:cs="Times New Roman"/>
          <w:sz w:val="24"/>
          <w:szCs w:val="24"/>
          <w:lang w:val="en-US"/>
        </w:rPr>
        <w:t>Two weeks later, NE activity in peripheral blood neutrophils was assessed</w:t>
      </w:r>
      <w:r w:rsidR="00210E4F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using the NE substrate (</w:t>
      </w:r>
      <w:r w:rsidR="00210E4F" w:rsidRPr="00210E4F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MeOSuc-AAPV-MCA</w:t>
      </w:r>
      <w:r w:rsidR="00210E4F" w:rsidRPr="00210E4F">
        <w:rPr>
          <w:rFonts w:ascii="Times New Roman" w:eastAsia="ＭＳ 明朝" w:hAnsi="Times New Roman" w:cs="Times New Roman"/>
          <w:sz w:val="24"/>
          <w:szCs w:val="24"/>
          <w:lang w:val="en-IN"/>
        </w:rPr>
        <w:t xml:space="preserve">; </w:t>
      </w:r>
      <w:r w:rsidR="00210E4F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Peptide Institute</w:t>
      </w:r>
      <w:r w:rsidR="00210E4F" w:rsidRPr="004A62CC">
        <w:rPr>
          <w:rFonts w:ascii="Times New Roman" w:eastAsia="ＭＳ 明朝" w:hAnsi="Times New Roman" w:cs="Times New Roman" w:hint="eastAsia"/>
          <w:sz w:val="24"/>
          <w:szCs w:val="24"/>
          <w:lang w:val="en-US" w:eastAsia="ja-JP"/>
        </w:rPr>
        <w:t>,</w:t>
      </w:r>
      <w:r w:rsidR="00210E4F" w:rsidRPr="004A62CC">
        <w:rPr>
          <w:rFonts w:ascii="Times New Roman" w:eastAsia="ＭＳ 明朝" w:hAnsi="Times New Roman" w:cs="Times New Roman"/>
          <w:sz w:val="24"/>
          <w:szCs w:val="24"/>
          <w:lang w:val="en-US" w:eastAsia="ja-JP"/>
        </w:rPr>
        <w:t xml:space="preserve"> Osaka, Japan</w:t>
      </w:r>
      <w:r w:rsidR="00210E4F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)</w:t>
      </w:r>
      <w:r w:rsidR="00210E4F" w:rsidRPr="00210E4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E9E8119" w14:textId="77777777" w:rsidR="00BE0AA2" w:rsidRPr="004A62CC" w:rsidRDefault="00BE0AA2" w:rsidP="00BE0AA2">
      <w:pPr>
        <w:spacing w:line="500" w:lineRule="exact"/>
        <w:jc w:val="both"/>
        <w:rPr>
          <w:rFonts w:ascii="Times New Roman" w:eastAsia="ＭＳ 明朝" w:hAnsi="Times New Roman" w:cs="Times New Roman"/>
          <w:sz w:val="24"/>
          <w:szCs w:val="24"/>
          <w:lang w:val="en-US"/>
        </w:rPr>
      </w:pPr>
    </w:p>
    <w:p w14:paraId="01CB8789" w14:textId="77777777" w:rsidR="006F69E3" w:rsidRPr="004A62CC" w:rsidRDefault="006F69E3" w:rsidP="00BE0AA2">
      <w:pPr>
        <w:spacing w:line="500" w:lineRule="exact"/>
        <w:jc w:val="both"/>
        <w:rPr>
          <w:rFonts w:ascii="Times New Roman" w:eastAsia="ＭＳ 明朝" w:hAnsi="Times New Roman" w:cs="Times New Roman"/>
          <w:b/>
          <w:sz w:val="24"/>
          <w:szCs w:val="24"/>
          <w:lang w:val="en-US" w:eastAsia="ja-JP"/>
        </w:rPr>
      </w:pPr>
      <w:r w:rsidRPr="004A62CC">
        <w:rPr>
          <w:rFonts w:ascii="Times New Roman" w:eastAsia="ＭＳ 明朝" w:hAnsi="Times New Roman" w:cs="Times New Roman"/>
          <w:b/>
          <w:sz w:val="24"/>
          <w:szCs w:val="24"/>
          <w:lang w:val="en-US" w:eastAsia="ja-JP"/>
        </w:rPr>
        <w:lastRenderedPageBreak/>
        <w:t>Inhibition of cellular PR3 activity by MOD06051</w:t>
      </w:r>
    </w:p>
    <w:p w14:paraId="781B3203" w14:textId="77777777" w:rsidR="006F69E3" w:rsidRDefault="006F69E3" w:rsidP="00BE0AA2">
      <w:pPr>
        <w:spacing w:line="50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</w:pP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Human CD34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en-IN"/>
        </w:rPr>
        <w:t>+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 Bone Marrow Stem/Progenitor Cells</w:t>
      </w:r>
      <w:r w:rsidR="00497C9B"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 were differentiate</w:t>
      </w:r>
      <w:r w:rsidR="00DE3EBF"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d</w:t>
      </w:r>
      <w:r w:rsidR="00497C9B"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 into neutrophils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 </w:t>
      </w:r>
      <w:r w:rsidR="00DE3EBF"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in</w:t>
      </w:r>
      <w:r w:rsidR="009B1945"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 the presence of </w:t>
      </w:r>
      <w:r w:rsidR="009B1945" w:rsidRPr="004A62CC">
        <w:rPr>
          <w:rFonts w:ascii="Times New Roman" w:hAnsi="Times New Roman" w:cs="Times New Roman"/>
          <w:sz w:val="24"/>
          <w:szCs w:val="24"/>
          <w:lang w:val="en-US"/>
        </w:rPr>
        <w:t>0–10 µM MOD06051</w:t>
      </w:r>
      <w:r w:rsidR="007810E9"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>as aforementioned.</w:t>
      </w:r>
      <w:r w:rsidR="009B1945" w:rsidRPr="004A62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/>
        </w:rPr>
        <w:t xml:space="preserve"> </w:t>
      </w:r>
      <w:r w:rsidR="009B1945" w:rsidRPr="004A62CC">
        <w:rPr>
          <w:rFonts w:ascii="Times New Roman" w:hAnsi="Times New Roman" w:cs="Times New Roman"/>
          <w:sz w:val="24"/>
          <w:szCs w:val="24"/>
          <w:lang w:val="en-US"/>
        </w:rPr>
        <w:t>One week later, PR3 activity was assessed similar</w:t>
      </w:r>
      <w:r w:rsidR="00E13BB0" w:rsidRPr="004A62C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9B1945"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y to NE activity </w:t>
      </w:r>
      <w:r w:rsidR="009B1945">
        <w:rPr>
          <w:rFonts w:ascii="Times New Roman" w:hAnsi="Times New Roman" w:cs="Times New Roman"/>
          <w:sz w:val="24"/>
          <w:szCs w:val="24"/>
          <w:lang w:val="en-US"/>
        </w:rPr>
        <w:t>using the PR3 substrate (</w:t>
      </w:r>
      <w:r w:rsidR="009B1945" w:rsidRPr="009B1945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Abz-Val-Ala-Asp-Nva-Arg-Asp-Arg-Gln-EDDn</w:t>
      </w:r>
      <w:r w:rsidR="009B1945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9B1945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Cayman Chemical) instead.</w:t>
      </w:r>
      <w:r w:rsidR="00272E23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Cell surface expression of PR3 </w:t>
      </w:r>
      <w:r w:rsidR="00497C9B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on the </w:t>
      </w:r>
      <w:r w:rsidR="00497C9B" w:rsidRPr="004A62CC">
        <w:rPr>
          <w:rFonts w:ascii="Times New Roman" w:eastAsia="ＭＳ 明朝" w:hAnsi="Times New Roman" w:cs="Times New Roman"/>
          <w:i/>
          <w:sz w:val="24"/>
          <w:szCs w:val="24"/>
          <w:lang w:val="en-US"/>
        </w:rPr>
        <w:t>in vitro</w:t>
      </w:r>
      <w:r w:rsidR="00497C9B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-differentiated neutrophils </w:t>
      </w:r>
      <w:r w:rsidR="00272E23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was detected </w:t>
      </w:r>
      <w:r w:rsidR="00B84922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with</w:t>
      </w:r>
      <w:r w:rsidR="00272E23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flow cytometry (FCM) using anti-PR3 antibody (clone </w:t>
      </w:r>
      <w:r w:rsidR="00272E23" w:rsidRPr="00272E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 xml:space="preserve">MCPR3-2; </w:t>
      </w:r>
      <w:r w:rsidR="00272E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Sigma-Aldrich, St. Louis, MO, USA) and isotype mouse IgG1 (</w:t>
      </w:r>
      <w:r w:rsidR="00430F89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BioL</w:t>
      </w:r>
      <w:r w:rsidR="00272E23" w:rsidRPr="00272E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egend</w:t>
      </w:r>
      <w:r w:rsidR="00272E2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 xml:space="preserve">, </w:t>
      </w:r>
      <w:r w:rsidR="00430F89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San Diego, CA, USA).</w:t>
      </w:r>
    </w:p>
    <w:p w14:paraId="465A937B" w14:textId="77777777" w:rsidR="00430F89" w:rsidRDefault="00430F89" w:rsidP="00BE0AA2">
      <w:pPr>
        <w:spacing w:line="50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</w:pPr>
    </w:p>
    <w:p w14:paraId="1BD89FF1" w14:textId="77777777" w:rsidR="006F69E3" w:rsidRPr="004A62CC" w:rsidRDefault="006F69E3" w:rsidP="006F69E3">
      <w:pPr>
        <w:spacing w:line="500" w:lineRule="exact"/>
        <w:jc w:val="both"/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</w:pP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  <w:t xml:space="preserve">Immobilization of </w:t>
      </w:r>
      <w:r w:rsidR="009120BB"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  <w:t>myeloperoxidase (</w:t>
      </w: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  <w:t>MPO</w:t>
      </w:r>
      <w:r w:rsidR="009120BB"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  <w:t>) and anti-MPO antibody</w:t>
      </w:r>
      <w:r w:rsidR="00161952"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  <w:t xml:space="preserve"> (MPO-ANCA)</w:t>
      </w: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  <w:t xml:space="preserve"> immune complexes </w:t>
      </w:r>
      <w:r w:rsidR="00161952"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  <w:t xml:space="preserve">(IC) </w:t>
      </w: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 w:eastAsia="ja-JP"/>
        </w:rPr>
        <w:t>on chamber slides</w:t>
      </w:r>
    </w:p>
    <w:p w14:paraId="607C9440" w14:textId="77777777" w:rsidR="006F69E3" w:rsidRPr="004A62CC" w:rsidRDefault="006F69E3" w:rsidP="006F69E3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 w:eastAsia="ja-JP"/>
        </w:rPr>
      </w:pP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 w:eastAsia="ja-JP"/>
        </w:rPr>
        <w:t>Human native MPO solution (50 µg/ml</w:t>
      </w:r>
      <w:r w:rsidR="009120BB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 w:eastAsia="ja-JP"/>
        </w:rPr>
        <w:t xml:space="preserve">; </w:t>
      </w:r>
      <w:r w:rsidR="009120BB" w:rsidRPr="004A62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Elastin Products, Owensville, MO, USA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 w:eastAsia="ja-JP"/>
        </w:rPr>
        <w:t>) was incubated in 4-well slide chambers overnight at 4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℃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to immobilize MPO on the slides. After washing with </w:t>
      </w:r>
      <w:r w:rsidR="009120BB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PBS</w:t>
      </w:r>
      <w:r w:rsidRPr="004A62CC">
        <w:rPr>
          <w:rStyle w:val="q4iawc"/>
          <w:rFonts w:ascii="Times New Roman" w:hAnsi="Times New Roman" w:cs="Times New Roman"/>
          <w:color w:val="FF0000"/>
          <w:sz w:val="24"/>
          <w:szCs w:val="24"/>
          <w:shd w:val="clear" w:color="auto" w:fill="FFFFFF" w:themeFill="background1"/>
          <w:lang w:val="en-US"/>
        </w:rPr>
        <w:t xml:space="preserve"> </w:t>
      </w: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>containing 0.05% Tween 20 (PBS-T),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the slides were allowed to react with rat anti-human MPO IgG (6.25 µg/ml) or </w:t>
      </w:r>
      <w:r w:rsidR="009120BB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rabbit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anti-human MPO antibody (1 µg/ml; </w:t>
      </w: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>Abcam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) for 1 h at RT. The former was </w:t>
      </w:r>
      <w:r w:rsidR="009120BB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in-house IgG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eluted from the serum of </w:t>
      </w:r>
      <w:r w:rsidR="009120BB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rats immunized with human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MPO</w:t>
      </w:r>
      <w:r w:rsidR="009120BB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,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using a protein G column</w:t>
      </w:r>
      <w:r w:rsidR="00450242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, and applied to assays with rat neutrophils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. The latter was applied to assays with human neutrophils. PBS-T-washed chamber slides were used as </w:t>
      </w:r>
      <w:r w:rsidR="00161952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MPO-ANCA-IC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-immobilized slides.</w:t>
      </w:r>
    </w:p>
    <w:p w14:paraId="265041D4" w14:textId="77777777" w:rsidR="006F69E3" w:rsidRPr="004A62CC" w:rsidRDefault="006F69E3" w:rsidP="006F69E3">
      <w:pPr>
        <w:spacing w:line="500" w:lineRule="exact"/>
        <w:jc w:val="both"/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</w:pPr>
    </w:p>
    <w:p w14:paraId="6FFA2F0A" w14:textId="77777777" w:rsidR="006F69E3" w:rsidRPr="004A62CC" w:rsidRDefault="006F69E3" w:rsidP="006F69E3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>NET formation inhibitory ability of MOD06051</w:t>
      </w:r>
    </w:p>
    <w:p w14:paraId="6BEB8858" w14:textId="77777777" w:rsidR="006F69E3" w:rsidRPr="004A62CC" w:rsidRDefault="00497C9B" w:rsidP="006F69E3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To determine whether</w:t>
      </w:r>
      <w:r w:rsidR="007810E9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CatC inhibition would reduce NET formation, normal </w:t>
      </w:r>
      <w:r w:rsidR="007810E9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rats were administered orally bid with MOD06051 (3 mg/kg) or vehicle (0.5% methylcellulose) </w:t>
      </w:r>
      <w:r w:rsidR="007810E9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lastRenderedPageBreak/>
        <w:t>da</w:t>
      </w:r>
      <w:r w:rsidR="000250F7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il</w:t>
      </w:r>
      <w:r w:rsidR="007810E9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y (n=3/group). </w:t>
      </w:r>
      <w:r w:rsidR="006F69E3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Two weeks later, neutrophils were separated from the blood using Polymorphprep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</w:t>
      </w:r>
      <w:r w:rsidR="006F69E3" w:rsidRPr="004A62CC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7810E9" w:rsidRPr="004A62C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Progen</w:t>
      </w:r>
      <w:r w:rsidR="007810E9" w:rsidRPr="004A62CC">
        <w:rPr>
          <w:rFonts w:ascii="Times New Roman" w:hAnsi="Times New Roman" w:cs="Times New Roman"/>
          <w:color w:val="231F20"/>
          <w:sz w:val="24"/>
          <w:szCs w:val="24"/>
          <w:lang w:val="en-US"/>
        </w:rPr>
        <w:t>,</w:t>
      </w:r>
      <w:r w:rsidR="007810E9" w:rsidRPr="004A62C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Heidelberg, Germany</w:t>
      </w:r>
      <w:r w:rsidR="006F69E3" w:rsidRPr="004A62CC">
        <w:rPr>
          <w:rFonts w:ascii="Times New Roman" w:hAnsi="Times New Roman" w:cs="Times New Roman"/>
          <w:color w:val="231F20"/>
          <w:sz w:val="24"/>
          <w:szCs w:val="24"/>
          <w:lang w:val="en-US"/>
        </w:rPr>
        <w:t xml:space="preserve">) </w:t>
      </w:r>
      <w:r w:rsidR="006F69E3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and treated with 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100 ng/ml rat TNF-</w:t>
      </w:r>
      <w:r w:rsidR="006F69E3" w:rsidRPr="007419C2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α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(</w:t>
      </w:r>
      <w:r w:rsidR="006F69E3"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>R&amp;D systems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) or 100 ng/ml mouse C5a (</w:t>
      </w:r>
      <w:r w:rsidR="006F69E3"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>R&amp;D systems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) for 15 min at 37</w:t>
      </w:r>
      <w:r w:rsidR="006F69E3" w:rsidRPr="004A62CC">
        <w:rPr>
          <w:rFonts w:ascii="Times New Roman" w:hAnsi="Times New Roman" w:cs="Times New Roman"/>
          <w:sz w:val="24"/>
          <w:szCs w:val="24"/>
          <w:lang w:val="en-US"/>
        </w:rPr>
        <w:t>℃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. Thereafter, these cells were incubated in MPO-ANCA</w:t>
      </w:r>
      <w:r w:rsidR="006A56D8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-IC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-immobilized 4-well slide chambers (5×10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vertAlign w:val="superscript"/>
          <w:lang w:val="en-US"/>
        </w:rPr>
        <w:t>5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/well) for 3 h at 37</w:t>
      </w:r>
      <w:r w:rsidR="006F69E3" w:rsidRPr="004A62CC">
        <w:rPr>
          <w:rFonts w:ascii="Times New Roman" w:hAnsi="Times New Roman" w:cs="Times New Roman"/>
          <w:sz w:val="24"/>
          <w:szCs w:val="24"/>
          <w:lang w:val="en-US"/>
        </w:rPr>
        <w:t>℃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. </w:t>
      </w:r>
      <w:r w:rsidR="00B01AB7" w:rsidRPr="004A62CC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After fixation with 4% paraformaldehyde for 15 min at RT, the cells were mounted with </w:t>
      </w:r>
      <w:r w:rsidR="00B01AB7" w:rsidRPr="004A62CC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>4',6-diamidino-2-phenylindole</w:t>
      </w:r>
      <w:r w:rsidR="00B01AB7"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 xml:space="preserve"> (</w:t>
      </w:r>
      <w:r w:rsidR="00B01AB7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DAPI)-containing mounting solution (Vector Laboratories, Newark, CA, USA)</w:t>
      </w:r>
      <w:r w:rsidR="00B01AB7" w:rsidRPr="004A62CC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. Alternatively, </w:t>
      </w:r>
      <w:r w:rsidR="00B01AB7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t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he cells resuspended in EDTA-PBS were allowed to react with </w:t>
      </w:r>
      <w:r w:rsidR="003A2955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a plasma membrane impermeable DNA-binding dye 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Sytox Green</w:t>
      </w:r>
      <w:r w:rsidR="003A2955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(Thermo Fisher Scientific, </w:t>
      </w:r>
      <w:r w:rsidR="003A2955" w:rsidRPr="004A62C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8F9FA"/>
          <w:lang w:val="en-US"/>
        </w:rPr>
        <w:t>Waltham</w:t>
      </w:r>
      <w:r w:rsidR="003A2955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, MA, USA)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, and then </w:t>
      </w:r>
      <w:r w:rsidR="000250F7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submitted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for FCM to detect Sytox Green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vertAlign w:val="superscript"/>
          <w:lang w:val="en-US"/>
        </w:rPr>
        <w:t>+</w:t>
      </w:r>
      <w:r w:rsidR="006F69E3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NET-forming neutrophils.</w:t>
      </w:r>
    </w:p>
    <w:p w14:paraId="45DA7F98" w14:textId="77777777" w:rsidR="006F69E3" w:rsidRPr="004A62CC" w:rsidRDefault="006F69E3" w:rsidP="006F69E3">
      <w:pPr>
        <w:spacing w:line="500" w:lineRule="exact"/>
        <w:jc w:val="both"/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</w:pPr>
    </w:p>
    <w:p w14:paraId="6A5DCC26" w14:textId="77777777" w:rsidR="00E13ED0" w:rsidRPr="004A62CC" w:rsidRDefault="00E13ED0" w:rsidP="00E13ED0">
      <w:pPr>
        <w:spacing w:line="500" w:lineRule="exact"/>
        <w:jc w:val="both"/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>Suppression of MPO-ANCA</w:t>
      </w:r>
      <w:r w:rsidR="00B01AB7"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>-IC</w:t>
      </w: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 xml:space="preserve"> stimulation by sivelestat and avacopan</w:t>
      </w:r>
    </w:p>
    <w:p w14:paraId="2B6DB728" w14:textId="77777777" w:rsidR="006F69E3" w:rsidRPr="004A62CC" w:rsidRDefault="00E13ED0" w:rsidP="006F69E3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Neutrophils were separated from peripheral blood of healthy volunteers using Polymorphprep </w:t>
      </w:r>
      <w:r w:rsidRPr="004A62CC">
        <w:rPr>
          <w:rFonts w:ascii="Times New Roman" w:hAnsi="Times New Roman" w:cs="Times New Roman"/>
          <w:color w:val="231F20"/>
          <w:sz w:val="24"/>
          <w:szCs w:val="24"/>
          <w:lang w:val="en-US"/>
        </w:rPr>
        <w:t>and treated with the NE inhibitor sivelestat (0, 50, and 500 µM) or the C5aR inhibitor avacopan (0, 0.1, and 1 µM) for 15 min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, followed by 5 ng/ml TNF-</w:t>
      </w:r>
      <w:r w:rsidRPr="007419C2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α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(Merck, </w:t>
      </w:r>
      <w:r w:rsidRPr="004A62C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lang w:val="en-US"/>
        </w:rPr>
        <w:t>Darmstadt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, Germany) or 100 ng/ml C5a (Merck) for 15 min at 37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℃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. Thereafter, these cells were incubated in MPO-ANCA</w:t>
      </w:r>
      <w:r w:rsidR="00B01AB7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-IC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-immobilized 4-well slide chambers (5×10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vertAlign w:val="superscript"/>
          <w:lang w:val="en-US"/>
        </w:rPr>
        <w:t>5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/well) for 3 h at 37</w:t>
      </w:r>
      <w:r w:rsidRPr="004A62CC">
        <w:rPr>
          <w:rFonts w:ascii="Times New Roman" w:hAnsi="Times New Roman" w:cs="Times New Roman"/>
          <w:sz w:val="24"/>
          <w:szCs w:val="24"/>
          <w:lang w:val="en-US"/>
        </w:rPr>
        <w:t>℃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. The cells were collected and resuspended in EDTA-PBS, and then </w:t>
      </w:r>
      <w:r w:rsidR="000250F7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analyzed by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FCM to examine FSC/SSC profiles. In this analysis, swollen neutrophils [R1 gate (whole neutrophils) - R5 gate (normal size neutrophils)] were focused on.</w:t>
      </w:r>
    </w:p>
    <w:p w14:paraId="2B183BD8" w14:textId="77777777" w:rsidR="006F69E3" w:rsidRPr="004A62CC" w:rsidRDefault="006F69E3" w:rsidP="00BE0AA2">
      <w:pPr>
        <w:spacing w:line="500" w:lineRule="exact"/>
        <w:jc w:val="both"/>
        <w:rPr>
          <w:rFonts w:ascii="Times New Roman" w:eastAsia="ＭＳ 明朝" w:hAnsi="Times New Roman" w:cs="Times New Roman"/>
          <w:sz w:val="24"/>
          <w:szCs w:val="24"/>
          <w:lang w:val="en-US"/>
        </w:rPr>
      </w:pPr>
    </w:p>
    <w:p w14:paraId="5BBC9DCA" w14:textId="77777777" w:rsidR="00BE0AA2" w:rsidRPr="004A62CC" w:rsidRDefault="00BE0AA2" w:rsidP="00BE0AA2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A62CC">
        <w:rPr>
          <w:rFonts w:ascii="Times New Roman" w:eastAsia="ＭＳ 明朝" w:hAnsi="Times New Roman" w:cs="Times New Roman"/>
          <w:b/>
          <w:sz w:val="24"/>
          <w:szCs w:val="24"/>
          <w:lang w:val="en-US"/>
        </w:rPr>
        <w:t>MPO</w:t>
      </w:r>
      <w:r w:rsidR="003A2955" w:rsidRPr="004A62CC">
        <w:rPr>
          <w:rFonts w:ascii="Times New Roman" w:eastAsia="ＭＳ 明朝" w:hAnsi="Times New Roman" w:cs="Times New Roman"/>
          <w:b/>
          <w:sz w:val="24"/>
          <w:szCs w:val="24"/>
          <w:lang w:val="en-US"/>
        </w:rPr>
        <w:t>-ANCA</w:t>
      </w:r>
      <w:r w:rsidR="009E67C5" w:rsidRPr="004A62CC">
        <w:rPr>
          <w:rFonts w:ascii="Times New Roman" w:eastAsia="ＭＳ 明朝" w:hAnsi="Times New Roman" w:cs="Times New Roman"/>
          <w:b/>
          <w:sz w:val="24"/>
          <w:szCs w:val="24"/>
          <w:lang w:val="en-US"/>
        </w:rPr>
        <w:t>-associated vasculitis (MPO-</w:t>
      </w:r>
      <w:r w:rsidRPr="004A62CC">
        <w:rPr>
          <w:rFonts w:ascii="Times New Roman" w:eastAsia="ＭＳ 明朝" w:hAnsi="Times New Roman" w:cs="Times New Roman"/>
          <w:b/>
          <w:sz w:val="24"/>
          <w:szCs w:val="24"/>
          <w:lang w:val="en-US"/>
        </w:rPr>
        <w:t>AAV</w:t>
      </w:r>
      <w:r w:rsidR="009E67C5" w:rsidRPr="004A62CC">
        <w:rPr>
          <w:rFonts w:ascii="Times New Roman" w:eastAsia="ＭＳ 明朝" w:hAnsi="Times New Roman" w:cs="Times New Roman"/>
          <w:b/>
          <w:sz w:val="24"/>
          <w:szCs w:val="24"/>
          <w:lang w:val="en-US"/>
        </w:rPr>
        <w:t>)</w:t>
      </w:r>
      <w:r w:rsidRPr="004A62CC">
        <w:rPr>
          <w:rFonts w:ascii="Times New Roman" w:eastAsia="ＭＳ 明朝" w:hAnsi="Times New Roman" w:cs="Times New Roman"/>
          <w:b/>
          <w:sz w:val="24"/>
          <w:szCs w:val="24"/>
          <w:lang w:val="en-US"/>
        </w:rPr>
        <w:t xml:space="preserve"> rat model</w:t>
      </w:r>
    </w:p>
    <w:p w14:paraId="6DFE43CB" w14:textId="77777777" w:rsidR="00BE0AA2" w:rsidRPr="004A62CC" w:rsidRDefault="00BE0AA2" w:rsidP="00BE0AA2">
      <w:pPr>
        <w:spacing w:line="500" w:lineRule="exact"/>
        <w:jc w:val="both"/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lastRenderedPageBreak/>
        <w:t>Wistar Kyoto (WKY) rats (4-week-old, male) were i</w:t>
      </w:r>
      <w:r w:rsidR="009120BB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mmunized with human native MPO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according to Little’s protocol {Little, 2009 #20}. </w:t>
      </w:r>
      <w:r w:rsidR="004421A5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In brief, </w:t>
      </w:r>
      <w:r w:rsidR="004421A5"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human native MPO (1600 µg/kg) was injected subcutaneously with Freund’s complete adjuvant on day 0, and 800 ng pertussis toxin was injected intraperitoneally on days 0 and 2. 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The rats were divided into three groups (n=8/group), and </w:t>
      </w:r>
      <w:r w:rsidRPr="004A62CC">
        <w:rPr>
          <w:rFonts w:ascii="Times New Roman" w:hAnsi="Times New Roman" w:cs="Times New Roman"/>
          <w:color w:val="000000"/>
          <w:sz w:val="24"/>
          <w:szCs w:val="24"/>
          <w:lang w:val="en-US"/>
        </w:rPr>
        <w:t>MOD06051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(0.3 or 3 mg/kg) or vehicle (0.5% methylcellulose) was administered orally </w:t>
      </w:r>
      <w:r w:rsidR="004E5017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bid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da</w:t>
      </w:r>
      <w:r w:rsidR="00764194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il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y for 42 days</w:t>
      </w:r>
      <w:r w:rsidR="004421A5"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 (from day 0 to day 41)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 xml:space="preserve">.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Body weight and food intake were measured every week, and blood was collected by tail cut every 2 weeks.</w:t>
      </w:r>
      <w:r w:rsidRPr="004A62CC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The collected blood was heparinized and the separated plasma was stored at -20</w:t>
      </w:r>
      <w:r w:rsidRPr="004A62CC">
        <w:rPr>
          <w:rFonts w:ascii="Times New Roman" w:eastAsia="ＭＳ 明朝" w:hAnsi="Times New Roman" w:cs="Times New Roman"/>
          <w:sz w:val="24"/>
          <w:szCs w:val="24"/>
          <w:lang w:val="en-US"/>
        </w:rPr>
        <w:t>℃ until analysis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.</w:t>
      </w:r>
      <w:r w:rsidRPr="004A62CC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Urine was collected on day 40, and qualitative evaluation of hematuria and proteinuria was performed using </w:t>
      </w:r>
      <w:r w:rsidRPr="007419C2">
        <w:rPr>
          <w:rFonts w:ascii="Times New Roman" w:hAnsi="Times New Roman" w:cs="Times New Roman"/>
          <w:color w:val="131413"/>
          <w:sz w:val="24"/>
          <w:szCs w:val="24"/>
          <w:lang w:val="en-US" w:eastAsia="ja-JP"/>
        </w:rPr>
        <w:t>a dipstick (Siemens Healthineers, Erlangen, Germany)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.</w:t>
      </w:r>
      <w:r w:rsidRPr="004A62CC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</w:t>
      </w:r>
      <w:r w:rsidRPr="004A62CC"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/>
        </w:rPr>
        <w:t>All rats were euthanized at the end of the study for serological and histological evaluations.</w:t>
      </w:r>
    </w:p>
    <w:p w14:paraId="4E7BB4C9" w14:textId="77777777" w:rsidR="00BE0AA2" w:rsidRPr="004A62CC" w:rsidRDefault="00BE0AA2" w:rsidP="00BE0AA2">
      <w:pPr>
        <w:spacing w:line="500" w:lineRule="exact"/>
        <w:jc w:val="both"/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/>
        </w:rPr>
      </w:pPr>
    </w:p>
    <w:p w14:paraId="7AD36E8A" w14:textId="77777777" w:rsidR="00BE0AA2" w:rsidRPr="004A62CC" w:rsidRDefault="00BE0AA2" w:rsidP="00BE0AA2">
      <w:pPr>
        <w:spacing w:line="500" w:lineRule="exact"/>
        <w:jc w:val="both"/>
        <w:rPr>
          <w:rFonts w:ascii="Times New Roman" w:eastAsia="ＭＳ 明朝" w:hAnsi="Times New Roman" w:cs="Times New Roman"/>
          <w:b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Fonts w:ascii="Times New Roman" w:eastAsia="ＭＳ 明朝" w:hAnsi="Times New Roman" w:cs="Times New Roman"/>
          <w:b/>
          <w:sz w:val="24"/>
          <w:szCs w:val="24"/>
          <w:shd w:val="clear" w:color="auto" w:fill="FFFFFF" w:themeFill="background1"/>
          <w:lang w:val="en-US"/>
        </w:rPr>
        <w:t xml:space="preserve">Urinary </w:t>
      </w:r>
      <w:r w:rsidRPr="004A62CC">
        <w:rPr>
          <w:rFonts w:ascii="Times New Roman" w:eastAsia="ＭＳ 明朝" w:hAnsi="Times New Roman" w:cs="Times New Roman"/>
          <w:b/>
          <w:sz w:val="24"/>
          <w:szCs w:val="24"/>
          <w:lang w:val="en-US"/>
        </w:rPr>
        <w:t>neutrophil gelatinase-associated lipocalin (NGAL)</w:t>
      </w:r>
    </w:p>
    <w:p w14:paraId="1C449713" w14:textId="77777777" w:rsidR="00BE0AA2" w:rsidRPr="004A62CC" w:rsidRDefault="00E13BB0" w:rsidP="00BE0AA2">
      <w:pPr>
        <w:spacing w:line="500" w:lineRule="exact"/>
        <w:jc w:val="both"/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 w:eastAsia="ja-JP"/>
        </w:rPr>
      </w:pPr>
      <w:r w:rsidRPr="004A62CC"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Urinar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y NGAL is a biomarker of acute renal injury</w:t>
      </w:r>
      <w:r w:rsidR="00BE0AA2" w:rsidRPr="004A62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 xml:space="preserve">{Shang, 2017 #21}. NGAL was quantified with an </w:t>
      </w:r>
      <w:r w:rsidR="00BE0AA2" w:rsidRPr="007419C2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enzyme-lin</w:t>
      </w:r>
      <w:r w:rsidR="00BE0AA2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ked immunosorbent assay (ELISA) kit (</w:t>
      </w:r>
      <w:r w:rsidR="004421A5" w:rsidRPr="004A62CC"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Abcam) using fresh urine sam</w:t>
      </w:r>
      <w:r w:rsidR="00BE0AA2" w:rsidRPr="004A62CC">
        <w:rPr>
          <w:rFonts w:ascii="Times New Roman" w:eastAsia="ＭＳ 明朝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ples.</w:t>
      </w:r>
    </w:p>
    <w:p w14:paraId="0E647FF5" w14:textId="77777777" w:rsidR="00BE0AA2" w:rsidRPr="007419C2" w:rsidRDefault="00BE0AA2" w:rsidP="00BE0AA2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 w:themeFill="background1"/>
          <w:lang w:val="en-US" w:eastAsia="ja-JP"/>
        </w:rPr>
      </w:pPr>
    </w:p>
    <w:p w14:paraId="408D9B7E" w14:textId="77777777" w:rsidR="00BE0AA2" w:rsidRPr="007419C2" w:rsidRDefault="00BE0AA2" w:rsidP="00BE0AA2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 w:themeFill="background1"/>
          <w:lang w:val="en-US" w:eastAsia="ja-JP"/>
        </w:rPr>
      </w:pPr>
      <w:r w:rsidRPr="007419C2">
        <w:rPr>
          <w:rFonts w:ascii="Times New Roman" w:hAnsi="Times New Roman" w:cs="Times New Roman"/>
          <w:b/>
          <w:sz w:val="24"/>
          <w:szCs w:val="24"/>
          <w:shd w:val="clear" w:color="auto" w:fill="FFFFFF" w:themeFill="background1"/>
          <w:lang w:val="en-US" w:eastAsia="ja-JP"/>
        </w:rPr>
        <w:t>MPO-ANCA titer</w:t>
      </w:r>
    </w:p>
    <w:p w14:paraId="1393012D" w14:textId="77777777" w:rsidR="00BE0AA2" w:rsidRPr="007419C2" w:rsidRDefault="00BE0AA2" w:rsidP="00BE0AA2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 w:eastAsia="ja-JP"/>
        </w:rPr>
      </w:pPr>
      <w:r w:rsidRPr="007419C2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Serum MPO-ANCA titer was determined using the human MPO-immobilized ELISA plate (Abnova, Taipei, Taiwan) and horseradish peroxidase-conjugated goat anti-rat IgG antibody (</w:t>
      </w: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Bethyl Laboratories, Montgomery, TX, USA</w:t>
      </w:r>
      <w:r w:rsidRPr="007419C2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 w:eastAsia="ja-JP"/>
        </w:rPr>
        <w:t>).</w:t>
      </w:r>
    </w:p>
    <w:p w14:paraId="09A0CB01" w14:textId="77777777" w:rsidR="00BE0AA2" w:rsidRPr="007419C2" w:rsidRDefault="00BE0AA2" w:rsidP="00BE0AA2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 w:eastAsia="ja-JP"/>
        </w:rPr>
      </w:pPr>
    </w:p>
    <w:p w14:paraId="7898ACEB" w14:textId="77777777" w:rsidR="00BE0AA2" w:rsidRPr="007419C2" w:rsidRDefault="00BE0AA2" w:rsidP="00BE0AA2">
      <w:pPr>
        <w:spacing w:line="500" w:lineRule="exact"/>
        <w:jc w:val="both"/>
        <w:rPr>
          <w:rFonts w:ascii="Times New Roman" w:hAnsi="Times New Roman" w:cs="Times New Roman"/>
          <w:b/>
          <w:sz w:val="24"/>
          <w:szCs w:val="24"/>
          <w:lang w:val="en-US" w:eastAsia="ja-JP"/>
        </w:rPr>
      </w:pPr>
      <w:r w:rsidRPr="007419C2">
        <w:rPr>
          <w:rFonts w:ascii="Times New Roman" w:hAnsi="Times New Roman" w:cs="Times New Roman"/>
          <w:b/>
          <w:sz w:val="24"/>
          <w:szCs w:val="24"/>
          <w:lang w:val="en-US" w:eastAsia="ja-JP"/>
        </w:rPr>
        <w:lastRenderedPageBreak/>
        <w:t>Pathological findings</w:t>
      </w:r>
    </w:p>
    <w:p w14:paraId="142E9F1F" w14:textId="1B0B2950" w:rsidR="00BE0AA2" w:rsidRPr="004A62CC" w:rsidRDefault="009C55E1" w:rsidP="00BE0AA2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Macroscopic foci of pulmo</w:t>
      </w:r>
      <w:r w:rsidR="00BE0AA2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nary hemorrhage on the surface of the lungs w</w:t>
      </w:r>
      <w:r w:rsidR="00EA1A68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ere</w:t>
      </w:r>
      <w:r w:rsidR="00BE0AA2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counted when the lungs were removed. Formalin-fixed systemic organs were embedded in paraffin.</w:t>
      </w:r>
      <w:r w:rsidR="00BE0AA2" w:rsidRPr="004A62CC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Four</w:t>
      </w:r>
      <w:r w:rsidR="004421A5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-µm sections of the forma</w:t>
      </w:r>
      <w:r w:rsidR="00BE0AA2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lin-fixed and paraffin-embedded (FFPE) tissues were subjected for hematoxylin and eosin staining.</w:t>
      </w:r>
      <w:r w:rsidR="00BE0AA2" w:rsidRPr="004A62CC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Microscopic foci of pulmonary </w:t>
      </w:r>
      <w:r w:rsidR="00BE0AA2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hemorrhage with a clear regional bleeding were counted in the maximal section of the lung under a low-power field of view. Glomeruli exhibiting </w:t>
      </w:r>
      <w:r w:rsidR="009E67C5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necrotizing and crescentic glomerulonephritis</w:t>
      </w:r>
      <w:r w:rsidR="00BE0AA2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and endocapillary proliferation were counted and the glomerular lesion rate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(affected gl</w:t>
      </w:r>
      <w:r w:rsidR="00BE0AA2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omeruli/total glomeruli) was calculated. Tubular erythrocyte casts in the renal cortex, which represented glomerular bleeding, were also counted.</w:t>
      </w:r>
    </w:p>
    <w:p w14:paraId="5B9B2387" w14:textId="77777777" w:rsidR="00BE0AA2" w:rsidRPr="004A62CC" w:rsidRDefault="00BE0AA2" w:rsidP="00BE0AA2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</w:p>
    <w:p w14:paraId="69AEE5E1" w14:textId="77777777" w:rsidR="003A2955" w:rsidRPr="004A62CC" w:rsidRDefault="003A2955" w:rsidP="003A2955">
      <w:pPr>
        <w:spacing w:line="500" w:lineRule="exact"/>
        <w:jc w:val="both"/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 xml:space="preserve">NET-forming neutrophils in </w:t>
      </w:r>
      <w:r w:rsidR="004421A5"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 xml:space="preserve">rat </w:t>
      </w: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>blood</w:t>
      </w:r>
    </w:p>
    <w:p w14:paraId="75B5E1E5" w14:textId="754AF2B4" w:rsidR="003A2955" w:rsidRPr="004A62CC" w:rsidRDefault="003A2955" w:rsidP="003A2955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Rat blood collected on day 42 was hemolyzed, and Sytox Green</w:t>
      </w:r>
      <w:r w:rsidR="00445BA8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was added.</w:t>
      </w:r>
      <w:r w:rsidRPr="004A62CC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Thereafter, Sytox Green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vertAlign w:val="superscript"/>
          <w:lang w:val="en-US"/>
        </w:rPr>
        <w:t>+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NET-forming neutrophils per </w:t>
      </w:r>
      <w:r w:rsidR="0081038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2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×10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vertAlign w:val="superscript"/>
          <w:lang w:val="en-US"/>
        </w:rPr>
        <w:t>4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cells in the neutrophil gate were calculated </w:t>
      </w:r>
      <w:r w:rsidR="00DA4835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by</w:t>
      </w:r>
      <w:r w:rsidR="00445BA8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FCM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.</w:t>
      </w:r>
    </w:p>
    <w:p w14:paraId="5DA80361" w14:textId="77777777" w:rsidR="003A2955" w:rsidRPr="004A62CC" w:rsidRDefault="003A2955" w:rsidP="00BE0AA2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</w:p>
    <w:p w14:paraId="11967D61" w14:textId="77777777" w:rsidR="00BE0AA2" w:rsidRPr="004A62CC" w:rsidRDefault="00BE0AA2" w:rsidP="00BE0AA2">
      <w:pPr>
        <w:spacing w:line="500" w:lineRule="exact"/>
        <w:jc w:val="both"/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>Immunofluorescent staining</w:t>
      </w:r>
    </w:p>
    <w:p w14:paraId="55549D3F" w14:textId="77777777" w:rsidR="00445BA8" w:rsidRPr="004A62CC" w:rsidRDefault="00990869" w:rsidP="00445BA8">
      <w:pPr>
        <w:spacing w:line="500" w:lineRule="exact"/>
        <w:jc w:val="both"/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>Frozen sections of the kidney were subjected for immunofluorescent staining for NETs.</w:t>
      </w:r>
      <w:r w:rsidRPr="004A62CC">
        <w:rPr>
          <w:rFonts w:hint="eastAsia"/>
          <w:lang w:val="en-US"/>
        </w:rPr>
        <w:t xml:space="preserve"> </w:t>
      </w:r>
      <w:r w:rsidRPr="004A62CC">
        <w:rPr>
          <w:rStyle w:val="q4iawc"/>
          <w:rFonts w:ascii="Times New Roman" w:hAnsi="Times New Roman" w:cs="Times New Roman" w:hint="eastAsia"/>
          <w:sz w:val="24"/>
          <w:szCs w:val="24"/>
          <w:shd w:val="clear" w:color="auto" w:fill="FFFFFF" w:themeFill="background1"/>
          <w:lang w:val="en-US"/>
        </w:rPr>
        <w:t xml:space="preserve">The sections were masked with Protein Block Serum-free solution </w:t>
      </w: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 xml:space="preserve">(Agilent, Santa Clara, CA, USA) </w:t>
      </w:r>
      <w:r w:rsidRPr="004A62CC">
        <w:rPr>
          <w:rStyle w:val="q4iawc"/>
          <w:rFonts w:ascii="Times New Roman" w:hAnsi="Times New Roman" w:cs="Times New Roman" w:hint="eastAsia"/>
          <w:sz w:val="24"/>
          <w:szCs w:val="24"/>
          <w:shd w:val="clear" w:color="auto" w:fill="FFFFFF" w:themeFill="background1"/>
          <w:lang w:val="en-US"/>
        </w:rPr>
        <w:t>and then allowed to react with rabbit anti-</w:t>
      </w: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 xml:space="preserve">citrullinated histone H3 antibody (10 </w:t>
      </w:r>
      <w:r w:rsidRPr="00445BA8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μ</w:t>
      </w: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 xml:space="preserve">g/ml; Abcam) for 60 min at RT. Thereafter, the sections were made to react with Alexa Flour 594-labeled donkey anti-rabbit IgG antibody (4 </w:t>
      </w:r>
      <w:r w:rsidRPr="00445BA8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μ</w:t>
      </w: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 xml:space="preserve">g/ml; Abcam) and fluorescein isothiocyanate-conjugated mouse anti-MPO antibody (2 </w:t>
      </w:r>
      <w:r w:rsidRPr="00445BA8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μ</w:t>
      </w: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t xml:space="preserve">g/ml; LSBio, </w:t>
      </w:r>
      <w:r w:rsidRPr="004A62CC">
        <w:rPr>
          <w:rStyle w:val="q4iawc"/>
          <w:rFonts w:ascii="Times New Roman" w:hAnsi="Times New Roman" w:cs="Times New Roman"/>
          <w:sz w:val="24"/>
          <w:szCs w:val="24"/>
          <w:shd w:val="clear" w:color="auto" w:fill="FFFFFF" w:themeFill="background1"/>
          <w:lang w:val="en-US"/>
        </w:rPr>
        <w:lastRenderedPageBreak/>
        <w:t xml:space="preserve">Seattle, WA, USA) for 60 min at RT in the dark. </w:t>
      </w:r>
      <w:r w:rsidR="00106D7A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Autofluorescence was suppressed with Vector TrueVIEW (Vector Laboratories). 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After mounting with </w:t>
      </w:r>
      <w:r w:rsidR="00B01AB7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DAPI</w:t>
      </w:r>
      <w:r w:rsidR="00E13BB0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-containing mounting solut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ion, the sections were observed under a fluorescence microscope.</w:t>
      </w:r>
    </w:p>
    <w:p w14:paraId="2A215DC5" w14:textId="77777777" w:rsidR="00BE0AA2" w:rsidRPr="004A62CC" w:rsidRDefault="00BE0AA2" w:rsidP="00BE0AA2">
      <w:pPr>
        <w:spacing w:line="500" w:lineRule="exact"/>
        <w:jc w:val="both"/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</w:pPr>
    </w:p>
    <w:p w14:paraId="5D1706E9" w14:textId="77777777" w:rsidR="00BE0AA2" w:rsidRPr="004A62CC" w:rsidRDefault="00BE0AA2" w:rsidP="00BE0AA2">
      <w:pPr>
        <w:spacing w:line="500" w:lineRule="exact"/>
        <w:jc w:val="both"/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</w:pPr>
      <w:r w:rsidRPr="004A62CC">
        <w:rPr>
          <w:rStyle w:val="q4iawc"/>
          <w:rFonts w:ascii="Times New Roman" w:hAnsi="Times New Roman" w:cs="Times New Roman"/>
          <w:b/>
          <w:color w:val="000000"/>
          <w:sz w:val="24"/>
          <w:szCs w:val="24"/>
          <w:shd w:val="clear" w:color="auto" w:fill="FFFFFF" w:themeFill="background1"/>
          <w:lang w:val="en-US"/>
        </w:rPr>
        <w:t>Statistics</w:t>
      </w:r>
    </w:p>
    <w:p w14:paraId="57710943" w14:textId="77777777" w:rsidR="005E289A" w:rsidRPr="002D1ED4" w:rsidRDefault="00BE0AA2" w:rsidP="002D1ED4">
      <w:pPr>
        <w:spacing w:line="500" w:lineRule="exact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One-way ANOVA or Kruskal-Wallis analysis was applied to parametric or non-parametric multi</w:t>
      </w:r>
      <w:r w:rsidR="00052CD5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p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le comparison among groups. Mann-Whitney </w:t>
      </w:r>
      <w:r w:rsidRPr="004A62CC">
        <w:rPr>
          <w:rStyle w:val="q4iawc"/>
          <w:rFonts w:ascii="Times New Roman" w:hAnsi="Times New Roman" w:cs="Times New Roman"/>
          <w:i/>
          <w:color w:val="000000"/>
          <w:sz w:val="24"/>
          <w:szCs w:val="24"/>
          <w:shd w:val="clear" w:color="auto" w:fill="FFFFFF" w:themeFill="background1"/>
          <w:lang w:val="en-US"/>
        </w:rPr>
        <w:t>U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-test was applied to non-parametric co</w:t>
      </w:r>
      <w:r w:rsidR="00052CD5"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m</w:t>
      </w:r>
      <w:r w:rsidRPr="004A62CC">
        <w:rPr>
          <w:rStyle w:val="q4iawc"/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parison between two groups. </w:t>
      </w:r>
      <w:r w:rsidRPr="007419C2">
        <w:rPr>
          <w:rStyle w:val="jlqj4b"/>
          <w:rFonts w:ascii="Times New Roman" w:hAnsi="Times New Roman"/>
          <w:i/>
          <w:color w:val="000000"/>
          <w:sz w:val="24"/>
          <w:szCs w:val="24"/>
          <w:shd w:val="clear" w:color="auto" w:fill="FFFFFF" w:themeFill="background1"/>
          <w:lang w:val="en"/>
        </w:rPr>
        <w:t>P</w:t>
      </w:r>
      <w:r w:rsidRPr="007419C2">
        <w:rPr>
          <w:rStyle w:val="jlqj4b"/>
          <w:rFonts w:ascii="Times New Roman" w:hAnsi="Times New Roman"/>
          <w:color w:val="000000"/>
          <w:sz w:val="24"/>
          <w:szCs w:val="24"/>
          <w:shd w:val="clear" w:color="auto" w:fill="FFFFFF" w:themeFill="background1"/>
          <w:lang w:val="en"/>
        </w:rPr>
        <w:t>&lt;0.05 was considered statistically significant.</w:t>
      </w:r>
    </w:p>
    <w:sectPr w:rsidR="005E289A" w:rsidRPr="002D1ED4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B6E2FA" w14:textId="77777777" w:rsidR="00E71B53" w:rsidRDefault="00E71B53" w:rsidP="00D050D0">
      <w:pPr>
        <w:spacing w:after="0" w:line="240" w:lineRule="auto"/>
      </w:pPr>
      <w:r>
        <w:separator/>
      </w:r>
    </w:p>
  </w:endnote>
  <w:endnote w:type="continuationSeparator" w:id="0">
    <w:p w14:paraId="6747F2D1" w14:textId="77777777" w:rsidR="00E71B53" w:rsidRDefault="00E71B53" w:rsidP="00D05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022647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0C2171C9" w14:textId="77777777" w:rsidR="009120BB" w:rsidRPr="00D050D0" w:rsidRDefault="009120BB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050D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050D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050D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A4835" w:rsidRPr="00DA4835">
          <w:rPr>
            <w:rFonts w:ascii="Times New Roman" w:hAnsi="Times New Roman" w:cs="Times New Roman"/>
            <w:noProof/>
            <w:sz w:val="24"/>
            <w:szCs w:val="24"/>
            <w:lang w:val="ja-JP" w:eastAsia="ja-JP"/>
          </w:rPr>
          <w:t>6</w:t>
        </w:r>
        <w:r w:rsidRPr="00D050D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A16EEB4" w14:textId="77777777" w:rsidR="009120BB" w:rsidRDefault="009120B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8297D" w14:textId="77777777" w:rsidR="00E71B53" w:rsidRDefault="00E71B53" w:rsidP="00D050D0">
      <w:pPr>
        <w:spacing w:after="0" w:line="240" w:lineRule="auto"/>
      </w:pPr>
      <w:r>
        <w:separator/>
      </w:r>
    </w:p>
  </w:footnote>
  <w:footnote w:type="continuationSeparator" w:id="0">
    <w:p w14:paraId="1E608F79" w14:textId="77777777" w:rsidR="00E71B53" w:rsidRDefault="00E71B53" w:rsidP="00D050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AA2"/>
    <w:rsid w:val="000202CD"/>
    <w:rsid w:val="000250F7"/>
    <w:rsid w:val="00030B47"/>
    <w:rsid w:val="00052CD5"/>
    <w:rsid w:val="00091CB5"/>
    <w:rsid w:val="00106D7A"/>
    <w:rsid w:val="00133649"/>
    <w:rsid w:val="00161952"/>
    <w:rsid w:val="001939F0"/>
    <w:rsid w:val="001D5B60"/>
    <w:rsid w:val="001D6462"/>
    <w:rsid w:val="00210E4F"/>
    <w:rsid w:val="002156FE"/>
    <w:rsid w:val="0026737D"/>
    <w:rsid w:val="00272E23"/>
    <w:rsid w:val="002753A0"/>
    <w:rsid w:val="00281A20"/>
    <w:rsid w:val="00290A52"/>
    <w:rsid w:val="002C1E57"/>
    <w:rsid w:val="002D1ED4"/>
    <w:rsid w:val="00302182"/>
    <w:rsid w:val="003A2955"/>
    <w:rsid w:val="003A4955"/>
    <w:rsid w:val="003A5E48"/>
    <w:rsid w:val="003D55C9"/>
    <w:rsid w:val="00421661"/>
    <w:rsid w:val="00430F89"/>
    <w:rsid w:val="004421A5"/>
    <w:rsid w:val="00445BA8"/>
    <w:rsid w:val="00450242"/>
    <w:rsid w:val="00472CD1"/>
    <w:rsid w:val="00497C9B"/>
    <w:rsid w:val="004A62CC"/>
    <w:rsid w:val="004E5017"/>
    <w:rsid w:val="004E60EC"/>
    <w:rsid w:val="004F5C48"/>
    <w:rsid w:val="0051062B"/>
    <w:rsid w:val="00531641"/>
    <w:rsid w:val="00551195"/>
    <w:rsid w:val="00580D70"/>
    <w:rsid w:val="005A3693"/>
    <w:rsid w:val="005E0C2D"/>
    <w:rsid w:val="005E289A"/>
    <w:rsid w:val="006053B0"/>
    <w:rsid w:val="006A56D8"/>
    <w:rsid w:val="006C4E4C"/>
    <w:rsid w:val="006D160E"/>
    <w:rsid w:val="006F69E3"/>
    <w:rsid w:val="006F7FE8"/>
    <w:rsid w:val="00764194"/>
    <w:rsid w:val="007810E9"/>
    <w:rsid w:val="007A0F50"/>
    <w:rsid w:val="007D659F"/>
    <w:rsid w:val="007D6CD6"/>
    <w:rsid w:val="007F3C8C"/>
    <w:rsid w:val="00805689"/>
    <w:rsid w:val="00807FF4"/>
    <w:rsid w:val="0081038C"/>
    <w:rsid w:val="00826540"/>
    <w:rsid w:val="008C1BDA"/>
    <w:rsid w:val="008C496B"/>
    <w:rsid w:val="008E193C"/>
    <w:rsid w:val="009120BB"/>
    <w:rsid w:val="00990869"/>
    <w:rsid w:val="00992A6B"/>
    <w:rsid w:val="009B1945"/>
    <w:rsid w:val="009C55E1"/>
    <w:rsid w:val="009E67C5"/>
    <w:rsid w:val="00A04C2C"/>
    <w:rsid w:val="00AD66BD"/>
    <w:rsid w:val="00AD6AE9"/>
    <w:rsid w:val="00AE6194"/>
    <w:rsid w:val="00B01AB7"/>
    <w:rsid w:val="00B355DD"/>
    <w:rsid w:val="00B3602E"/>
    <w:rsid w:val="00B84922"/>
    <w:rsid w:val="00BC0892"/>
    <w:rsid w:val="00BE0286"/>
    <w:rsid w:val="00BE0AA2"/>
    <w:rsid w:val="00CF1242"/>
    <w:rsid w:val="00D03B9E"/>
    <w:rsid w:val="00D050D0"/>
    <w:rsid w:val="00D22D91"/>
    <w:rsid w:val="00D23427"/>
    <w:rsid w:val="00D2783E"/>
    <w:rsid w:val="00D64846"/>
    <w:rsid w:val="00D8387E"/>
    <w:rsid w:val="00D96EF1"/>
    <w:rsid w:val="00DA4835"/>
    <w:rsid w:val="00DA66DD"/>
    <w:rsid w:val="00DE3EBF"/>
    <w:rsid w:val="00E13BB0"/>
    <w:rsid w:val="00E13ED0"/>
    <w:rsid w:val="00E30612"/>
    <w:rsid w:val="00E37B82"/>
    <w:rsid w:val="00E71B53"/>
    <w:rsid w:val="00EA1A68"/>
    <w:rsid w:val="00ED7B8B"/>
    <w:rsid w:val="00EF45FF"/>
    <w:rsid w:val="00FE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1E102E"/>
  <w15:chartTrackingRefBased/>
  <w15:docId w15:val="{66CAF594-0F9A-4B50-96DC-9460D2E3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0AA2"/>
    <w:pPr>
      <w:spacing w:after="160" w:line="259" w:lineRule="auto"/>
    </w:pPr>
    <w:rPr>
      <w:kern w:val="0"/>
      <w:sz w:val="22"/>
      <w:lang w:val="de-D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0AA2"/>
    <w:rPr>
      <w:rFonts w:cs="Times New Roman"/>
      <w:color w:val="0563C1" w:themeColor="hyperlink"/>
      <w:u w:val="single"/>
    </w:rPr>
  </w:style>
  <w:style w:type="character" w:customStyle="1" w:styleId="q4iawc">
    <w:name w:val="q4iawc"/>
    <w:basedOn w:val="a0"/>
    <w:rsid w:val="00BE0AA2"/>
  </w:style>
  <w:style w:type="character" w:customStyle="1" w:styleId="jlqj4b">
    <w:name w:val="jlqj4b"/>
    <w:basedOn w:val="a0"/>
    <w:rsid w:val="00BE0AA2"/>
    <w:rPr>
      <w:rFonts w:cs="Times New Roman"/>
    </w:rPr>
  </w:style>
  <w:style w:type="paragraph" w:styleId="a4">
    <w:name w:val="header"/>
    <w:basedOn w:val="a"/>
    <w:link w:val="a5"/>
    <w:uiPriority w:val="99"/>
    <w:unhideWhenUsed/>
    <w:rsid w:val="00D050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050D0"/>
    <w:rPr>
      <w:kern w:val="0"/>
      <w:sz w:val="22"/>
      <w:lang w:val="de-DE" w:eastAsia="en-US"/>
    </w:rPr>
  </w:style>
  <w:style w:type="paragraph" w:styleId="a6">
    <w:name w:val="footer"/>
    <w:basedOn w:val="a"/>
    <w:link w:val="a7"/>
    <w:uiPriority w:val="99"/>
    <w:unhideWhenUsed/>
    <w:rsid w:val="00D050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050D0"/>
    <w:rPr>
      <w:kern w:val="0"/>
      <w:sz w:val="22"/>
      <w:lang w:val="de-DE" w:eastAsia="en-US"/>
    </w:rPr>
  </w:style>
  <w:style w:type="paragraph" w:styleId="a8">
    <w:name w:val="Balloon Text"/>
    <w:basedOn w:val="a"/>
    <w:link w:val="a9"/>
    <w:uiPriority w:val="99"/>
    <w:semiHidden/>
    <w:unhideWhenUsed/>
    <w:rsid w:val="00091CB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91CB5"/>
    <w:rPr>
      <w:rFonts w:asciiTheme="majorHAnsi" w:eastAsiaTheme="majorEastAsia" w:hAnsiTheme="majorHAnsi" w:cstheme="majorBidi"/>
      <w:kern w:val="0"/>
      <w:sz w:val="18"/>
      <w:szCs w:val="18"/>
      <w:lang w:val="de-DE" w:eastAsia="en-US"/>
    </w:rPr>
  </w:style>
  <w:style w:type="paragraph" w:styleId="aa">
    <w:name w:val="Revision"/>
    <w:hidden/>
    <w:uiPriority w:val="99"/>
    <w:semiHidden/>
    <w:rsid w:val="005A3693"/>
    <w:rPr>
      <w:kern w:val="0"/>
      <w:sz w:val="22"/>
      <w:lang w:val="de-DE" w:eastAsia="en-US"/>
    </w:rPr>
  </w:style>
  <w:style w:type="character" w:styleId="ab">
    <w:name w:val="annotation reference"/>
    <w:basedOn w:val="a0"/>
    <w:uiPriority w:val="99"/>
    <w:semiHidden/>
    <w:unhideWhenUsed/>
    <w:rsid w:val="00807FF4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807FF4"/>
  </w:style>
  <w:style w:type="character" w:customStyle="1" w:styleId="ad">
    <w:name w:val="コメント文字列 (文字)"/>
    <w:basedOn w:val="a0"/>
    <w:link w:val="ac"/>
    <w:uiPriority w:val="99"/>
    <w:semiHidden/>
    <w:rsid w:val="00807FF4"/>
    <w:rPr>
      <w:kern w:val="0"/>
      <w:sz w:val="22"/>
      <w:lang w:val="de-DE"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07FF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07FF4"/>
    <w:rPr>
      <w:b/>
      <w:bCs/>
      <w:kern w:val="0"/>
      <w:sz w:val="22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ing.com/local?lid=YN426x7606835&amp;id=YN426x7606835&amp;q=Cayman+Chemical&amp;name=Cayman+Chemical&amp;cp=42.22861099243164%7e-83.72428894042969&amp;ppois=42.22861099243164_-83.72428894042969_Cayman+Chemica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1481</Words>
  <Characters>8447</Characters>
  <Application>Microsoft Office Word</Application>
  <DocSecurity>0</DocSecurity>
  <Lines>70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アカウント</dc:creator>
  <cp:keywords/>
  <dc:description/>
  <cp:lastModifiedBy>Ishizu Akihiro</cp:lastModifiedBy>
  <cp:revision>3</cp:revision>
  <cp:lastPrinted>2023-01-22T04:46:00Z</cp:lastPrinted>
  <dcterms:created xsi:type="dcterms:W3CDTF">2023-07-18T21:41:00Z</dcterms:created>
  <dcterms:modified xsi:type="dcterms:W3CDTF">2023-07-29T21:00:00Z</dcterms:modified>
</cp:coreProperties>
</file>