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08A2" w:rsidRDefault="008E3059">
      <w:pPr>
        <w:rPr>
          <w:b/>
        </w:rPr>
      </w:pPr>
      <w:r>
        <w:rPr>
          <w:b/>
        </w:rPr>
        <w:t>SUPPLEMENTARY FIGURES &amp; TABLES:</w:t>
      </w:r>
    </w:p>
    <w:p w:rsidR="00B408A2" w:rsidRDefault="00B408A2">
      <w:pPr>
        <w:rPr>
          <w:b/>
        </w:rPr>
      </w:pPr>
      <w:bookmarkStart w:id="0" w:name="_GoBack"/>
      <w:bookmarkEnd w:id="0"/>
    </w:p>
    <w:p w:rsidR="00B408A2" w:rsidRDefault="008E3059">
      <w:r>
        <w:rPr>
          <w:noProof/>
        </w:rPr>
        <w:drawing>
          <wp:inline distT="114300" distB="114300" distL="114300" distR="114300">
            <wp:extent cx="5762625" cy="4171550"/>
            <wp:effectExtent l="0" t="0" r="0" b="0"/>
            <wp:docPr id="109"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7"/>
                    <a:srcRect b="48776"/>
                    <a:stretch>
                      <a:fillRect/>
                    </a:stretch>
                  </pic:blipFill>
                  <pic:spPr>
                    <a:xfrm>
                      <a:off x="0" y="0"/>
                      <a:ext cx="5762625" cy="4171550"/>
                    </a:xfrm>
                    <a:prstGeom prst="rect">
                      <a:avLst/>
                    </a:prstGeom>
                    <a:ln/>
                  </pic:spPr>
                </pic:pic>
              </a:graphicData>
            </a:graphic>
          </wp:inline>
        </w:drawing>
      </w:r>
    </w:p>
    <w:p w:rsidR="00B408A2" w:rsidRDefault="008E3059">
      <w:r>
        <w:rPr>
          <w:b/>
        </w:rPr>
        <w:t xml:space="preserve">SUPPLEMENTARY FIGURE 1: Partial dependence plot of Archaea OTU richness </w:t>
      </w:r>
      <w:r>
        <w:t xml:space="preserve">indicating the contribution of predictor variables to log10(x+1) OTU richness (y-axis) as a function </w:t>
      </w:r>
      <w:r>
        <w:t>of the predictors (i.e. when the other contributing predictors are held at their mean). Hash marks at the bottom of the plot indicate the deciles of the predictor variables. Only predictors with a %</w:t>
      </w:r>
      <w:proofErr w:type="spellStart"/>
      <w:r>
        <w:t>IncMse</w:t>
      </w:r>
      <w:proofErr w:type="spellEnd"/>
      <w:r>
        <w:t xml:space="preserve"> above the first quartile value of the non-null %</w:t>
      </w:r>
      <w:proofErr w:type="spellStart"/>
      <w:r>
        <w:t>Inc</w:t>
      </w:r>
      <w:r>
        <w:t>Mse</w:t>
      </w:r>
      <w:proofErr w:type="spellEnd"/>
      <w:r>
        <w:t xml:space="preserve"> values are shown, in order of decreasing importance (from the top-left to the bottom-right).</w:t>
      </w:r>
    </w:p>
    <w:p w:rsidR="00B408A2" w:rsidRDefault="008E3059">
      <w:r>
        <w:br w:type="page"/>
      </w:r>
    </w:p>
    <w:p w:rsidR="00B408A2" w:rsidRDefault="008E3059">
      <w:r>
        <w:rPr>
          <w:noProof/>
        </w:rPr>
        <w:lastRenderedPageBreak/>
        <w:drawing>
          <wp:inline distT="114300" distB="114300" distL="114300" distR="114300">
            <wp:extent cx="5762625" cy="4199890"/>
            <wp:effectExtent l="0" t="0" r="0" b="0"/>
            <wp:docPr id="95"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8"/>
                    <a:srcRect b="48428"/>
                    <a:stretch>
                      <a:fillRect/>
                    </a:stretch>
                  </pic:blipFill>
                  <pic:spPr>
                    <a:xfrm>
                      <a:off x="0" y="0"/>
                      <a:ext cx="5762625" cy="4199890"/>
                    </a:xfrm>
                    <a:prstGeom prst="rect">
                      <a:avLst/>
                    </a:prstGeom>
                    <a:ln/>
                  </pic:spPr>
                </pic:pic>
              </a:graphicData>
            </a:graphic>
          </wp:inline>
        </w:drawing>
      </w:r>
    </w:p>
    <w:p w:rsidR="00B408A2" w:rsidRDefault="008E3059">
      <w:bookmarkStart w:id="1" w:name="_heading=h.30j0zll" w:colFirst="0" w:colLast="0"/>
      <w:bookmarkEnd w:id="1"/>
      <w:r>
        <w:rPr>
          <w:b/>
        </w:rPr>
        <w:t xml:space="preserve">SUPPLEMENTARY FIGURE 2: Partial dependence plot of Bacteria OTU richness. </w:t>
      </w:r>
      <w:r>
        <w:t>The plots show the contribution of predictor variables to log10(x+1) OTU richness</w:t>
      </w:r>
      <w:r>
        <w:t xml:space="preserve"> (y-axis) as a function of the predictors (i.e. when the other contributing predictors are held at their mean). Hash marks at the bottom of the plot indicate the deciles of the predictor variables. Only predictors with a %</w:t>
      </w:r>
      <w:proofErr w:type="spellStart"/>
      <w:r>
        <w:t>IncMse</w:t>
      </w:r>
      <w:proofErr w:type="spellEnd"/>
      <w:r>
        <w:t xml:space="preserve"> above the first quartile va</w:t>
      </w:r>
      <w:r>
        <w:t>lue of the non-null %</w:t>
      </w:r>
      <w:proofErr w:type="spellStart"/>
      <w:r>
        <w:t>IncMse</w:t>
      </w:r>
      <w:proofErr w:type="spellEnd"/>
      <w:r>
        <w:t xml:space="preserve"> values are shown, in order of decreasing importance (from the top-left to the bottom-right).</w:t>
      </w:r>
    </w:p>
    <w:p w:rsidR="00B408A2" w:rsidRDefault="00B408A2"/>
    <w:p w:rsidR="00B408A2" w:rsidRDefault="008E3059">
      <w:r>
        <w:br w:type="page"/>
      </w:r>
    </w:p>
    <w:p w:rsidR="00B408A2" w:rsidRDefault="008E3059">
      <w:r>
        <w:rPr>
          <w:noProof/>
        </w:rPr>
        <w:lastRenderedPageBreak/>
        <w:drawing>
          <wp:inline distT="114300" distB="114300" distL="114300" distR="114300">
            <wp:extent cx="5762625" cy="4220845"/>
            <wp:effectExtent l="0" t="0" r="0" b="0"/>
            <wp:docPr id="9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b="48171"/>
                    <a:stretch>
                      <a:fillRect/>
                    </a:stretch>
                  </pic:blipFill>
                  <pic:spPr>
                    <a:xfrm>
                      <a:off x="0" y="0"/>
                      <a:ext cx="5762625" cy="4220845"/>
                    </a:xfrm>
                    <a:prstGeom prst="rect">
                      <a:avLst/>
                    </a:prstGeom>
                    <a:ln/>
                  </pic:spPr>
                </pic:pic>
              </a:graphicData>
            </a:graphic>
          </wp:inline>
        </w:drawing>
      </w:r>
    </w:p>
    <w:p w:rsidR="00B408A2" w:rsidRDefault="008E3059">
      <w:r>
        <w:rPr>
          <w:b/>
        </w:rPr>
        <w:t xml:space="preserve">SUPPLEMENTARY FIGURE 3: Partial dependence plot of Fungi OTU richness. </w:t>
      </w:r>
      <w:r>
        <w:t>The plots show the contribution of predictor variables to log10(x+1) OTU richness (y-axis) as a function of the predictors (i.e. when the other contributing predictors are held at their mean). Hash marks at the bottom of the plot indicate the deciles of th</w:t>
      </w:r>
      <w:r>
        <w:t>e predictor variables. Only predictors with a %</w:t>
      </w:r>
      <w:proofErr w:type="spellStart"/>
      <w:r>
        <w:t>IncMse</w:t>
      </w:r>
      <w:proofErr w:type="spellEnd"/>
      <w:r>
        <w:t xml:space="preserve"> above the first quartile value of the non-null %</w:t>
      </w:r>
      <w:proofErr w:type="spellStart"/>
      <w:r>
        <w:t>IncMse</w:t>
      </w:r>
      <w:proofErr w:type="spellEnd"/>
      <w:r>
        <w:t xml:space="preserve"> values are shown, in order of decreasing importance (from the top-left to the bottom-right).</w:t>
      </w:r>
    </w:p>
    <w:p w:rsidR="00B408A2" w:rsidRDefault="008E3059">
      <w:r>
        <w:br w:type="page"/>
      </w:r>
    </w:p>
    <w:p w:rsidR="00B408A2" w:rsidRDefault="008E3059">
      <w:r>
        <w:rPr>
          <w:noProof/>
        </w:rPr>
        <w:lastRenderedPageBreak/>
        <w:drawing>
          <wp:inline distT="114300" distB="114300" distL="114300" distR="114300">
            <wp:extent cx="5762625" cy="2199640"/>
            <wp:effectExtent l="0" t="0" r="0" b="0"/>
            <wp:docPr id="97"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0"/>
                    <a:srcRect b="73024"/>
                    <a:stretch>
                      <a:fillRect/>
                    </a:stretch>
                  </pic:blipFill>
                  <pic:spPr>
                    <a:xfrm>
                      <a:off x="0" y="0"/>
                      <a:ext cx="5762625" cy="2199640"/>
                    </a:xfrm>
                    <a:prstGeom prst="rect">
                      <a:avLst/>
                    </a:prstGeom>
                    <a:ln/>
                  </pic:spPr>
                </pic:pic>
              </a:graphicData>
            </a:graphic>
          </wp:inline>
        </w:drawing>
      </w:r>
    </w:p>
    <w:p w:rsidR="00B408A2" w:rsidRDefault="008E3059">
      <w:r>
        <w:rPr>
          <w:b/>
        </w:rPr>
        <w:t>SUPPLEMENTARY FIGURE 4: Partial dependence plot of</w:t>
      </w:r>
      <w:r>
        <w:rPr>
          <w:b/>
        </w:rPr>
        <w:t xml:space="preserve"> Algae OTU richness. </w:t>
      </w:r>
      <w:r>
        <w:t>The plots show the contribution of predictor variables to log10(x+1) OTU richness (y-axis) as a function of the predictors (i.e. when the other contributing predictors are held at their mean). Hash marks at the bottom of the plot indic</w:t>
      </w:r>
      <w:r>
        <w:t>ate the deciles of the predictor variables. Only predictors with a %</w:t>
      </w:r>
      <w:proofErr w:type="spellStart"/>
      <w:r>
        <w:t>IncMse</w:t>
      </w:r>
      <w:proofErr w:type="spellEnd"/>
      <w:r>
        <w:t xml:space="preserve"> above the first quartile value of the non-null %</w:t>
      </w:r>
      <w:proofErr w:type="spellStart"/>
      <w:r>
        <w:t>IncMse</w:t>
      </w:r>
      <w:proofErr w:type="spellEnd"/>
      <w:r>
        <w:t xml:space="preserve"> values are shown, in order of decreasing importance (from the top-left to the bottom-right).</w:t>
      </w:r>
    </w:p>
    <w:p w:rsidR="00B408A2" w:rsidRDefault="008E3059">
      <w:r>
        <w:br w:type="page"/>
      </w:r>
    </w:p>
    <w:p w:rsidR="00B408A2" w:rsidRDefault="008E3059">
      <w:r>
        <w:rPr>
          <w:noProof/>
        </w:rPr>
        <w:lastRenderedPageBreak/>
        <w:drawing>
          <wp:inline distT="114300" distB="114300" distL="114300" distR="114300">
            <wp:extent cx="5762625" cy="4293235"/>
            <wp:effectExtent l="0" t="0" r="0" b="0"/>
            <wp:docPr id="99"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1"/>
                    <a:srcRect b="47282"/>
                    <a:stretch>
                      <a:fillRect/>
                    </a:stretch>
                  </pic:blipFill>
                  <pic:spPr>
                    <a:xfrm>
                      <a:off x="0" y="0"/>
                      <a:ext cx="5762625" cy="4293235"/>
                    </a:xfrm>
                    <a:prstGeom prst="rect">
                      <a:avLst/>
                    </a:prstGeom>
                    <a:ln/>
                  </pic:spPr>
                </pic:pic>
              </a:graphicData>
            </a:graphic>
          </wp:inline>
        </w:drawing>
      </w:r>
    </w:p>
    <w:p w:rsidR="00B408A2" w:rsidRDefault="008E3059">
      <w:r>
        <w:rPr>
          <w:b/>
        </w:rPr>
        <w:t>SUPPLEMENTARY FIGURE 5: Parti</w:t>
      </w:r>
      <w:r>
        <w:rPr>
          <w:b/>
        </w:rPr>
        <w:t xml:space="preserve">al dependence plot of Protozoa OTU richness. </w:t>
      </w:r>
      <w:r>
        <w:t xml:space="preserve">The plots show the contribution of predictor variables to log10(x+1) OTU richness (y-axis) as a function of the predictors (i.e. when the other contributing predictors are held at their mean). Hash marks at the </w:t>
      </w:r>
      <w:r>
        <w:t>bottom of the plot indicate the deciles of the predictor variables. Only predictors with a %</w:t>
      </w:r>
      <w:proofErr w:type="spellStart"/>
      <w:r>
        <w:t>IncMse</w:t>
      </w:r>
      <w:proofErr w:type="spellEnd"/>
      <w:r>
        <w:t xml:space="preserve"> above the first quartile value of the non-null %</w:t>
      </w:r>
      <w:proofErr w:type="spellStart"/>
      <w:r>
        <w:t>IncMse</w:t>
      </w:r>
      <w:proofErr w:type="spellEnd"/>
      <w:r>
        <w:t xml:space="preserve"> values are shown, in order of decreasing importance (from the top-left to the bottom-right).</w:t>
      </w:r>
    </w:p>
    <w:p w:rsidR="00B408A2" w:rsidRDefault="008E3059">
      <w:r>
        <w:br w:type="page"/>
      </w:r>
    </w:p>
    <w:p w:rsidR="00B408A2" w:rsidRDefault="008E3059">
      <w:pPr>
        <w:rPr>
          <w:b/>
        </w:rPr>
      </w:pPr>
      <w:r>
        <w:rPr>
          <w:b/>
          <w:noProof/>
        </w:rPr>
        <w:lastRenderedPageBreak/>
        <w:drawing>
          <wp:inline distT="114300" distB="114300" distL="114300" distR="114300">
            <wp:extent cx="5762625" cy="6196330"/>
            <wp:effectExtent l="0" t="0" r="0" b="0"/>
            <wp:docPr id="94"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12"/>
                    <a:srcRect b="23914"/>
                    <a:stretch>
                      <a:fillRect/>
                    </a:stretch>
                  </pic:blipFill>
                  <pic:spPr>
                    <a:xfrm>
                      <a:off x="0" y="0"/>
                      <a:ext cx="5762625" cy="6196330"/>
                    </a:xfrm>
                    <a:prstGeom prst="rect">
                      <a:avLst/>
                    </a:prstGeom>
                    <a:ln/>
                  </pic:spPr>
                </pic:pic>
              </a:graphicData>
            </a:graphic>
          </wp:inline>
        </w:drawing>
      </w:r>
    </w:p>
    <w:p w:rsidR="00B408A2" w:rsidRDefault="008E3059">
      <w:r>
        <w:rPr>
          <w:b/>
        </w:rPr>
        <w:t>SUPPL</w:t>
      </w:r>
      <w:r>
        <w:rPr>
          <w:b/>
        </w:rPr>
        <w:t xml:space="preserve">EMENTARY FIGURE 6: Partial dependence plot of Nematoda OTU richness. </w:t>
      </w:r>
      <w:r>
        <w:t>The plots show the contribution of predictor variables to log10(x+1) OTU richness (y-axis) as a function of the predictors (i.e. when the other contributing predictors are held at their m</w:t>
      </w:r>
      <w:r>
        <w:t>ean). Hash marks at the bottom of the plot indicate the deciles of the predictor variables. Only predictors with a %</w:t>
      </w:r>
      <w:proofErr w:type="spellStart"/>
      <w:r>
        <w:t>IncMse</w:t>
      </w:r>
      <w:proofErr w:type="spellEnd"/>
      <w:r>
        <w:t xml:space="preserve"> above the first quartile value of the non-null %</w:t>
      </w:r>
      <w:proofErr w:type="spellStart"/>
      <w:r>
        <w:t>IncMse</w:t>
      </w:r>
      <w:proofErr w:type="spellEnd"/>
      <w:r>
        <w:t xml:space="preserve"> values are shown, in order of decreasing importance (from the top-left to the </w:t>
      </w:r>
      <w:r>
        <w:t>bottom-right).</w:t>
      </w:r>
    </w:p>
    <w:p w:rsidR="00B408A2" w:rsidRDefault="008E3059">
      <w:r>
        <w:br w:type="page"/>
      </w:r>
    </w:p>
    <w:p w:rsidR="00B408A2" w:rsidRDefault="008E3059">
      <w:r>
        <w:rPr>
          <w:noProof/>
        </w:rPr>
        <w:lastRenderedPageBreak/>
        <w:drawing>
          <wp:inline distT="114300" distB="114300" distL="114300" distR="114300">
            <wp:extent cx="5762625" cy="2201545"/>
            <wp:effectExtent l="0" t="0" r="0" b="0"/>
            <wp:docPr id="10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3"/>
                    <a:srcRect b="72986"/>
                    <a:stretch>
                      <a:fillRect/>
                    </a:stretch>
                  </pic:blipFill>
                  <pic:spPr>
                    <a:xfrm>
                      <a:off x="0" y="0"/>
                      <a:ext cx="5762625" cy="2201545"/>
                    </a:xfrm>
                    <a:prstGeom prst="rect">
                      <a:avLst/>
                    </a:prstGeom>
                    <a:ln/>
                  </pic:spPr>
                </pic:pic>
              </a:graphicData>
            </a:graphic>
          </wp:inline>
        </w:drawing>
      </w:r>
    </w:p>
    <w:p w:rsidR="00B408A2" w:rsidRDefault="008E3059">
      <w:r>
        <w:rPr>
          <w:b/>
        </w:rPr>
        <w:t xml:space="preserve">SUPPLEMENTARY FIGURE 7: Partial dependence plot of Arthropoda OTU richness. </w:t>
      </w:r>
      <w:r>
        <w:t>The plots show the contribution of predictor variables to log10(x+1) OTU richness (y-axis) as a function of the predictors (i.e. when the other contributing pred</w:t>
      </w:r>
      <w:r>
        <w:t>ictors are held at their mean). Hash marks at the bottom of the plot indicate the deciles of the predictor variables. Only predictors with a %</w:t>
      </w:r>
      <w:proofErr w:type="spellStart"/>
      <w:r>
        <w:t>IncMse</w:t>
      </w:r>
      <w:proofErr w:type="spellEnd"/>
      <w:r>
        <w:t xml:space="preserve"> above the first quartile value of the non-null %</w:t>
      </w:r>
      <w:proofErr w:type="spellStart"/>
      <w:r>
        <w:t>IncMse</w:t>
      </w:r>
      <w:proofErr w:type="spellEnd"/>
      <w:r>
        <w:t xml:space="preserve"> values are shown, in order of decreasing importance </w:t>
      </w:r>
      <w:r>
        <w:t>(from the top-left to the bottom-right).</w:t>
      </w:r>
    </w:p>
    <w:p w:rsidR="00B408A2" w:rsidRDefault="008E3059">
      <w:r>
        <w:br w:type="page"/>
      </w:r>
    </w:p>
    <w:p w:rsidR="00B408A2" w:rsidRDefault="008E3059">
      <w:r>
        <w:rPr>
          <w:noProof/>
        </w:rPr>
        <w:lastRenderedPageBreak/>
        <w:drawing>
          <wp:inline distT="114300" distB="114300" distL="114300" distR="114300">
            <wp:extent cx="5762625" cy="4249420"/>
            <wp:effectExtent l="0" t="0" r="0" b="0"/>
            <wp:docPr id="10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14"/>
                    <a:srcRect b="47820"/>
                    <a:stretch>
                      <a:fillRect/>
                    </a:stretch>
                  </pic:blipFill>
                  <pic:spPr>
                    <a:xfrm>
                      <a:off x="0" y="0"/>
                      <a:ext cx="5762625" cy="4249420"/>
                    </a:xfrm>
                    <a:prstGeom prst="rect">
                      <a:avLst/>
                    </a:prstGeom>
                    <a:ln/>
                  </pic:spPr>
                </pic:pic>
              </a:graphicData>
            </a:graphic>
          </wp:inline>
        </w:drawing>
      </w:r>
    </w:p>
    <w:p w:rsidR="00B408A2" w:rsidRDefault="008E3059">
      <w:r>
        <w:rPr>
          <w:b/>
        </w:rPr>
        <w:t xml:space="preserve">SUPPLEMENTARY FIGURE 8: Partial dependence plot of </w:t>
      </w:r>
      <w:proofErr w:type="spellStart"/>
      <w:r>
        <w:rPr>
          <w:b/>
        </w:rPr>
        <w:t>Streptophyta</w:t>
      </w:r>
      <w:proofErr w:type="spellEnd"/>
      <w:r>
        <w:rPr>
          <w:b/>
        </w:rPr>
        <w:t xml:space="preserve"> OTU richness. </w:t>
      </w:r>
      <w:r>
        <w:t>The plots show the contribution of predictor variables to log10(x+1) OTU richness (y-axis) as a function of the predictors (i.e. when</w:t>
      </w:r>
      <w:r>
        <w:t xml:space="preserve"> the other contributing predictors are held at their mean). Hash marks at the bottom of the plot indicate the deciles of the predictor variables. Only predictors with a %</w:t>
      </w:r>
      <w:proofErr w:type="spellStart"/>
      <w:r>
        <w:t>IncMse</w:t>
      </w:r>
      <w:proofErr w:type="spellEnd"/>
      <w:r>
        <w:t xml:space="preserve"> above the first quartile value of the non-null %</w:t>
      </w:r>
      <w:proofErr w:type="spellStart"/>
      <w:r>
        <w:t>IncMse</w:t>
      </w:r>
      <w:proofErr w:type="spellEnd"/>
      <w:r>
        <w:t xml:space="preserve"> values are shown, in ord</w:t>
      </w:r>
      <w:r>
        <w:t>er of decreasing importance (from the top-left to the bottom-right).</w:t>
      </w:r>
    </w:p>
    <w:p w:rsidR="00B408A2" w:rsidRDefault="008E3059">
      <w:r>
        <w:br w:type="page"/>
      </w:r>
    </w:p>
    <w:p w:rsidR="00B408A2" w:rsidRDefault="008E3059">
      <w:pPr>
        <w:rPr>
          <w:b/>
        </w:rPr>
      </w:pPr>
      <w:r>
        <w:rPr>
          <w:b/>
          <w:noProof/>
        </w:rPr>
        <w:lastRenderedPageBreak/>
        <w:drawing>
          <wp:inline distT="114300" distB="114300" distL="114300" distR="114300">
            <wp:extent cx="5762625" cy="4205605"/>
            <wp:effectExtent l="0" t="0" r="0" b="0"/>
            <wp:docPr id="10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5"/>
                    <a:srcRect b="48358"/>
                    <a:stretch>
                      <a:fillRect/>
                    </a:stretch>
                  </pic:blipFill>
                  <pic:spPr>
                    <a:xfrm>
                      <a:off x="0" y="0"/>
                      <a:ext cx="5762625" cy="4205605"/>
                    </a:xfrm>
                    <a:prstGeom prst="rect">
                      <a:avLst/>
                    </a:prstGeom>
                    <a:ln/>
                  </pic:spPr>
                </pic:pic>
              </a:graphicData>
            </a:graphic>
          </wp:inline>
        </w:drawing>
      </w:r>
    </w:p>
    <w:p w:rsidR="00B408A2" w:rsidRDefault="008E3059">
      <w:r>
        <w:rPr>
          <w:b/>
        </w:rPr>
        <w:t>SUPPLEMENTARY FIGURE 9:</w:t>
      </w:r>
      <w:r>
        <w:t xml:space="preserve"> </w:t>
      </w:r>
      <w:r>
        <w:rPr>
          <w:b/>
        </w:rPr>
        <w:t xml:space="preserve">Partial dependence plot of the relative abundance of fungal </w:t>
      </w:r>
      <w:proofErr w:type="spellStart"/>
      <w:r>
        <w:rPr>
          <w:b/>
        </w:rPr>
        <w:t>copiotrophic</w:t>
      </w:r>
      <w:proofErr w:type="spellEnd"/>
      <w:r>
        <w:rPr>
          <w:b/>
        </w:rPr>
        <w:t xml:space="preserve"> and oligotrophic OTUs </w:t>
      </w:r>
      <w:r>
        <w:t>indicating the contribution of predictor variables to log10(</w:t>
      </w:r>
      <w:proofErr w:type="spellStart"/>
      <w:r>
        <w:t>copi</w:t>
      </w:r>
      <w:r>
        <w:t>o:oligo</w:t>
      </w:r>
      <w:proofErr w:type="spellEnd"/>
      <w:r>
        <w:t xml:space="preserve"> ratio +1) (y-axis) as a function of the predictors (i.e. when the other contributing predictors are held at their mean). Hash marks at the bottom of the plot indicate the deciles of the predictor variables. Only predictors with a %</w:t>
      </w:r>
      <w:proofErr w:type="spellStart"/>
      <w:r>
        <w:t>IncMse</w:t>
      </w:r>
      <w:proofErr w:type="spellEnd"/>
      <w:r>
        <w:t xml:space="preserve"> above the </w:t>
      </w:r>
      <w:r>
        <w:t>first quartile value of the non-null %</w:t>
      </w:r>
      <w:proofErr w:type="spellStart"/>
      <w:r>
        <w:t>IncMse</w:t>
      </w:r>
      <w:proofErr w:type="spellEnd"/>
      <w:r>
        <w:t xml:space="preserve"> values are shown, in order of decreasing importance (from the top-left to the bottom-right).</w:t>
      </w:r>
    </w:p>
    <w:p w:rsidR="00B408A2" w:rsidRDefault="008E3059">
      <w:r>
        <w:br w:type="page"/>
      </w:r>
    </w:p>
    <w:p w:rsidR="00B408A2" w:rsidRDefault="008E3059">
      <w:pPr>
        <w:rPr>
          <w:b/>
        </w:rPr>
      </w:pPr>
      <w:r>
        <w:rPr>
          <w:b/>
          <w:noProof/>
        </w:rPr>
        <w:lastRenderedPageBreak/>
        <w:drawing>
          <wp:inline distT="0" distB="0" distL="0" distR="0">
            <wp:extent cx="5760720" cy="2301240"/>
            <wp:effectExtent l="0" t="0" r="0" b="0"/>
            <wp:docPr id="10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6"/>
                    <a:srcRect/>
                    <a:stretch>
                      <a:fillRect/>
                    </a:stretch>
                  </pic:blipFill>
                  <pic:spPr>
                    <a:xfrm>
                      <a:off x="0" y="0"/>
                      <a:ext cx="5760720" cy="2301240"/>
                    </a:xfrm>
                    <a:prstGeom prst="rect">
                      <a:avLst/>
                    </a:prstGeom>
                    <a:ln/>
                  </pic:spPr>
                </pic:pic>
              </a:graphicData>
            </a:graphic>
          </wp:inline>
        </w:drawing>
      </w:r>
    </w:p>
    <w:p w:rsidR="00B408A2" w:rsidRDefault="00B408A2">
      <w:pPr>
        <w:rPr>
          <w:b/>
        </w:rPr>
      </w:pPr>
    </w:p>
    <w:p w:rsidR="00B408A2" w:rsidRDefault="008E3059">
      <w:r>
        <w:rPr>
          <w:b/>
        </w:rPr>
        <w:t>SUPPLEMENTARY FIGURE 10: Rarefaction curves showing Eukaryotic OTU richness as a function of the number of reads</w:t>
      </w:r>
      <w:r>
        <w:t xml:space="preserve"> (sample size) in each sample before (A) and after rarefaction to 15624 reads for the 18S marker. Each curve corresponds to a sample. </w:t>
      </w:r>
    </w:p>
    <w:p w:rsidR="00B408A2" w:rsidRDefault="00B408A2"/>
    <w:p w:rsidR="00B408A2" w:rsidRDefault="00B408A2"/>
    <w:p w:rsidR="00B408A2" w:rsidRDefault="00B408A2"/>
    <w:p w:rsidR="00B408A2" w:rsidRDefault="00B408A2"/>
    <w:p w:rsidR="00B408A2" w:rsidRDefault="00B408A2"/>
    <w:p w:rsidR="00B408A2" w:rsidRDefault="00B408A2"/>
    <w:p w:rsidR="00B408A2" w:rsidRDefault="008E3059">
      <w:r>
        <w:rPr>
          <w:noProof/>
        </w:rPr>
        <w:drawing>
          <wp:inline distT="0" distB="0" distL="0" distR="0">
            <wp:extent cx="5760720" cy="2301240"/>
            <wp:effectExtent l="0" t="0" r="0" b="0"/>
            <wp:docPr id="10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7"/>
                    <a:srcRect/>
                    <a:stretch>
                      <a:fillRect/>
                    </a:stretch>
                  </pic:blipFill>
                  <pic:spPr>
                    <a:xfrm>
                      <a:off x="0" y="0"/>
                      <a:ext cx="5760720" cy="2301240"/>
                    </a:xfrm>
                    <a:prstGeom prst="rect">
                      <a:avLst/>
                    </a:prstGeom>
                    <a:ln/>
                  </pic:spPr>
                </pic:pic>
              </a:graphicData>
            </a:graphic>
          </wp:inline>
        </w:drawing>
      </w:r>
    </w:p>
    <w:p w:rsidR="00B408A2" w:rsidRDefault="00B408A2"/>
    <w:p w:rsidR="00B408A2" w:rsidRDefault="008E3059">
      <w:r>
        <w:rPr>
          <w:b/>
        </w:rPr>
        <w:t>SUPPLEMENTARY FIGURE 11: Rarefaction curves showing Bacteria/Archaea OTU richness as a function of the number of reads</w:t>
      </w:r>
      <w:r>
        <w:t xml:space="preserve"> (sample size) in each sample before (A) and after rarefaction to 2311 reads for the 16S marker. Each curve corresponds to a sample.</w:t>
      </w:r>
    </w:p>
    <w:p w:rsidR="00B408A2" w:rsidRDefault="00B408A2"/>
    <w:p w:rsidR="00B408A2" w:rsidRDefault="008E3059">
      <w:r>
        <w:rPr>
          <w:b/>
        </w:rPr>
        <w:lastRenderedPageBreak/>
        <w:t>SUPP</w:t>
      </w:r>
      <w:r>
        <w:rPr>
          <w:b/>
        </w:rPr>
        <w:t xml:space="preserve">LEMENTARY TABLE 1: Number of samples, PCR replicates, reads and unique sequences (=OTUs) for the Bacteria (Bact02) and </w:t>
      </w:r>
      <w:proofErr w:type="spellStart"/>
      <w:r>
        <w:rPr>
          <w:b/>
        </w:rPr>
        <w:t>Eukaryota</w:t>
      </w:r>
      <w:proofErr w:type="spellEnd"/>
      <w:r>
        <w:rPr>
          <w:b/>
        </w:rPr>
        <w:t xml:space="preserve"> (Euka02) marker after each filtering step.</w:t>
      </w:r>
      <w:r>
        <w:t xml:space="preserve"> </w:t>
      </w:r>
    </w:p>
    <w:p w:rsidR="00B408A2" w:rsidRDefault="00B408A2"/>
    <w:tbl>
      <w:tblPr>
        <w:tblStyle w:val="a2"/>
        <w:tblW w:w="9071"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284"/>
        <w:gridCol w:w="925"/>
        <w:gridCol w:w="1074"/>
        <w:gridCol w:w="925"/>
        <w:gridCol w:w="925"/>
        <w:gridCol w:w="925"/>
        <w:gridCol w:w="1074"/>
        <w:gridCol w:w="1014"/>
        <w:gridCol w:w="925"/>
      </w:tblGrid>
      <w:tr w:rsidR="00B408A2">
        <w:trPr>
          <w:trHeight w:val="425"/>
        </w:trPr>
        <w:tc>
          <w:tcPr>
            <w:tcW w:w="1284"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08A2" w:rsidRDefault="00B408A2">
            <w:pPr>
              <w:spacing w:after="0" w:line="276" w:lineRule="auto"/>
              <w:jc w:val="center"/>
              <w:rPr>
                <w:rFonts w:ascii="Times New Roman" w:eastAsia="Times New Roman" w:hAnsi="Times New Roman" w:cs="Times New Roman"/>
                <w:b/>
                <w:sz w:val="18"/>
                <w:szCs w:val="18"/>
              </w:rPr>
            </w:pPr>
          </w:p>
          <w:p w:rsidR="00B408A2" w:rsidRDefault="00B408A2">
            <w:pPr>
              <w:spacing w:after="0" w:line="276" w:lineRule="auto"/>
              <w:rPr>
                <w:rFonts w:ascii="Times New Roman" w:eastAsia="Times New Roman" w:hAnsi="Times New Roman" w:cs="Times New Roman"/>
                <w:b/>
                <w:sz w:val="18"/>
                <w:szCs w:val="18"/>
              </w:rPr>
            </w:pPr>
          </w:p>
          <w:p w:rsidR="00B408A2" w:rsidRDefault="008E3059">
            <w:pPr>
              <w:spacing w:after="0" w:line="276" w:lineRule="auto"/>
              <w:rPr>
                <w:rFonts w:ascii="Times New Roman" w:eastAsia="Times New Roman" w:hAnsi="Times New Roman" w:cs="Times New Roman"/>
                <w:b/>
                <w:sz w:val="18"/>
                <w:szCs w:val="18"/>
              </w:rPr>
            </w:pPr>
            <w:bookmarkStart w:id="2" w:name="_heading=h.gjdgxs" w:colFirst="0" w:colLast="0"/>
            <w:bookmarkEnd w:id="2"/>
            <w:r>
              <w:rPr>
                <w:rFonts w:ascii="Times New Roman" w:eastAsia="Times New Roman" w:hAnsi="Times New Roman" w:cs="Times New Roman"/>
                <w:b/>
                <w:sz w:val="18"/>
                <w:szCs w:val="18"/>
              </w:rPr>
              <w:t>Filtering step</w:t>
            </w:r>
          </w:p>
        </w:tc>
        <w:tc>
          <w:tcPr>
            <w:tcW w:w="3849" w:type="dxa"/>
            <w:gridSpan w:val="4"/>
            <w:tcBorders>
              <w:top w:val="single" w:sz="8" w:space="0" w:color="000000"/>
              <w:bottom w:val="single" w:sz="8" w:space="0" w:color="000000"/>
              <w:right w:val="single" w:sz="8" w:space="0" w:color="000000"/>
            </w:tcBorders>
            <w:tcMar>
              <w:top w:w="100" w:type="dxa"/>
              <w:left w:w="100" w:type="dxa"/>
              <w:bottom w:w="100" w:type="dxa"/>
              <w:right w:w="100" w:type="dxa"/>
            </w:tcMar>
          </w:tcPr>
          <w:p w:rsidR="00B408A2" w:rsidRDefault="008E3059">
            <w:pPr>
              <w:spacing w:after="0" w:line="276"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Bact02</w:t>
            </w:r>
          </w:p>
        </w:tc>
        <w:tc>
          <w:tcPr>
            <w:tcW w:w="3938" w:type="dxa"/>
            <w:gridSpan w:val="4"/>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jc w:val="center"/>
              <w:rPr>
                <w:rFonts w:ascii="Times New Roman" w:eastAsia="Times New Roman" w:hAnsi="Times New Roman" w:cs="Times New Roman"/>
                <w:b/>
                <w:sz w:val="18"/>
                <w:szCs w:val="18"/>
              </w:rPr>
            </w:pPr>
            <w:r>
              <w:rPr>
                <w:rFonts w:ascii="Times New Roman" w:eastAsia="Times New Roman" w:hAnsi="Times New Roman" w:cs="Times New Roman"/>
                <w:b/>
                <w:sz w:val="18"/>
                <w:szCs w:val="18"/>
              </w:rPr>
              <w:t>Euka02</w:t>
            </w:r>
          </w:p>
        </w:tc>
      </w:tr>
      <w:tr w:rsidR="00B408A2">
        <w:trPr>
          <w:trHeight w:val="425"/>
        </w:trPr>
        <w:tc>
          <w:tcPr>
            <w:tcW w:w="1284" w:type="dxa"/>
            <w:vMerge/>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B408A2" w:rsidRDefault="00B408A2">
            <w:pPr>
              <w:widowControl w:val="0"/>
              <w:pBdr>
                <w:top w:val="nil"/>
                <w:left w:val="nil"/>
                <w:bottom w:val="nil"/>
                <w:right w:val="nil"/>
                <w:between w:val="nil"/>
              </w:pBdr>
              <w:spacing w:after="0" w:line="276" w:lineRule="auto"/>
              <w:rPr>
                <w:rFonts w:ascii="Times New Roman" w:eastAsia="Times New Roman" w:hAnsi="Times New Roman" w:cs="Times New Roman"/>
                <w:b/>
                <w:sz w:val="18"/>
                <w:szCs w:val="18"/>
              </w:rPr>
            </w:pP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Samples</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PCR Replicates</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Reads</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OTUs</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Samples</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PCR Replicates</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Reads</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b/>
                <w:sz w:val="18"/>
                <w:szCs w:val="18"/>
              </w:rPr>
            </w:pPr>
            <w:r>
              <w:rPr>
                <w:rFonts w:ascii="Times New Roman" w:eastAsia="Times New Roman" w:hAnsi="Times New Roman" w:cs="Times New Roman"/>
                <w:b/>
                <w:sz w:val="18"/>
                <w:szCs w:val="18"/>
              </w:rPr>
              <w:t>OTUs</w:t>
            </w:r>
          </w:p>
        </w:tc>
      </w:tr>
      <w:tr w:rsidR="00B408A2">
        <w:trPr>
          <w:trHeight w:val="845"/>
        </w:trPr>
        <w:tc>
          <w:tcPr>
            <w:tcW w:w="1284"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Raw data</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531</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6259902</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2357163</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531</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19134518</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1013900</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B408A2">
        <w:trPr>
          <w:trHeight w:val="845"/>
        </w:trPr>
        <w:tc>
          <w:tcPr>
            <w:tcW w:w="1284"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Basic filter (singletons, length)</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531</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2921780</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282351</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531</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13196993</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234390</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B408A2">
        <w:trPr>
          <w:trHeight w:val="1055"/>
        </w:trPr>
        <w:tc>
          <w:tcPr>
            <w:tcW w:w="1284"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Removal of OTUs found in only 1 PCR replicate</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530</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2339063</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80513</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531</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13196993</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82161</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B408A2">
        <w:trPr>
          <w:trHeight w:val="845"/>
        </w:trPr>
        <w:tc>
          <w:tcPr>
            <w:tcW w:w="1284"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rPr>
              <w:t>obiclean</w:t>
            </w:r>
            <w:proofErr w:type="spellEnd"/>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530</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1303834</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5751</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531</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9555919</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4302</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B408A2">
        <w:trPr>
          <w:trHeight w:val="1265"/>
        </w:trPr>
        <w:tc>
          <w:tcPr>
            <w:tcW w:w="1284"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OTU clustering 97%</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530</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691283</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2166</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177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531</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7989962</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2692</w:t>
            </w:r>
          </w:p>
          <w:p w:rsidR="00B408A2" w:rsidRDefault="008E3059">
            <w:pPr>
              <w:spacing w:before="220"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 </w:t>
            </w:r>
          </w:p>
        </w:tc>
      </w:tr>
      <w:tr w:rsidR="00B408A2">
        <w:trPr>
          <w:trHeight w:val="845"/>
        </w:trPr>
        <w:tc>
          <w:tcPr>
            <w:tcW w:w="1284"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Removal of dysfunctional PCRs</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488</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542701</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2154</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152</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388</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6761322</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2676</w:t>
            </w:r>
          </w:p>
        </w:tc>
      </w:tr>
      <w:tr w:rsidR="00B408A2">
        <w:trPr>
          <w:trHeight w:val="1055"/>
        </w:trPr>
        <w:tc>
          <w:tcPr>
            <w:tcW w:w="1284" w:type="dxa"/>
            <w:tcBorders>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Removal of contaminants and non-target taxa</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167</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488</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466680</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2117</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152</w:t>
            </w:r>
          </w:p>
        </w:tc>
        <w:tc>
          <w:tcPr>
            <w:tcW w:w="107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388</w:t>
            </w:r>
          </w:p>
        </w:tc>
        <w:tc>
          <w:tcPr>
            <w:tcW w:w="1014"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4020797</w:t>
            </w:r>
          </w:p>
        </w:tc>
        <w:tc>
          <w:tcPr>
            <w:tcW w:w="925" w:type="dxa"/>
            <w:tcBorders>
              <w:bottom w:val="single" w:sz="8" w:space="0" w:color="000000"/>
              <w:right w:val="single" w:sz="8" w:space="0" w:color="000000"/>
            </w:tcBorders>
            <w:shd w:val="clear" w:color="auto" w:fill="auto"/>
            <w:tcMar>
              <w:top w:w="100" w:type="dxa"/>
              <w:left w:w="100" w:type="dxa"/>
              <w:bottom w:w="100" w:type="dxa"/>
              <w:right w:w="100" w:type="dxa"/>
            </w:tcMar>
          </w:tcPr>
          <w:p w:rsidR="00B408A2" w:rsidRDefault="008E3059">
            <w:pPr>
              <w:spacing w:after="0" w:line="276" w:lineRule="auto"/>
              <w:rPr>
                <w:rFonts w:ascii="Times New Roman" w:eastAsia="Times New Roman" w:hAnsi="Times New Roman" w:cs="Times New Roman"/>
                <w:sz w:val="18"/>
                <w:szCs w:val="18"/>
              </w:rPr>
            </w:pPr>
            <w:r>
              <w:rPr>
                <w:rFonts w:ascii="Times New Roman" w:eastAsia="Times New Roman" w:hAnsi="Times New Roman" w:cs="Times New Roman"/>
                <w:sz w:val="18"/>
                <w:szCs w:val="18"/>
              </w:rPr>
              <w:t>2629</w:t>
            </w:r>
          </w:p>
        </w:tc>
      </w:tr>
    </w:tbl>
    <w:p w:rsidR="00B408A2" w:rsidRDefault="00B408A2"/>
    <w:p w:rsidR="00B408A2" w:rsidRDefault="00B408A2"/>
    <w:p w:rsidR="00B408A2" w:rsidRDefault="00B408A2"/>
    <w:p w:rsidR="00B408A2" w:rsidRDefault="00B408A2"/>
    <w:p w:rsidR="00B408A2" w:rsidRDefault="00B408A2"/>
    <w:p w:rsidR="00B408A2" w:rsidRDefault="00B408A2"/>
    <w:p w:rsidR="00B408A2" w:rsidRDefault="00B408A2"/>
    <w:sectPr w:rsidR="00B408A2">
      <w:headerReference w:type="default" r:id="rId18"/>
      <w:pgSz w:w="11906" w:h="16838"/>
      <w:pgMar w:top="1417" w:right="1417" w:bottom="1417" w:left="1417"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E3059" w:rsidRDefault="008E3059">
      <w:pPr>
        <w:spacing w:after="0" w:line="240" w:lineRule="auto"/>
      </w:pPr>
      <w:r>
        <w:separator/>
      </w:r>
    </w:p>
  </w:endnote>
  <w:endnote w:type="continuationSeparator" w:id="0">
    <w:p w:rsidR="008E3059" w:rsidRDefault="008E30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E3059" w:rsidRDefault="008E3059">
      <w:pPr>
        <w:spacing w:after="0" w:line="240" w:lineRule="auto"/>
      </w:pPr>
      <w:r>
        <w:separator/>
      </w:r>
    </w:p>
  </w:footnote>
  <w:footnote w:type="continuationSeparator" w:id="0">
    <w:p w:rsidR="008E3059" w:rsidRDefault="008E30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408A2" w:rsidRDefault="00B408A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08A2"/>
    <w:rsid w:val="00480B20"/>
    <w:rsid w:val="00840F23"/>
    <w:rsid w:val="008E3059"/>
    <w:rsid w:val="00B408A2"/>
    <w:rsid w:val="00F9027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723BD1"/>
  <w15:docId w15:val="{F7F37EC6-4586-4F4A-86ED-00AAF2214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character" w:styleId="Marquedecommentaire">
    <w:name w:val="annotation reference"/>
    <w:uiPriority w:val="99"/>
    <w:semiHidden/>
    <w:unhideWhenUsed/>
    <w:rPr>
      <w:sz w:val="16"/>
      <w:szCs w:val="16"/>
    </w:rPr>
  </w:style>
  <w:style w:type="paragraph" w:styleId="Commentaire">
    <w:name w:val="annotation text"/>
    <w:basedOn w:val="Normal"/>
    <w:link w:val="CommentaireCar1"/>
    <w:uiPriority w:val="99"/>
    <w:semiHidden/>
    <w:unhideWhenUsed/>
    <w:pPr>
      <w:spacing w:line="240" w:lineRule="auto"/>
    </w:pPr>
    <w:rPr>
      <w:sz w:val="20"/>
      <w:szCs w:val="20"/>
    </w:rPr>
  </w:style>
  <w:style w:type="character" w:customStyle="1" w:styleId="CommentaireCar">
    <w:name w:val="Commentaire Car"/>
    <w:basedOn w:val="Policepardfaut"/>
    <w:uiPriority w:val="99"/>
    <w:semiHidden/>
    <w:rsid w:val="000A7EA5"/>
    <w:rPr>
      <w:sz w:val="20"/>
      <w:szCs w:val="20"/>
    </w:rPr>
  </w:style>
  <w:style w:type="paragraph" w:styleId="Objetducommentaire">
    <w:name w:val="annotation subject"/>
    <w:basedOn w:val="Commentaire"/>
    <w:next w:val="Commentaire"/>
    <w:link w:val="ObjetducommentaireCar1"/>
    <w:uiPriority w:val="99"/>
    <w:semiHidden/>
    <w:unhideWhenUsed/>
    <w:rPr>
      <w:b/>
      <w:bCs/>
    </w:rPr>
  </w:style>
  <w:style w:type="character" w:customStyle="1" w:styleId="ObjetducommentaireCar">
    <w:name w:val="Objet du commentaire Car"/>
    <w:basedOn w:val="CommentaireCar"/>
    <w:uiPriority w:val="99"/>
    <w:semiHidden/>
    <w:rsid w:val="000A7EA5"/>
    <w:rPr>
      <w:b/>
      <w:bCs/>
      <w:sz w:val="20"/>
      <w:szCs w:val="20"/>
    </w:rPr>
  </w:style>
  <w:style w:type="paragraph" w:styleId="Textedebulles">
    <w:name w:val="Balloon Text"/>
    <w:basedOn w:val="Normal"/>
    <w:link w:val="TextedebullesCar"/>
    <w:uiPriority w:val="99"/>
    <w:semiHidden/>
    <w:unhideWhenUsed/>
    <w:rsid w:val="000A7EA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A7EA5"/>
    <w:rPr>
      <w:rFonts w:ascii="Segoe UI" w:hAnsi="Segoe UI" w:cs="Segoe UI"/>
      <w:sz w:val="18"/>
      <w:szCs w:val="18"/>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ObjetducommentaireCar1">
    <w:name w:val="Objet du commentaire Car1"/>
    <w:basedOn w:val="CommentaireCar1"/>
    <w:link w:val="Objetducommentaire"/>
    <w:uiPriority w:val="99"/>
    <w:semiHidden/>
    <w:rPr>
      <w:b/>
      <w:bCs/>
      <w:sz w:val="20"/>
      <w:szCs w:val="20"/>
    </w:rPr>
  </w:style>
  <w:style w:type="character" w:customStyle="1" w:styleId="CommentaireCar1">
    <w:name w:val="Commentaire Car1"/>
    <w:link w:val="Commentaire"/>
    <w:uiPriority w:val="99"/>
    <w:semiHidden/>
    <w:rPr>
      <w:sz w:val="20"/>
      <w:szCs w:val="20"/>
    </w:rPr>
  </w:style>
  <w:style w:type="table" w:customStyle="1" w:styleId="a">
    <w:basedOn w:val="TableNormal1"/>
    <w:tblPr>
      <w:tblStyleRowBandSize w:val="1"/>
      <w:tblStyleColBandSize w:val="1"/>
      <w:tblCellMar>
        <w:left w:w="70" w:type="dxa"/>
        <w:right w:w="7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Zz4psvjrZY0RmRqcU33JPMBSrtA==">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958</Words>
  <Characters>5274</Characters>
  <Application>Microsoft Office Word</Application>
  <DocSecurity>0</DocSecurity>
  <Lines>43</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arnaud foulquier</dc:creator>
  <cp:lastModifiedBy>arnaud.foulquier</cp:lastModifiedBy>
  <cp:revision>3</cp:revision>
  <dcterms:created xsi:type="dcterms:W3CDTF">2023-07-31T13:46:00Z</dcterms:created>
  <dcterms:modified xsi:type="dcterms:W3CDTF">2023-07-31T13:46:00Z</dcterms:modified>
</cp:coreProperties>
</file>