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B5A51" w14:textId="5451AFD8" w:rsidR="000329F6" w:rsidRPr="005B572B" w:rsidRDefault="000329F6" w:rsidP="005B572B">
      <w:pPr>
        <w:spacing w:line="480" w:lineRule="auto"/>
        <w:jc w:val="center"/>
        <w:rPr>
          <w:sz w:val="20"/>
        </w:rPr>
      </w:pPr>
      <w:bookmarkStart w:id="0" w:name="_Hlk134457206"/>
      <w:bookmarkStart w:id="1" w:name="_Hlk130370900"/>
      <w:bookmarkEnd w:id="0"/>
      <w:r w:rsidRPr="005B572B">
        <w:rPr>
          <w:sz w:val="20"/>
        </w:rPr>
        <w:t>Supplementary Materials for</w:t>
      </w:r>
    </w:p>
    <w:p w14:paraId="2385DFC1" w14:textId="77777777" w:rsidR="009653AF" w:rsidRPr="005B572B" w:rsidRDefault="009653AF" w:rsidP="005B572B">
      <w:pPr>
        <w:spacing w:line="480" w:lineRule="auto"/>
        <w:jc w:val="center"/>
        <w:rPr>
          <w:b/>
          <w:bCs/>
          <w:sz w:val="20"/>
        </w:rPr>
      </w:pPr>
      <w:bookmarkStart w:id="2" w:name="_Hlk137109136"/>
      <w:bookmarkStart w:id="3" w:name="_Hlk134456371"/>
      <w:bookmarkEnd w:id="1"/>
      <w:r w:rsidRPr="005B572B">
        <w:rPr>
          <w:b/>
          <w:bCs/>
          <w:sz w:val="20"/>
        </w:rPr>
        <w:t>Soluble TGF-β decoy receptor TGFBR3 exacerbates AD lesions by modifying microglia</w:t>
      </w:r>
      <w:r w:rsidRPr="005B572B">
        <w:rPr>
          <w:rFonts w:hint="eastAsia"/>
          <w:b/>
          <w:bCs/>
          <w:sz w:val="20"/>
          <w:lang w:eastAsia="zh-CN"/>
        </w:rPr>
        <w:t>l</w:t>
      </w:r>
      <w:r w:rsidRPr="005B572B">
        <w:rPr>
          <w:b/>
          <w:bCs/>
          <w:sz w:val="20"/>
        </w:rPr>
        <w:t xml:space="preserve"> function</w:t>
      </w:r>
    </w:p>
    <w:p w14:paraId="61E5B5EB" w14:textId="77777777" w:rsidR="009653AF" w:rsidRPr="005B572B" w:rsidRDefault="009653AF" w:rsidP="005B572B">
      <w:pPr>
        <w:spacing w:line="480" w:lineRule="auto"/>
        <w:jc w:val="center"/>
        <w:rPr>
          <w:b/>
          <w:bCs/>
          <w:sz w:val="20"/>
        </w:rPr>
      </w:pPr>
    </w:p>
    <w:p w14:paraId="4480EB29" w14:textId="77777777" w:rsidR="009653AF" w:rsidRPr="005B572B" w:rsidRDefault="009653AF" w:rsidP="005B572B">
      <w:pPr>
        <w:spacing w:line="480" w:lineRule="auto"/>
        <w:jc w:val="center"/>
        <w:rPr>
          <w:b/>
          <w:bCs/>
          <w:sz w:val="20"/>
        </w:rPr>
      </w:pPr>
      <w:bookmarkStart w:id="4" w:name="_Hlk133486168"/>
      <w:r w:rsidRPr="005B572B">
        <w:rPr>
          <w:bCs/>
          <w:sz w:val="20"/>
        </w:rPr>
        <w:t>Lijun Zhou</w:t>
      </w:r>
      <w:r w:rsidRPr="005B572B">
        <w:rPr>
          <w:bCs/>
          <w:color w:val="000000"/>
          <w:sz w:val="20"/>
        </w:rPr>
        <w:t>,</w:t>
      </w:r>
      <w:r w:rsidRPr="005B572B">
        <w:rPr>
          <w:sz w:val="20"/>
          <w:vertAlign w:val="superscript"/>
        </w:rPr>
        <w:t xml:space="preserve"> 1</w:t>
      </w:r>
      <w:r w:rsidRPr="005B572B">
        <w:rPr>
          <w:bCs/>
          <w:color w:val="000000"/>
          <w:sz w:val="20"/>
        </w:rPr>
        <w:t xml:space="preserve"> Nan Wang,</w:t>
      </w:r>
      <w:r w:rsidRPr="005B572B">
        <w:rPr>
          <w:bCs/>
          <w:color w:val="000000"/>
          <w:sz w:val="20"/>
          <w:vertAlign w:val="superscript"/>
        </w:rPr>
        <w:t>1,3</w:t>
      </w:r>
      <w:r w:rsidRPr="005B572B">
        <w:rPr>
          <w:bCs/>
          <w:color w:val="000000"/>
          <w:sz w:val="20"/>
        </w:rPr>
        <w:t xml:space="preserve"> </w:t>
      </w:r>
      <w:proofErr w:type="spellStart"/>
      <w:r w:rsidRPr="005B572B">
        <w:rPr>
          <w:bCs/>
          <w:color w:val="000000"/>
          <w:sz w:val="20"/>
        </w:rPr>
        <w:t>Wenzheng</w:t>
      </w:r>
      <w:proofErr w:type="spellEnd"/>
      <w:r w:rsidRPr="005B572B">
        <w:rPr>
          <w:bCs/>
          <w:color w:val="000000"/>
          <w:sz w:val="20"/>
        </w:rPr>
        <w:t xml:space="preserve"> Feng,</w:t>
      </w:r>
      <w:r w:rsidRPr="005B572B">
        <w:rPr>
          <w:bCs/>
          <w:color w:val="000000"/>
          <w:sz w:val="20"/>
          <w:vertAlign w:val="superscript"/>
        </w:rPr>
        <w:t>1</w:t>
      </w:r>
      <w:r w:rsidRPr="005B572B">
        <w:rPr>
          <w:bCs/>
          <w:color w:val="000000"/>
          <w:sz w:val="20"/>
        </w:rPr>
        <w:t xml:space="preserve"> Xin Liu,</w:t>
      </w:r>
      <w:r w:rsidRPr="005B572B">
        <w:rPr>
          <w:bCs/>
          <w:color w:val="000000"/>
          <w:sz w:val="20"/>
          <w:vertAlign w:val="superscript"/>
        </w:rPr>
        <w:t>1,3</w:t>
      </w:r>
      <w:r w:rsidRPr="005B572B">
        <w:rPr>
          <w:bCs/>
          <w:color w:val="000000"/>
          <w:sz w:val="20"/>
        </w:rPr>
        <w:t xml:space="preserve"> </w:t>
      </w:r>
      <w:proofErr w:type="spellStart"/>
      <w:r w:rsidRPr="005B572B">
        <w:rPr>
          <w:bCs/>
          <w:color w:val="000000"/>
          <w:sz w:val="20"/>
        </w:rPr>
        <w:t>Zihua</w:t>
      </w:r>
      <w:proofErr w:type="spellEnd"/>
      <w:r w:rsidRPr="005B572B">
        <w:rPr>
          <w:bCs/>
          <w:color w:val="000000"/>
          <w:sz w:val="20"/>
        </w:rPr>
        <w:t xml:space="preserve"> Xu,</w:t>
      </w:r>
      <w:r w:rsidRPr="005B572B">
        <w:rPr>
          <w:bCs/>
          <w:color w:val="000000"/>
          <w:sz w:val="20"/>
          <w:vertAlign w:val="superscript"/>
        </w:rPr>
        <w:t>1,3</w:t>
      </w:r>
      <w:r w:rsidRPr="005B572B">
        <w:rPr>
          <w:bCs/>
          <w:color w:val="000000"/>
          <w:sz w:val="20"/>
        </w:rPr>
        <w:t xml:space="preserve"> Qiong Wu,</w:t>
      </w:r>
      <w:r w:rsidRPr="005B572B">
        <w:rPr>
          <w:bCs/>
          <w:color w:val="000000"/>
          <w:sz w:val="20"/>
          <w:vertAlign w:val="superscript"/>
        </w:rPr>
        <w:t>3</w:t>
      </w:r>
      <w:r w:rsidRPr="005B572B">
        <w:rPr>
          <w:bCs/>
          <w:color w:val="000000"/>
          <w:sz w:val="20"/>
        </w:rPr>
        <w:t xml:space="preserve"> </w:t>
      </w:r>
      <w:proofErr w:type="spellStart"/>
      <w:r w:rsidRPr="005B572B">
        <w:rPr>
          <w:bCs/>
          <w:color w:val="000000"/>
          <w:sz w:val="20"/>
        </w:rPr>
        <w:t>Jiangxia</w:t>
      </w:r>
      <w:proofErr w:type="spellEnd"/>
      <w:r w:rsidRPr="005B572B">
        <w:rPr>
          <w:bCs/>
          <w:color w:val="000000"/>
          <w:sz w:val="20"/>
        </w:rPr>
        <w:t xml:space="preserve"> Chen,</w:t>
      </w:r>
      <w:r w:rsidRPr="005B572B">
        <w:rPr>
          <w:bCs/>
          <w:color w:val="000000"/>
          <w:sz w:val="20"/>
          <w:vertAlign w:val="superscript"/>
        </w:rPr>
        <w:t>1</w:t>
      </w:r>
      <w:r w:rsidRPr="005B572B">
        <w:rPr>
          <w:bCs/>
          <w:color w:val="000000"/>
          <w:sz w:val="20"/>
        </w:rPr>
        <w:t xml:space="preserve"> </w:t>
      </w:r>
      <w:proofErr w:type="spellStart"/>
      <w:r w:rsidRPr="005B572B">
        <w:rPr>
          <w:bCs/>
          <w:color w:val="000000"/>
          <w:sz w:val="20"/>
        </w:rPr>
        <w:t>X</w:t>
      </w:r>
      <w:r w:rsidRPr="005B572B">
        <w:rPr>
          <w:bCs/>
          <w:color w:val="000000"/>
          <w:sz w:val="20"/>
          <w:lang w:eastAsia="zh-CN"/>
        </w:rPr>
        <w:t>inming</w:t>
      </w:r>
      <w:proofErr w:type="spellEnd"/>
      <w:r w:rsidRPr="005B572B">
        <w:rPr>
          <w:bCs/>
          <w:color w:val="000000"/>
          <w:sz w:val="20"/>
        </w:rPr>
        <w:t xml:space="preserve"> Jiao,</w:t>
      </w:r>
      <w:r w:rsidRPr="005B572B">
        <w:rPr>
          <w:bCs/>
          <w:color w:val="000000"/>
          <w:sz w:val="20"/>
          <w:vertAlign w:val="superscript"/>
        </w:rPr>
        <w:t xml:space="preserve">1 </w:t>
      </w:r>
      <w:r w:rsidRPr="005B572B">
        <w:rPr>
          <w:bCs/>
          <w:color w:val="000000"/>
          <w:sz w:val="20"/>
        </w:rPr>
        <w:t>Xinyue Ning,</w:t>
      </w:r>
      <w:r w:rsidRPr="005B572B">
        <w:rPr>
          <w:bCs/>
          <w:color w:val="000000"/>
          <w:sz w:val="20"/>
          <w:vertAlign w:val="superscript"/>
        </w:rPr>
        <w:t>1</w:t>
      </w:r>
      <w:r w:rsidRPr="005B572B">
        <w:rPr>
          <w:bCs/>
          <w:color w:val="000000"/>
          <w:sz w:val="20"/>
        </w:rPr>
        <w:t xml:space="preserve"> </w:t>
      </w:r>
      <w:proofErr w:type="spellStart"/>
      <w:r w:rsidRPr="005B572B">
        <w:rPr>
          <w:bCs/>
          <w:color w:val="000000"/>
          <w:sz w:val="20"/>
        </w:rPr>
        <w:t>Zhentong</w:t>
      </w:r>
      <w:proofErr w:type="spellEnd"/>
      <w:r w:rsidRPr="005B572B">
        <w:rPr>
          <w:bCs/>
          <w:color w:val="000000"/>
          <w:sz w:val="20"/>
        </w:rPr>
        <w:t xml:space="preserve"> Qi,</w:t>
      </w:r>
      <w:r w:rsidRPr="005B572B">
        <w:rPr>
          <w:bCs/>
          <w:color w:val="000000"/>
          <w:sz w:val="20"/>
          <w:vertAlign w:val="superscript"/>
        </w:rPr>
        <w:t>1</w:t>
      </w:r>
      <w:r w:rsidRPr="005B572B">
        <w:rPr>
          <w:bCs/>
          <w:color w:val="000000"/>
          <w:sz w:val="20"/>
        </w:rPr>
        <w:t xml:space="preserve"> Xiaowen Jiang,</w:t>
      </w:r>
      <w:proofErr w:type="gramStart"/>
      <w:r w:rsidRPr="005B572B">
        <w:rPr>
          <w:sz w:val="20"/>
          <w:vertAlign w:val="superscript"/>
        </w:rPr>
        <w:t>2,*</w:t>
      </w:r>
      <w:proofErr w:type="gramEnd"/>
      <w:r w:rsidRPr="005B572B">
        <w:rPr>
          <w:bCs/>
          <w:color w:val="000000"/>
          <w:sz w:val="20"/>
        </w:rPr>
        <w:t xml:space="preserve"> Qingchun Zhao</w:t>
      </w:r>
      <w:r w:rsidRPr="005B572B">
        <w:rPr>
          <w:bCs/>
          <w:color w:val="000000"/>
          <w:sz w:val="20"/>
          <w:vertAlign w:val="superscript"/>
        </w:rPr>
        <w:t xml:space="preserve">1,3, </w:t>
      </w:r>
      <w:r w:rsidRPr="005B572B">
        <w:rPr>
          <w:sz w:val="20"/>
          <w:vertAlign w:val="superscript"/>
        </w:rPr>
        <w:t>*</w:t>
      </w:r>
    </w:p>
    <w:bookmarkEnd w:id="2"/>
    <w:bookmarkEnd w:id="4"/>
    <w:p w14:paraId="20CA683A" w14:textId="77777777" w:rsidR="009653AF" w:rsidRPr="005B572B" w:rsidRDefault="009653AF" w:rsidP="005B572B">
      <w:pPr>
        <w:spacing w:line="480" w:lineRule="auto"/>
        <w:rPr>
          <w:b/>
          <w:sz w:val="20"/>
        </w:rPr>
      </w:pPr>
    </w:p>
    <w:p w14:paraId="100D34DE" w14:textId="77777777" w:rsidR="009653AF" w:rsidRPr="005B572B" w:rsidRDefault="009653AF" w:rsidP="005B572B">
      <w:pPr>
        <w:spacing w:line="480" w:lineRule="auto"/>
        <w:rPr>
          <w:b/>
          <w:sz w:val="20"/>
        </w:rPr>
      </w:pPr>
      <w:r w:rsidRPr="005B572B">
        <w:rPr>
          <w:b/>
          <w:sz w:val="20"/>
        </w:rPr>
        <w:t>Author affiliations:</w:t>
      </w:r>
    </w:p>
    <w:p w14:paraId="65B1DA2D" w14:textId="77777777" w:rsidR="009653AF" w:rsidRPr="005B572B" w:rsidRDefault="009653AF" w:rsidP="005B572B">
      <w:pPr>
        <w:spacing w:before="120" w:line="480" w:lineRule="auto"/>
        <w:rPr>
          <w:rFonts w:eastAsia="Calibri"/>
          <w:bCs/>
          <w:sz w:val="20"/>
        </w:rPr>
      </w:pPr>
      <w:r w:rsidRPr="005B572B">
        <w:rPr>
          <w:rFonts w:eastAsia="Calibri"/>
          <w:sz w:val="20"/>
        </w:rPr>
        <w:t xml:space="preserve">1 </w:t>
      </w:r>
      <w:bookmarkStart w:id="5" w:name="_Hlk92823555"/>
      <w:r w:rsidRPr="005B572B">
        <w:rPr>
          <w:rFonts w:eastAsia="Calibri"/>
          <w:bCs/>
          <w:sz w:val="20"/>
        </w:rPr>
        <w:t>Department of Clinical Pharmacy, Shenyang Pharmaceutical University, Shenyang 110016, People’s Republic of China</w:t>
      </w:r>
      <w:bookmarkEnd w:id="5"/>
    </w:p>
    <w:p w14:paraId="730BCCA8" w14:textId="77777777" w:rsidR="009653AF" w:rsidRPr="005B572B" w:rsidRDefault="009653AF" w:rsidP="005B572B">
      <w:pPr>
        <w:spacing w:before="120" w:line="480" w:lineRule="auto"/>
        <w:rPr>
          <w:rFonts w:eastAsia="Calibri"/>
          <w:sz w:val="20"/>
        </w:rPr>
      </w:pPr>
      <w:r w:rsidRPr="005B572B">
        <w:rPr>
          <w:rFonts w:eastAsia="Calibri"/>
          <w:sz w:val="20"/>
        </w:rPr>
        <w:t xml:space="preserve">2 </w:t>
      </w:r>
      <w:r w:rsidRPr="005B572B">
        <w:rPr>
          <w:rFonts w:eastAsia="Calibri"/>
          <w:bCs/>
          <w:sz w:val="20"/>
        </w:rPr>
        <w:t>School of Traditional Chinese Materia Medica, Shenyang Pharmaceutical University, Shenyang 110016, People’s Republic of China</w:t>
      </w:r>
    </w:p>
    <w:p w14:paraId="26B740D8" w14:textId="77777777" w:rsidR="009653AF" w:rsidRPr="005B572B" w:rsidRDefault="009653AF" w:rsidP="005B572B">
      <w:pPr>
        <w:spacing w:before="120" w:line="480" w:lineRule="auto"/>
        <w:rPr>
          <w:rFonts w:eastAsia="Calibri"/>
          <w:sz w:val="20"/>
        </w:rPr>
      </w:pPr>
      <w:r w:rsidRPr="005B572B">
        <w:rPr>
          <w:rFonts w:eastAsia="Calibri"/>
          <w:sz w:val="20"/>
        </w:rPr>
        <w:t xml:space="preserve">3 </w:t>
      </w:r>
      <w:r w:rsidRPr="005B572B">
        <w:rPr>
          <w:rFonts w:eastAsia="Calibri"/>
          <w:bCs/>
          <w:sz w:val="20"/>
        </w:rPr>
        <w:t>Department of Clinical Pharmacy, General Hospital of Northern Theater Command, Shenyang110840, People's Republic of China</w:t>
      </w:r>
    </w:p>
    <w:p w14:paraId="5F3F6307" w14:textId="77777777" w:rsidR="009653AF" w:rsidRPr="005B572B" w:rsidRDefault="009653AF" w:rsidP="005B572B">
      <w:pPr>
        <w:spacing w:line="480" w:lineRule="auto"/>
        <w:rPr>
          <w:rFonts w:eastAsia="Calibri"/>
          <w:sz w:val="20"/>
        </w:rPr>
      </w:pPr>
    </w:p>
    <w:p w14:paraId="1DC6E51A" w14:textId="77777777" w:rsidR="009653AF" w:rsidRPr="005B572B" w:rsidRDefault="009653AF" w:rsidP="005B572B">
      <w:pPr>
        <w:spacing w:line="480" w:lineRule="auto"/>
        <w:rPr>
          <w:rFonts w:eastAsia="Times New Roman"/>
          <w:bCs/>
          <w:sz w:val="20"/>
        </w:rPr>
      </w:pPr>
      <w:r w:rsidRPr="005B572B">
        <w:rPr>
          <w:rFonts w:eastAsia="Times New Roman"/>
          <w:bCs/>
          <w:sz w:val="20"/>
        </w:rPr>
        <w:t>*Correspondence authors</w:t>
      </w:r>
      <w:r w:rsidRPr="005B572B">
        <w:rPr>
          <w:rFonts w:eastAsia="宋体"/>
          <w:bCs/>
          <w:sz w:val="20"/>
        </w:rPr>
        <w:t>：</w:t>
      </w:r>
    </w:p>
    <w:p w14:paraId="724FDCF3" w14:textId="77777777" w:rsidR="009653AF" w:rsidRPr="005B572B" w:rsidRDefault="009653AF" w:rsidP="005B572B">
      <w:pPr>
        <w:spacing w:line="480" w:lineRule="auto"/>
        <w:rPr>
          <w:rFonts w:eastAsia="Times New Roman"/>
          <w:bCs/>
          <w:sz w:val="20"/>
        </w:rPr>
      </w:pPr>
      <w:bookmarkStart w:id="6" w:name="_Hlk92823425"/>
      <w:r w:rsidRPr="005B572B">
        <w:rPr>
          <w:rFonts w:eastAsia="Times New Roman"/>
          <w:bCs/>
          <w:sz w:val="20"/>
        </w:rPr>
        <w:t>Q.C. Zhao, Department of Clinical Pharmacy, Shenyang Pharmaceutical University, Shenyang 110840, People’s Republic of China.</w:t>
      </w:r>
    </w:p>
    <w:p w14:paraId="7CDC538E" w14:textId="77777777" w:rsidR="009653AF" w:rsidRPr="005B572B" w:rsidRDefault="009653AF" w:rsidP="005B572B">
      <w:pPr>
        <w:spacing w:line="480" w:lineRule="auto"/>
        <w:rPr>
          <w:rFonts w:eastAsia="Times New Roman"/>
          <w:bCs/>
          <w:sz w:val="20"/>
        </w:rPr>
      </w:pPr>
      <w:r w:rsidRPr="005B572B">
        <w:rPr>
          <w:rFonts w:eastAsia="Times New Roman"/>
          <w:bCs/>
          <w:sz w:val="20"/>
        </w:rPr>
        <w:t xml:space="preserve">Tel.: </w:t>
      </w:r>
      <w:bookmarkStart w:id="7" w:name="_Hlk92823648"/>
      <w:r w:rsidRPr="005B572B">
        <w:rPr>
          <w:rFonts w:eastAsia="Times New Roman"/>
          <w:bCs/>
          <w:sz w:val="20"/>
        </w:rPr>
        <w:t>86-24-28856262</w:t>
      </w:r>
      <w:bookmarkEnd w:id="7"/>
      <w:r w:rsidRPr="005B572B">
        <w:rPr>
          <w:rFonts w:eastAsia="Times New Roman"/>
          <w:bCs/>
          <w:sz w:val="20"/>
        </w:rPr>
        <w:t xml:space="preserve">, Email </w:t>
      </w:r>
      <w:r w:rsidRPr="005B572B">
        <w:rPr>
          <w:rFonts w:eastAsia="Times New Roman"/>
          <w:bCs/>
          <w:sz w:val="20"/>
          <w:u w:color="FA5050"/>
        </w:rPr>
        <w:t>address</w:t>
      </w:r>
      <w:r w:rsidRPr="005B572B">
        <w:rPr>
          <w:rFonts w:eastAsia="Times New Roman"/>
          <w:bCs/>
          <w:sz w:val="20"/>
        </w:rPr>
        <w:t xml:space="preserve">: </w:t>
      </w:r>
      <w:bookmarkStart w:id="8" w:name="_Hlk92823671"/>
      <w:r w:rsidRPr="005B572B">
        <w:rPr>
          <w:rFonts w:eastAsia="Times New Roman"/>
          <w:bCs/>
          <w:sz w:val="20"/>
        </w:rPr>
        <w:t>zhaoqingchun1967@163.com</w:t>
      </w:r>
      <w:bookmarkEnd w:id="8"/>
    </w:p>
    <w:bookmarkEnd w:id="6"/>
    <w:p w14:paraId="2B7E6367" w14:textId="77777777" w:rsidR="009653AF" w:rsidRPr="005B572B" w:rsidRDefault="009653AF" w:rsidP="005B572B">
      <w:pPr>
        <w:spacing w:line="480" w:lineRule="auto"/>
        <w:rPr>
          <w:rFonts w:eastAsia="Times New Roman"/>
          <w:bCs/>
          <w:sz w:val="20"/>
        </w:rPr>
      </w:pPr>
      <w:r w:rsidRPr="005B572B">
        <w:rPr>
          <w:rFonts w:eastAsia="Times New Roman"/>
          <w:bCs/>
          <w:sz w:val="20"/>
        </w:rPr>
        <w:t>X.W. Jiang, School of Traditional Chinese Materia Medica, Shenyang Pharmaceutical University, Shenyang 110016, People’s Republic of China.</w:t>
      </w:r>
    </w:p>
    <w:p w14:paraId="2AB820CA" w14:textId="77777777" w:rsidR="009653AF" w:rsidRPr="005B572B" w:rsidRDefault="009653AF" w:rsidP="005B572B">
      <w:pPr>
        <w:spacing w:line="480" w:lineRule="auto"/>
        <w:rPr>
          <w:rFonts w:eastAsia="Times New Roman"/>
          <w:bCs/>
          <w:color w:val="0000FF"/>
          <w:sz w:val="20"/>
          <w:u w:val="single"/>
        </w:rPr>
      </w:pPr>
      <w:r w:rsidRPr="005B572B">
        <w:rPr>
          <w:rFonts w:eastAsia="Times New Roman"/>
          <w:bCs/>
          <w:sz w:val="20"/>
        </w:rPr>
        <w:t xml:space="preserve">Tel.: 86-24-43520732, Email </w:t>
      </w:r>
      <w:r w:rsidRPr="005B572B">
        <w:rPr>
          <w:rFonts w:eastAsia="Times New Roman"/>
          <w:bCs/>
          <w:sz w:val="20"/>
          <w:u w:color="FA5050"/>
        </w:rPr>
        <w:t>address</w:t>
      </w:r>
      <w:r w:rsidRPr="005B572B">
        <w:rPr>
          <w:rFonts w:eastAsia="Times New Roman"/>
          <w:bCs/>
          <w:sz w:val="20"/>
        </w:rPr>
        <w:t>: jxwphu@syphu.edu.cn</w:t>
      </w:r>
      <w:bookmarkEnd w:id="3"/>
    </w:p>
    <w:p w14:paraId="220D8FCF" w14:textId="77777777" w:rsidR="0025181A" w:rsidRDefault="0025181A" w:rsidP="005B572B">
      <w:pPr>
        <w:spacing w:line="480" w:lineRule="auto"/>
        <w:rPr>
          <w:sz w:val="20"/>
        </w:rPr>
      </w:pPr>
    </w:p>
    <w:p w14:paraId="452346B4" w14:textId="77777777" w:rsidR="005B572B" w:rsidRDefault="005B572B" w:rsidP="005B572B">
      <w:pPr>
        <w:spacing w:line="480" w:lineRule="auto"/>
        <w:rPr>
          <w:sz w:val="20"/>
        </w:rPr>
      </w:pPr>
    </w:p>
    <w:p w14:paraId="70BAB508" w14:textId="77777777" w:rsidR="005B572B" w:rsidRDefault="005B572B" w:rsidP="005B572B">
      <w:pPr>
        <w:spacing w:line="480" w:lineRule="auto"/>
        <w:rPr>
          <w:sz w:val="20"/>
        </w:rPr>
      </w:pPr>
    </w:p>
    <w:p w14:paraId="6EF0B455" w14:textId="77777777" w:rsidR="005B572B" w:rsidRPr="005B572B" w:rsidRDefault="005B572B" w:rsidP="005B572B">
      <w:pPr>
        <w:spacing w:line="480" w:lineRule="auto"/>
        <w:rPr>
          <w:sz w:val="20"/>
        </w:rPr>
      </w:pPr>
    </w:p>
    <w:p w14:paraId="5154C31B" w14:textId="77777777" w:rsidR="00C63480" w:rsidRPr="005B572B" w:rsidRDefault="00C63480" w:rsidP="005B572B">
      <w:pPr>
        <w:spacing w:line="480" w:lineRule="auto"/>
        <w:rPr>
          <w:sz w:val="20"/>
          <w:lang w:eastAsia="zh-CN"/>
        </w:rPr>
      </w:pPr>
      <w:r w:rsidRPr="005B572B">
        <w:rPr>
          <w:b/>
          <w:sz w:val="20"/>
        </w:rPr>
        <w:t>This PDF file includes:</w:t>
      </w:r>
      <w:r w:rsidRPr="005B572B">
        <w:rPr>
          <w:rFonts w:hint="eastAsia"/>
          <w:b/>
          <w:sz w:val="20"/>
          <w:lang w:eastAsia="zh-CN"/>
        </w:rPr>
        <w:t xml:space="preserve"> </w:t>
      </w:r>
      <w:r w:rsidRPr="005B572B">
        <w:rPr>
          <w:sz w:val="20"/>
        </w:rPr>
        <w:t xml:space="preserve">Supplementary Fig. 1 to </w:t>
      </w:r>
      <w:r w:rsidRPr="005B572B">
        <w:rPr>
          <w:sz w:val="20"/>
          <w:lang w:eastAsia="zh-CN"/>
        </w:rPr>
        <w:t>8</w:t>
      </w:r>
      <w:bookmarkStart w:id="9" w:name="Tables"/>
      <w:bookmarkStart w:id="10" w:name="MaterialsMethods"/>
      <w:bookmarkEnd w:id="9"/>
      <w:bookmarkEnd w:id="10"/>
    </w:p>
    <w:p w14:paraId="1604BA0D" w14:textId="23430D3A" w:rsidR="00640E90" w:rsidRPr="005B572B" w:rsidRDefault="00C84876" w:rsidP="005B572B">
      <w:pPr>
        <w:spacing w:line="480" w:lineRule="auto"/>
        <w:rPr>
          <w:b/>
          <w:sz w:val="20"/>
        </w:rPr>
      </w:pPr>
      <w:r w:rsidRPr="005B572B">
        <w:rPr>
          <w:sz w:val="20"/>
        </w:rPr>
        <w:t>Whole un-cropped images of the original western blots</w:t>
      </w:r>
    </w:p>
    <w:p w14:paraId="12923ABF" w14:textId="5F6A8F34" w:rsidR="00015F74" w:rsidRPr="005B572B" w:rsidRDefault="00BB2D2A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lastRenderedPageBreak/>
        <w:t>Supplementary</w:t>
      </w:r>
      <w:r w:rsidR="00015F74" w:rsidRPr="005B572B">
        <w:rPr>
          <w:b/>
          <w:bCs/>
          <w:sz w:val="20"/>
        </w:rPr>
        <w:t xml:space="preserve"> </w:t>
      </w:r>
      <w:r w:rsidR="009653AF" w:rsidRPr="005B572B">
        <w:rPr>
          <w:b/>
          <w:bCs/>
          <w:sz w:val="20"/>
        </w:rPr>
        <w:t>Fig.</w:t>
      </w:r>
      <w:r w:rsidR="000C6457" w:rsidRPr="005B572B">
        <w:rPr>
          <w:b/>
          <w:bCs/>
          <w:sz w:val="20"/>
        </w:rPr>
        <w:t xml:space="preserve"> 1</w:t>
      </w:r>
      <w:r w:rsidR="009653AF" w:rsidRPr="005B572B">
        <w:rPr>
          <w:b/>
          <w:bCs/>
          <w:sz w:val="20"/>
        </w:rPr>
        <w:t xml:space="preserve"> Correlation of crucial pathology with CDR and PCA analysis.</w:t>
      </w:r>
    </w:p>
    <w:p w14:paraId="137869B0" w14:textId="6F4FD753" w:rsidR="00724136" w:rsidRPr="005B572B" w:rsidRDefault="00520C46" w:rsidP="005B572B">
      <w:pPr>
        <w:spacing w:line="480" w:lineRule="auto"/>
        <w:jc w:val="center"/>
        <w:rPr>
          <w:sz w:val="20"/>
        </w:rPr>
      </w:pPr>
      <w:r w:rsidRPr="005B572B">
        <w:rPr>
          <w:noProof/>
          <w:sz w:val="20"/>
        </w:rPr>
        <w:drawing>
          <wp:inline distT="0" distB="0" distL="0" distR="0" wp14:anchorId="385CB206" wp14:editId="592EB12C">
            <wp:extent cx="5943600" cy="16814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B6EDC" w14:textId="771B5E5C" w:rsidR="009653AF" w:rsidRPr="005B572B" w:rsidRDefault="00297AB8" w:rsidP="005B572B">
      <w:pPr>
        <w:spacing w:line="480" w:lineRule="auto"/>
        <w:jc w:val="both"/>
        <w:rPr>
          <w:rFonts w:hint="eastAsia"/>
          <w:sz w:val="20"/>
          <w:lang w:eastAsia="zh-CN"/>
        </w:rPr>
      </w:pPr>
      <w:r w:rsidRPr="005B572B">
        <w:rPr>
          <w:sz w:val="20"/>
        </w:rPr>
        <w:t>(A-B) Correlation analysis of Aβ and Tau pathology with CDR using Spearman's correlation coefficient</w:t>
      </w:r>
      <w:r w:rsidRPr="005B572B">
        <w:rPr>
          <w:sz w:val="20"/>
          <w:lang w:eastAsia="zh-CN"/>
        </w:rPr>
        <w:t xml:space="preserve">. (C) </w:t>
      </w:r>
      <w:r w:rsidR="00B72802" w:rsidRPr="005B572B">
        <w:rPr>
          <w:sz w:val="20"/>
          <w:lang w:eastAsia="zh-CN"/>
        </w:rPr>
        <w:t>PCA analysis of different CDR scores</w:t>
      </w:r>
    </w:p>
    <w:p w14:paraId="69DE827B" w14:textId="1A535FE2" w:rsidR="000C6457" w:rsidRPr="005B572B" w:rsidRDefault="000C6457" w:rsidP="005B572B">
      <w:pPr>
        <w:spacing w:line="480" w:lineRule="auto"/>
        <w:jc w:val="both"/>
        <w:rPr>
          <w:b/>
          <w:bCs/>
          <w:sz w:val="20"/>
        </w:rPr>
      </w:pPr>
      <w:r w:rsidRPr="005B572B">
        <w:rPr>
          <w:b/>
          <w:bCs/>
          <w:sz w:val="20"/>
        </w:rPr>
        <w:t xml:space="preserve">Supplementary </w:t>
      </w:r>
      <w:r w:rsidR="009653AF" w:rsidRPr="005B572B">
        <w:rPr>
          <w:b/>
          <w:bCs/>
          <w:sz w:val="20"/>
        </w:rPr>
        <w:t>Fig.</w:t>
      </w:r>
      <w:r w:rsidRPr="005B572B">
        <w:rPr>
          <w:b/>
          <w:bCs/>
          <w:sz w:val="20"/>
        </w:rPr>
        <w:t xml:space="preserve"> 2 </w:t>
      </w:r>
      <w:r w:rsidR="009653AF" w:rsidRPr="005B572B">
        <w:rPr>
          <w:b/>
          <w:bCs/>
          <w:sz w:val="20"/>
        </w:rPr>
        <w:t xml:space="preserve">The differential expression of candidate genes by cross-platform standardized data in </w:t>
      </w:r>
      <w:proofErr w:type="spellStart"/>
      <w:r w:rsidR="009653AF" w:rsidRPr="005B572B">
        <w:rPr>
          <w:b/>
          <w:bCs/>
          <w:sz w:val="20"/>
        </w:rPr>
        <w:t>Alzdata</w:t>
      </w:r>
      <w:proofErr w:type="spellEnd"/>
      <w:r w:rsidR="009653AF" w:rsidRPr="005B572B">
        <w:rPr>
          <w:b/>
          <w:bCs/>
          <w:sz w:val="20"/>
        </w:rPr>
        <w:t>.</w:t>
      </w:r>
    </w:p>
    <w:p w14:paraId="064885F1" w14:textId="6EDA393F" w:rsidR="00BE2B81" w:rsidRPr="005B572B" w:rsidRDefault="00BE2B81" w:rsidP="005B572B">
      <w:pPr>
        <w:pStyle w:val="DoiInfo"/>
        <w:spacing w:line="480" w:lineRule="auto"/>
      </w:pPr>
      <w:r w:rsidRPr="005B572B">
        <w:rPr>
          <w:noProof/>
        </w:rPr>
        <w:drawing>
          <wp:inline distT="0" distB="0" distL="0" distR="0" wp14:anchorId="7A71602E" wp14:editId="44DBB697">
            <wp:extent cx="5924550" cy="4550823"/>
            <wp:effectExtent l="0" t="0" r="0" b="2540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A526D208-76A7-4F3E-B543-F6386D1DAF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A526D208-76A7-4F3E-B543-F6386D1DAF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3882" cy="4573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4790D" w14:textId="38783879" w:rsidR="00C84876" w:rsidRPr="005B572B" w:rsidRDefault="00BE2B81" w:rsidP="005B572B">
      <w:pPr>
        <w:spacing w:line="480" w:lineRule="auto"/>
        <w:rPr>
          <w:sz w:val="20"/>
        </w:rPr>
      </w:pPr>
      <w:r w:rsidRPr="005B572B">
        <w:rPr>
          <w:sz w:val="20"/>
        </w:rPr>
        <w:t xml:space="preserve">(A) </w:t>
      </w:r>
      <w:r w:rsidRPr="005B572B">
        <w:rPr>
          <w:i/>
          <w:iCs/>
          <w:sz w:val="20"/>
        </w:rPr>
        <w:t>TGFBR3</w:t>
      </w:r>
      <w:r w:rsidRPr="005B572B">
        <w:rPr>
          <w:sz w:val="20"/>
        </w:rPr>
        <w:t xml:space="preserve"> (B) </w:t>
      </w:r>
      <w:r w:rsidRPr="005B572B">
        <w:rPr>
          <w:i/>
          <w:iCs/>
          <w:sz w:val="20"/>
        </w:rPr>
        <w:t>VIM</w:t>
      </w:r>
      <w:r w:rsidRPr="005B572B">
        <w:rPr>
          <w:sz w:val="20"/>
        </w:rPr>
        <w:t xml:space="preserve"> (C) </w:t>
      </w:r>
      <w:r w:rsidRPr="005B572B">
        <w:rPr>
          <w:i/>
          <w:iCs/>
          <w:sz w:val="20"/>
        </w:rPr>
        <w:t>AGT</w:t>
      </w:r>
      <w:r w:rsidRPr="005B572B">
        <w:rPr>
          <w:sz w:val="20"/>
        </w:rPr>
        <w:t xml:space="preserve"> (D) </w:t>
      </w:r>
      <w:r w:rsidRPr="005B572B">
        <w:rPr>
          <w:i/>
          <w:iCs/>
          <w:sz w:val="20"/>
        </w:rPr>
        <w:t>CD44</w:t>
      </w:r>
      <w:r w:rsidRPr="005B572B">
        <w:rPr>
          <w:sz w:val="20"/>
        </w:rPr>
        <w:t xml:space="preserve"> (E) </w:t>
      </w:r>
      <w:r w:rsidRPr="005B572B">
        <w:rPr>
          <w:i/>
          <w:iCs/>
          <w:sz w:val="20"/>
        </w:rPr>
        <w:t>PLCE1</w:t>
      </w:r>
      <w:r w:rsidRPr="005B572B">
        <w:rPr>
          <w:sz w:val="20"/>
        </w:rPr>
        <w:t xml:space="preserve"> (F) </w:t>
      </w:r>
      <w:r w:rsidRPr="005B572B">
        <w:rPr>
          <w:i/>
          <w:iCs/>
          <w:sz w:val="20"/>
        </w:rPr>
        <w:t>FN1</w:t>
      </w:r>
      <w:r w:rsidRPr="005B572B">
        <w:rPr>
          <w:sz w:val="20"/>
        </w:rPr>
        <w:t xml:space="preserve">. </w:t>
      </w:r>
      <w:r w:rsidRPr="005B572B">
        <w:rPr>
          <w:sz w:val="20"/>
          <w:vertAlign w:val="superscript"/>
        </w:rPr>
        <w:t>ns</w:t>
      </w:r>
      <w:r w:rsidRPr="005B572B">
        <w:rPr>
          <w:sz w:val="20"/>
        </w:rPr>
        <w:t xml:space="preserve"> </w:t>
      </w:r>
      <w:r w:rsidR="000C6457" w:rsidRPr="005B572B">
        <w:rPr>
          <w:i/>
          <w:iCs/>
          <w:sz w:val="20"/>
        </w:rPr>
        <w:t>P</w:t>
      </w:r>
      <w:r w:rsidRPr="005B572B">
        <w:rPr>
          <w:sz w:val="20"/>
        </w:rPr>
        <w:t>&gt;0.05, *</w:t>
      </w:r>
      <w:r w:rsidR="000C6457" w:rsidRPr="005B572B">
        <w:rPr>
          <w:i/>
          <w:iCs/>
          <w:sz w:val="20"/>
        </w:rPr>
        <w:t>P</w:t>
      </w:r>
      <w:r w:rsidRPr="005B572B">
        <w:rPr>
          <w:sz w:val="20"/>
        </w:rPr>
        <w:t xml:space="preserve"> &lt; 0.05, **</w:t>
      </w:r>
      <w:r w:rsidR="000C6457" w:rsidRPr="005B572B">
        <w:rPr>
          <w:i/>
          <w:iCs/>
          <w:sz w:val="20"/>
        </w:rPr>
        <w:t>P</w:t>
      </w:r>
      <w:r w:rsidRPr="005B572B">
        <w:rPr>
          <w:sz w:val="20"/>
        </w:rPr>
        <w:t xml:space="preserve"> &lt; 0.01, ***</w:t>
      </w:r>
      <w:r w:rsidR="000C6457" w:rsidRPr="005B572B">
        <w:rPr>
          <w:i/>
          <w:iCs/>
          <w:sz w:val="20"/>
        </w:rPr>
        <w:t>P</w:t>
      </w:r>
      <w:r w:rsidRPr="005B572B">
        <w:rPr>
          <w:sz w:val="20"/>
        </w:rPr>
        <w:t xml:space="preserve"> &lt; 0.001.</w:t>
      </w:r>
    </w:p>
    <w:p w14:paraId="11A83505" w14:textId="38313921" w:rsidR="000C6457" w:rsidRPr="005B572B" w:rsidRDefault="000C6457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lastRenderedPageBreak/>
        <w:t xml:space="preserve">Supplementary </w:t>
      </w:r>
      <w:r w:rsidR="009653AF" w:rsidRPr="005B572B">
        <w:rPr>
          <w:b/>
          <w:bCs/>
          <w:sz w:val="20"/>
        </w:rPr>
        <w:t>Fig.</w:t>
      </w:r>
      <w:r w:rsidRPr="005B572B">
        <w:rPr>
          <w:b/>
          <w:bCs/>
          <w:sz w:val="20"/>
        </w:rPr>
        <w:t xml:space="preserve"> 3</w:t>
      </w:r>
      <w:r w:rsidR="009653AF" w:rsidRPr="005B572B">
        <w:rPr>
          <w:b/>
          <w:bCs/>
          <w:sz w:val="20"/>
        </w:rPr>
        <w:t xml:space="preserve"> The expression level of </w:t>
      </w:r>
      <w:r w:rsidR="009653AF" w:rsidRPr="005B572B">
        <w:rPr>
          <w:b/>
          <w:bCs/>
          <w:i/>
          <w:iCs/>
          <w:sz w:val="20"/>
        </w:rPr>
        <w:t>TGFBR3</w:t>
      </w:r>
      <w:r w:rsidR="009653AF" w:rsidRPr="005B572B">
        <w:rPr>
          <w:b/>
          <w:bCs/>
          <w:sz w:val="20"/>
        </w:rPr>
        <w:t xml:space="preserve"> in the single-cell type of brain.</w:t>
      </w:r>
    </w:p>
    <w:p w14:paraId="14B84E1E" w14:textId="77777777" w:rsidR="003D38E8" w:rsidRPr="005B572B" w:rsidRDefault="003D38E8" w:rsidP="005B572B">
      <w:pPr>
        <w:pStyle w:val="DoiInfo"/>
        <w:spacing w:line="480" w:lineRule="auto"/>
      </w:pPr>
      <w:r w:rsidRPr="005B572B">
        <w:rPr>
          <w:noProof/>
        </w:rPr>
        <w:drawing>
          <wp:inline distT="0" distB="0" distL="0" distR="0" wp14:anchorId="060A905D" wp14:editId="736EBEAD">
            <wp:extent cx="4924425" cy="25868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226" cy="2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0FD92" w14:textId="61CAB46A" w:rsidR="009653AF" w:rsidRPr="005B572B" w:rsidRDefault="003D38E8" w:rsidP="005B572B">
      <w:pPr>
        <w:spacing w:line="480" w:lineRule="auto"/>
        <w:jc w:val="both"/>
        <w:rPr>
          <w:sz w:val="20"/>
        </w:rPr>
      </w:pPr>
      <w:r w:rsidRPr="005B572B">
        <w:rPr>
          <w:sz w:val="20"/>
        </w:rPr>
        <w:t xml:space="preserve">(A) Different color classifications represent different cell groups, including microglia, </w:t>
      </w:r>
      <w:r w:rsidR="002A72FB" w:rsidRPr="005B572B">
        <w:rPr>
          <w:sz w:val="20"/>
        </w:rPr>
        <w:t>oligodendrocyte precursor cells</w:t>
      </w:r>
      <w:r w:rsidRPr="005B572B">
        <w:rPr>
          <w:sz w:val="20"/>
        </w:rPr>
        <w:t xml:space="preserve">, inhibitory neurons, and </w:t>
      </w:r>
      <w:r w:rsidR="002A72FB" w:rsidRPr="005B572B">
        <w:rPr>
          <w:sz w:val="20"/>
        </w:rPr>
        <w:t>astrocytes</w:t>
      </w:r>
      <w:r w:rsidRPr="005B572B">
        <w:rPr>
          <w:sz w:val="20"/>
        </w:rPr>
        <w:t xml:space="preserve">. (B) The expression level of </w:t>
      </w:r>
      <w:r w:rsidRPr="005B572B">
        <w:rPr>
          <w:i/>
          <w:iCs/>
          <w:sz w:val="20"/>
        </w:rPr>
        <w:t>TGFBR3</w:t>
      </w:r>
      <w:r w:rsidRPr="005B572B">
        <w:rPr>
          <w:sz w:val="20"/>
        </w:rPr>
        <w:t xml:space="preserve"> in different cell types, only the top 10 cell types </w:t>
      </w:r>
      <w:r w:rsidR="00F0582F" w:rsidRPr="005B572B">
        <w:rPr>
          <w:sz w:val="20"/>
        </w:rPr>
        <w:t>were</w:t>
      </w:r>
      <w:r w:rsidRPr="005B572B">
        <w:rPr>
          <w:sz w:val="20"/>
        </w:rPr>
        <w:t xml:space="preserve"> shown.</w:t>
      </w:r>
      <w:r w:rsidR="00F0582F" w:rsidRPr="005B572B">
        <w:rPr>
          <w:sz w:val="20"/>
        </w:rPr>
        <w:t xml:space="preserve"> the data was from The Human Protein Atlas (</w:t>
      </w:r>
      <w:hyperlink r:id="rId14" w:history="1">
        <w:r w:rsidR="009653AF" w:rsidRPr="005B572B">
          <w:rPr>
            <w:rStyle w:val="affff5"/>
            <w:sz w:val="20"/>
          </w:rPr>
          <w:t>https://www.proteinatlas.org</w:t>
        </w:r>
      </w:hyperlink>
      <w:r w:rsidR="00F0582F" w:rsidRPr="005B572B">
        <w:rPr>
          <w:sz w:val="20"/>
        </w:rPr>
        <w:t>).</w:t>
      </w:r>
    </w:p>
    <w:p w14:paraId="4BCCAC96" w14:textId="309B7466" w:rsidR="000C6457" w:rsidRPr="005B572B" w:rsidRDefault="000C6457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 xml:space="preserve">Supplementary </w:t>
      </w:r>
      <w:r w:rsidR="009653AF" w:rsidRPr="005B572B">
        <w:rPr>
          <w:b/>
          <w:bCs/>
          <w:sz w:val="20"/>
        </w:rPr>
        <w:t>Fig.</w:t>
      </w:r>
      <w:r w:rsidRPr="005B572B">
        <w:rPr>
          <w:b/>
          <w:bCs/>
          <w:sz w:val="20"/>
        </w:rPr>
        <w:t xml:space="preserve"> 4</w:t>
      </w:r>
      <w:r w:rsidR="009653AF" w:rsidRPr="005B572B">
        <w:rPr>
          <w:b/>
          <w:bCs/>
          <w:sz w:val="20"/>
        </w:rPr>
        <w:t xml:space="preserve"> Pathology in which TGFBR3 participates in aging mice and AD patients.</w:t>
      </w:r>
    </w:p>
    <w:p w14:paraId="3FF03D25" w14:textId="2545DD1B" w:rsidR="008218C4" w:rsidRPr="005B572B" w:rsidRDefault="00B5116D" w:rsidP="005B572B">
      <w:pPr>
        <w:pStyle w:val="SMcaption"/>
        <w:spacing w:line="480" w:lineRule="auto"/>
        <w:rPr>
          <w:kern w:val="2"/>
          <w:sz w:val="20"/>
          <w:lang w:eastAsia="zh-CN"/>
        </w:rPr>
      </w:pPr>
      <w:r w:rsidRPr="005B572B">
        <w:rPr>
          <w:noProof/>
          <w:kern w:val="2"/>
          <w:sz w:val="20"/>
          <w:lang w:eastAsia="zh-CN"/>
        </w:rPr>
        <w:drawing>
          <wp:inline distT="0" distB="0" distL="0" distR="0" wp14:anchorId="177E6AF6" wp14:editId="5A0A40DE">
            <wp:extent cx="5935345" cy="3654425"/>
            <wp:effectExtent l="0" t="0" r="825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65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C54CA" w14:textId="05C32A15" w:rsidR="00D51F12" w:rsidRPr="005B572B" w:rsidRDefault="00E44D5E" w:rsidP="005B572B">
      <w:pPr>
        <w:spacing w:line="480" w:lineRule="auto"/>
        <w:jc w:val="both"/>
        <w:rPr>
          <w:sz w:val="20"/>
          <w:lang w:eastAsia="zh-CN"/>
        </w:rPr>
      </w:pPr>
      <w:r w:rsidRPr="005B572B">
        <w:rPr>
          <w:sz w:val="20"/>
          <w:lang w:eastAsia="zh-CN"/>
        </w:rPr>
        <w:lastRenderedPageBreak/>
        <w:t>(A-B) Immunoblotting analysis of P-Smad2/3 and Smad2/3 in aging mice brain extracts. The ratio of P-Smad2/3 and Smad2/3 relative intensity to GAPDH was quantified (</w:t>
      </w:r>
      <w:r w:rsidRPr="005B572B">
        <w:rPr>
          <w:i/>
          <w:iCs/>
          <w:sz w:val="20"/>
          <w:lang w:eastAsia="zh-CN"/>
        </w:rPr>
        <w:t>n</w:t>
      </w:r>
      <w:r w:rsidRPr="005B572B">
        <w:rPr>
          <w:sz w:val="20"/>
          <w:lang w:eastAsia="zh-CN"/>
        </w:rPr>
        <w:t xml:space="preserve"> = 4). Data were presented as mean ± SEM. **</w:t>
      </w:r>
      <w:r w:rsidR="000C6457" w:rsidRPr="005B572B">
        <w:rPr>
          <w:i/>
          <w:iCs/>
          <w:sz w:val="20"/>
          <w:lang w:eastAsia="zh-CN"/>
        </w:rPr>
        <w:t>P</w:t>
      </w:r>
      <w:r w:rsidRPr="005B572B">
        <w:rPr>
          <w:sz w:val="20"/>
          <w:lang w:eastAsia="zh-CN"/>
        </w:rPr>
        <w:t xml:space="preserve"> &lt; 0.01, ***</w:t>
      </w:r>
      <w:r w:rsidR="000C6457" w:rsidRPr="005B572B">
        <w:rPr>
          <w:i/>
          <w:iCs/>
          <w:sz w:val="20"/>
          <w:lang w:eastAsia="zh-CN"/>
        </w:rPr>
        <w:t>P</w:t>
      </w:r>
      <w:r w:rsidRPr="005B572B">
        <w:rPr>
          <w:sz w:val="20"/>
          <w:lang w:eastAsia="zh-CN"/>
        </w:rPr>
        <w:t xml:space="preserve"> &lt; 0.001 one-way ANOVA test.</w:t>
      </w:r>
      <w:r w:rsidR="000C6457" w:rsidRPr="005B572B">
        <w:rPr>
          <w:sz w:val="20"/>
          <w:lang w:eastAsia="zh-CN"/>
        </w:rPr>
        <w:t xml:space="preserve"> </w:t>
      </w:r>
      <w:r w:rsidRPr="005B572B">
        <w:rPr>
          <w:sz w:val="20"/>
          <w:lang w:eastAsia="zh-CN"/>
        </w:rPr>
        <w:t xml:space="preserve">(C) Representative immunofluorescence image of plaque-associated TGFBR3 in the AD patient cortex. Scale bar, 10 </w:t>
      </w:r>
      <w:proofErr w:type="spellStart"/>
      <w:r w:rsidRPr="005B572B">
        <w:rPr>
          <w:sz w:val="20"/>
          <w:lang w:eastAsia="zh-CN"/>
        </w:rPr>
        <w:t>μM</w:t>
      </w:r>
      <w:proofErr w:type="spellEnd"/>
      <w:r w:rsidRPr="005B572B">
        <w:rPr>
          <w:sz w:val="20"/>
          <w:lang w:eastAsia="zh-CN"/>
        </w:rPr>
        <w:t xml:space="preserve">. </w:t>
      </w:r>
    </w:p>
    <w:p w14:paraId="3F685C2D" w14:textId="202BCC09" w:rsidR="000C6457" w:rsidRPr="005B572B" w:rsidRDefault="000C6457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 xml:space="preserve">Supplementary </w:t>
      </w:r>
      <w:r w:rsidR="009653AF" w:rsidRPr="005B572B">
        <w:rPr>
          <w:b/>
          <w:bCs/>
          <w:sz w:val="20"/>
        </w:rPr>
        <w:t>Fig.</w:t>
      </w:r>
      <w:r w:rsidRPr="005B572B">
        <w:rPr>
          <w:b/>
          <w:bCs/>
          <w:sz w:val="20"/>
        </w:rPr>
        <w:t xml:space="preserve"> 5</w:t>
      </w:r>
      <w:r w:rsidR="009653AF" w:rsidRPr="005B572B">
        <w:rPr>
          <w:b/>
          <w:bCs/>
          <w:sz w:val="20"/>
        </w:rPr>
        <w:t xml:space="preserve"> sTGFBR3 is involved in the phagocytosis and chemotaxis of microglia.</w:t>
      </w:r>
    </w:p>
    <w:p w14:paraId="070BAD25" w14:textId="22F32783" w:rsidR="00F30741" w:rsidRPr="005B572B" w:rsidRDefault="007057A6" w:rsidP="005B572B">
      <w:pPr>
        <w:pStyle w:val="DoiInfo"/>
        <w:spacing w:line="480" w:lineRule="auto"/>
        <w:rPr>
          <w:b/>
          <w:bCs/>
        </w:rPr>
      </w:pPr>
      <w:r w:rsidRPr="005B572B">
        <w:rPr>
          <w:noProof/>
        </w:rPr>
        <w:drawing>
          <wp:inline distT="0" distB="0" distL="0" distR="0" wp14:anchorId="091F3A1F" wp14:editId="68B92CA8">
            <wp:extent cx="5943600" cy="5546725"/>
            <wp:effectExtent l="0" t="0" r="0" b="0"/>
            <wp:docPr id="21129192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4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AE8C0" w14:textId="77777777" w:rsidR="006573C2" w:rsidRPr="005B572B" w:rsidRDefault="006573C2" w:rsidP="005B572B">
      <w:pPr>
        <w:pStyle w:val="DoiInfo"/>
        <w:spacing w:line="480" w:lineRule="auto"/>
        <w:rPr>
          <w:b/>
          <w:bCs/>
        </w:rPr>
      </w:pPr>
    </w:p>
    <w:p w14:paraId="0A9B5C00" w14:textId="2B32170F" w:rsidR="009653AF" w:rsidRPr="005B572B" w:rsidRDefault="002B35AA" w:rsidP="005B572B">
      <w:pPr>
        <w:spacing w:line="480" w:lineRule="auto"/>
        <w:jc w:val="both"/>
        <w:rPr>
          <w:rFonts w:hint="eastAsia"/>
          <w:sz w:val="20"/>
          <w:lang w:eastAsia="zh-CN"/>
        </w:rPr>
      </w:pPr>
      <w:r w:rsidRPr="005B572B">
        <w:rPr>
          <w:sz w:val="20"/>
          <w:lang w:eastAsia="zh-CN"/>
        </w:rPr>
        <w:t>(A-</w:t>
      </w:r>
      <w:r w:rsidR="00905147" w:rsidRPr="005B572B">
        <w:rPr>
          <w:sz w:val="20"/>
          <w:lang w:eastAsia="zh-CN"/>
        </w:rPr>
        <w:t>B</w:t>
      </w:r>
      <w:r w:rsidRPr="005B572B">
        <w:rPr>
          <w:sz w:val="20"/>
          <w:lang w:eastAsia="zh-CN"/>
        </w:rPr>
        <w:t>)</w:t>
      </w:r>
      <w:r w:rsidR="00F76743" w:rsidRPr="005B572B">
        <w:rPr>
          <w:sz w:val="20"/>
          <w:lang w:eastAsia="zh-CN"/>
        </w:rPr>
        <w:t xml:space="preserve"> </w:t>
      </w:r>
      <w:bookmarkStart w:id="11" w:name="_Hlk119504429"/>
      <w:r w:rsidR="00884E28" w:rsidRPr="005B572B">
        <w:rPr>
          <w:sz w:val="20"/>
          <w:lang w:eastAsia="zh-CN"/>
        </w:rPr>
        <w:t xml:space="preserve">Representative </w:t>
      </w:r>
      <w:bookmarkStart w:id="12" w:name="_Hlk119506198"/>
      <w:r w:rsidR="00884E28" w:rsidRPr="005B572B">
        <w:rPr>
          <w:sz w:val="20"/>
          <w:lang w:eastAsia="zh-CN"/>
        </w:rPr>
        <w:t>immunofluorescence image</w:t>
      </w:r>
      <w:bookmarkEnd w:id="12"/>
      <w:r w:rsidR="00884E28" w:rsidRPr="005B572B">
        <w:rPr>
          <w:sz w:val="20"/>
          <w:lang w:eastAsia="zh-CN"/>
        </w:rPr>
        <w:t xml:space="preserve"> of plaque-associated microglia in the cortex. Scale bar, 20 </w:t>
      </w:r>
      <w:proofErr w:type="spellStart"/>
      <w:r w:rsidR="00884E28" w:rsidRPr="005B572B">
        <w:rPr>
          <w:sz w:val="20"/>
          <w:lang w:eastAsia="zh-CN"/>
        </w:rPr>
        <w:t>μM</w:t>
      </w:r>
      <w:proofErr w:type="spellEnd"/>
      <w:r w:rsidR="00884E28" w:rsidRPr="005B572B">
        <w:rPr>
          <w:sz w:val="20"/>
          <w:lang w:eastAsia="zh-CN"/>
        </w:rPr>
        <w:t>. Circle indicates the edge of Aβ plaque. Quantification of the distance between microglia and the center of Aβ plaques in APP/PS1 (</w:t>
      </w:r>
      <w:r w:rsidR="007C3215" w:rsidRPr="005B572B">
        <w:rPr>
          <w:i/>
          <w:iCs/>
          <w:sz w:val="20"/>
          <w:lang w:eastAsia="zh-CN"/>
        </w:rPr>
        <w:t>n</w:t>
      </w:r>
      <w:r w:rsidR="007C3215" w:rsidRPr="005B572B">
        <w:rPr>
          <w:sz w:val="20"/>
          <w:lang w:eastAsia="zh-CN"/>
        </w:rPr>
        <w:t xml:space="preserve"> = 39 to 50 slices from three mice per group</w:t>
      </w:r>
      <w:r w:rsidR="00884E28" w:rsidRPr="005B572B">
        <w:rPr>
          <w:sz w:val="20"/>
          <w:lang w:eastAsia="zh-CN"/>
        </w:rPr>
        <w:t xml:space="preserve">) and APP/PS1 </w:t>
      </w:r>
      <w:r w:rsidR="009002C0" w:rsidRPr="005B572B">
        <w:rPr>
          <w:sz w:val="20"/>
          <w:lang w:eastAsia="zh-CN"/>
        </w:rPr>
        <w:t>knockdown</w:t>
      </w:r>
      <w:r w:rsidR="00884E28" w:rsidRPr="005B572B">
        <w:rPr>
          <w:sz w:val="20"/>
          <w:lang w:eastAsia="zh-CN"/>
        </w:rPr>
        <w:t xml:space="preserve"> </w:t>
      </w:r>
      <w:r w:rsidR="009002C0" w:rsidRPr="005B572B">
        <w:rPr>
          <w:sz w:val="20"/>
          <w:lang w:eastAsia="zh-CN"/>
        </w:rPr>
        <w:t>s</w:t>
      </w:r>
      <w:r w:rsidR="00884E28" w:rsidRPr="005B572B">
        <w:rPr>
          <w:sz w:val="20"/>
          <w:lang w:eastAsia="zh-CN"/>
        </w:rPr>
        <w:t>TGFBR3 mice (</w:t>
      </w:r>
      <w:r w:rsidR="00884E28" w:rsidRPr="005B572B">
        <w:rPr>
          <w:i/>
          <w:iCs/>
          <w:sz w:val="20"/>
          <w:lang w:eastAsia="zh-CN"/>
        </w:rPr>
        <w:t>n</w:t>
      </w:r>
      <w:r w:rsidR="00884E28" w:rsidRPr="005B572B">
        <w:rPr>
          <w:sz w:val="20"/>
          <w:lang w:eastAsia="zh-CN"/>
        </w:rPr>
        <w:t xml:space="preserve"> = 39 microglia </w:t>
      </w:r>
      <w:r w:rsidR="00884E28" w:rsidRPr="005B572B">
        <w:rPr>
          <w:sz w:val="20"/>
          <w:lang w:eastAsia="zh-CN"/>
        </w:rPr>
        <w:lastRenderedPageBreak/>
        <w:t>from 3 mice). Data were presented as mean ± SEM. ***</w:t>
      </w:r>
      <w:r w:rsidR="000C6457" w:rsidRPr="005B572B">
        <w:rPr>
          <w:i/>
          <w:iCs/>
          <w:sz w:val="20"/>
          <w:lang w:eastAsia="zh-CN"/>
        </w:rPr>
        <w:t>P</w:t>
      </w:r>
      <w:r w:rsidR="00884E28" w:rsidRPr="005B572B">
        <w:rPr>
          <w:sz w:val="20"/>
          <w:lang w:eastAsia="zh-CN"/>
        </w:rPr>
        <w:t xml:space="preserve"> &lt; 0.001, student’s t-test.</w:t>
      </w:r>
      <w:bookmarkEnd w:id="11"/>
      <w:r w:rsidR="000C6457" w:rsidRPr="005B572B">
        <w:rPr>
          <w:sz w:val="20"/>
          <w:lang w:eastAsia="zh-CN"/>
        </w:rPr>
        <w:t xml:space="preserve"> </w:t>
      </w:r>
      <w:r w:rsidR="00B5116D" w:rsidRPr="005B572B">
        <w:rPr>
          <w:sz w:val="20"/>
          <w:lang w:eastAsia="zh-CN"/>
        </w:rPr>
        <w:t>(</w:t>
      </w:r>
      <w:r w:rsidR="00905147" w:rsidRPr="005B572B">
        <w:rPr>
          <w:sz w:val="20"/>
          <w:lang w:eastAsia="zh-CN"/>
        </w:rPr>
        <w:t>C-</w:t>
      </w:r>
      <w:r w:rsidRPr="005B572B">
        <w:rPr>
          <w:sz w:val="20"/>
          <w:lang w:eastAsia="zh-CN"/>
        </w:rPr>
        <w:t>D</w:t>
      </w:r>
      <w:r w:rsidR="00B5116D" w:rsidRPr="005B572B">
        <w:rPr>
          <w:sz w:val="20"/>
          <w:lang w:eastAsia="zh-CN"/>
        </w:rPr>
        <w:t xml:space="preserve">) </w:t>
      </w:r>
      <w:r w:rsidR="00884E28" w:rsidRPr="005B572B">
        <w:rPr>
          <w:sz w:val="20"/>
          <w:lang w:eastAsia="zh-CN"/>
        </w:rPr>
        <w:t>Immunoblotting analysis of TREM2 and Iba1 in APP/PS1 mouse brain extracts. The ratio of TREM2 and Iba1 relative intensity to GAPDH was quantified (</w:t>
      </w:r>
      <w:r w:rsidR="00884E28" w:rsidRPr="005B572B">
        <w:rPr>
          <w:i/>
          <w:iCs/>
          <w:sz w:val="20"/>
          <w:lang w:eastAsia="zh-CN"/>
        </w:rPr>
        <w:t>n</w:t>
      </w:r>
      <w:r w:rsidR="00884E28" w:rsidRPr="005B572B">
        <w:rPr>
          <w:sz w:val="20"/>
          <w:lang w:eastAsia="zh-CN"/>
        </w:rPr>
        <w:t xml:space="preserve"> = 3). Data were presented as mean ± SEM. *</w:t>
      </w:r>
      <w:r w:rsidR="000C6457" w:rsidRPr="005B572B">
        <w:rPr>
          <w:i/>
          <w:iCs/>
          <w:sz w:val="20"/>
          <w:lang w:eastAsia="zh-CN"/>
        </w:rPr>
        <w:t>P</w:t>
      </w:r>
      <w:r w:rsidR="00884E28" w:rsidRPr="005B572B">
        <w:rPr>
          <w:sz w:val="20"/>
          <w:lang w:eastAsia="zh-CN"/>
        </w:rPr>
        <w:t xml:space="preserve"> &lt; 0.05, one-way ANOVA test.</w:t>
      </w:r>
      <w:r w:rsidR="000C6457" w:rsidRPr="005B572B">
        <w:rPr>
          <w:sz w:val="20"/>
          <w:lang w:eastAsia="zh-CN"/>
        </w:rPr>
        <w:t xml:space="preserve"> </w:t>
      </w:r>
      <w:r w:rsidR="00E7621E" w:rsidRPr="005B572B">
        <w:rPr>
          <w:sz w:val="20"/>
          <w:lang w:eastAsia="zh-CN"/>
        </w:rPr>
        <w:t xml:space="preserve">(F-H) </w:t>
      </w:r>
      <w:r w:rsidR="008C7A38" w:rsidRPr="005B572B">
        <w:rPr>
          <w:sz w:val="20"/>
          <w:lang w:eastAsia="zh-CN"/>
        </w:rPr>
        <w:t>Immunoblotting analysis of CCR2 and MCP1 in APP/PS1 mouse brain extracts. The ratio of CCR2 and MCP1 relative intensity to GAPDH was quantified (</w:t>
      </w:r>
      <w:r w:rsidR="008C7A38" w:rsidRPr="005B572B">
        <w:rPr>
          <w:i/>
          <w:iCs/>
          <w:sz w:val="20"/>
          <w:lang w:eastAsia="zh-CN"/>
        </w:rPr>
        <w:t>n</w:t>
      </w:r>
      <w:r w:rsidR="008C7A38" w:rsidRPr="005B572B">
        <w:rPr>
          <w:sz w:val="20"/>
          <w:lang w:eastAsia="zh-CN"/>
        </w:rPr>
        <w:t xml:space="preserve"> = </w:t>
      </w:r>
      <w:r w:rsidR="006678AC" w:rsidRPr="005B572B">
        <w:rPr>
          <w:sz w:val="20"/>
          <w:lang w:eastAsia="zh-CN"/>
        </w:rPr>
        <w:t>4</w:t>
      </w:r>
      <w:r w:rsidR="008C7A38" w:rsidRPr="005B572B">
        <w:rPr>
          <w:sz w:val="20"/>
          <w:lang w:eastAsia="zh-CN"/>
        </w:rPr>
        <w:t xml:space="preserve">). Data were presented as mean </w:t>
      </w:r>
      <w:r w:rsidR="00EF7CA8" w:rsidRPr="005B572B">
        <w:rPr>
          <w:sz w:val="20"/>
          <w:lang w:eastAsia="zh-CN"/>
        </w:rPr>
        <w:t>±</w:t>
      </w:r>
      <w:r w:rsidR="008C7A38" w:rsidRPr="005B572B">
        <w:rPr>
          <w:sz w:val="20"/>
          <w:lang w:eastAsia="zh-CN"/>
        </w:rPr>
        <w:t xml:space="preserve"> SEM. *</w:t>
      </w:r>
      <w:r w:rsidR="000C6457" w:rsidRPr="005B572B">
        <w:rPr>
          <w:i/>
          <w:iCs/>
          <w:sz w:val="20"/>
          <w:lang w:eastAsia="zh-CN"/>
        </w:rPr>
        <w:t>P</w:t>
      </w:r>
      <w:r w:rsidR="008C7A38" w:rsidRPr="005B572B">
        <w:rPr>
          <w:sz w:val="20"/>
          <w:lang w:eastAsia="zh-CN"/>
        </w:rPr>
        <w:t xml:space="preserve"> &lt; 0.05, one-way ANOVA test.</w:t>
      </w:r>
      <w:r w:rsidR="0022232F" w:rsidRPr="005B572B">
        <w:rPr>
          <w:sz w:val="20"/>
          <w:lang w:eastAsia="zh-CN"/>
        </w:rPr>
        <w:t xml:space="preserve"> </w:t>
      </w:r>
    </w:p>
    <w:p w14:paraId="2DE21F93" w14:textId="43ED308D" w:rsidR="000C6457" w:rsidRPr="005B572B" w:rsidRDefault="000C6457" w:rsidP="005B572B">
      <w:pPr>
        <w:spacing w:line="480" w:lineRule="auto"/>
        <w:jc w:val="both"/>
        <w:rPr>
          <w:b/>
          <w:bCs/>
          <w:sz w:val="20"/>
        </w:rPr>
      </w:pPr>
      <w:r w:rsidRPr="005B572B">
        <w:rPr>
          <w:b/>
          <w:bCs/>
          <w:sz w:val="20"/>
        </w:rPr>
        <w:t xml:space="preserve">Supplementary </w:t>
      </w:r>
      <w:r w:rsidR="009653AF" w:rsidRPr="005B572B">
        <w:rPr>
          <w:b/>
          <w:bCs/>
          <w:sz w:val="20"/>
        </w:rPr>
        <w:t>Fig.</w:t>
      </w:r>
      <w:r w:rsidRPr="005B572B">
        <w:rPr>
          <w:b/>
          <w:bCs/>
          <w:sz w:val="20"/>
        </w:rPr>
        <w:t xml:space="preserve"> 6</w:t>
      </w:r>
      <w:r w:rsidR="009653AF" w:rsidRPr="005B572B">
        <w:rPr>
          <w:b/>
          <w:bCs/>
          <w:sz w:val="20"/>
        </w:rPr>
        <w:t xml:space="preserve"> sTGFBR3 knockdown promotes the polarization of M1 pro-inflammatory microglia into M2 anti-inflammatory microglia.</w:t>
      </w:r>
    </w:p>
    <w:p w14:paraId="2CCFBCFB" w14:textId="683EE686" w:rsidR="00AE4E97" w:rsidRPr="005B572B" w:rsidRDefault="000624E1" w:rsidP="005B572B">
      <w:pPr>
        <w:pStyle w:val="DoiInfo"/>
        <w:spacing w:line="480" w:lineRule="auto"/>
      </w:pPr>
      <w:r w:rsidRPr="005B572B">
        <w:rPr>
          <w:noProof/>
        </w:rPr>
        <w:drawing>
          <wp:inline distT="0" distB="0" distL="0" distR="0" wp14:anchorId="6A46618B" wp14:editId="75AC261C">
            <wp:extent cx="5943600" cy="48863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5A1C7" w14:textId="3BAB7377" w:rsidR="00D51F12" w:rsidRPr="005B572B" w:rsidRDefault="0001594E" w:rsidP="005B572B">
      <w:pPr>
        <w:spacing w:line="480" w:lineRule="auto"/>
        <w:jc w:val="both"/>
        <w:rPr>
          <w:b/>
          <w:bCs/>
          <w:sz w:val="20"/>
        </w:rPr>
      </w:pPr>
      <w:r w:rsidRPr="005B572B">
        <w:rPr>
          <w:sz w:val="20"/>
          <w:lang w:eastAsia="zh-CN"/>
        </w:rPr>
        <w:t>(A</w:t>
      </w:r>
      <w:r w:rsidR="00EB088A" w:rsidRPr="005B572B">
        <w:rPr>
          <w:sz w:val="20"/>
          <w:lang w:eastAsia="zh-CN"/>
        </w:rPr>
        <w:t>-D</w:t>
      </w:r>
      <w:r w:rsidRPr="005B572B">
        <w:rPr>
          <w:sz w:val="20"/>
          <w:lang w:eastAsia="zh-CN"/>
        </w:rPr>
        <w:t xml:space="preserve">) ELISA analysis of </w:t>
      </w:r>
      <w:r w:rsidR="00EB088A" w:rsidRPr="005B572B">
        <w:rPr>
          <w:sz w:val="20"/>
          <w:lang w:eastAsia="zh-CN"/>
        </w:rPr>
        <w:t>IL-6</w:t>
      </w:r>
      <w:r w:rsidRPr="005B572B">
        <w:rPr>
          <w:sz w:val="20"/>
          <w:lang w:eastAsia="zh-CN"/>
        </w:rPr>
        <w:t xml:space="preserve"> and </w:t>
      </w:r>
      <w:r w:rsidR="00EB088A" w:rsidRPr="005B572B">
        <w:rPr>
          <w:sz w:val="20"/>
          <w:lang w:eastAsia="zh-CN"/>
        </w:rPr>
        <w:t>TNFα</w:t>
      </w:r>
      <w:r w:rsidRPr="005B572B">
        <w:rPr>
          <w:sz w:val="20"/>
          <w:lang w:eastAsia="zh-CN"/>
        </w:rPr>
        <w:t xml:space="preserve"> in </w:t>
      </w:r>
      <w:r w:rsidR="00EE6A14" w:rsidRPr="005B572B">
        <w:rPr>
          <w:sz w:val="20"/>
          <w:lang w:eastAsia="zh-CN"/>
        </w:rPr>
        <w:t xml:space="preserve">cortex and hippocampus of </w:t>
      </w:r>
      <w:r w:rsidRPr="005B572B">
        <w:rPr>
          <w:sz w:val="20"/>
          <w:lang w:eastAsia="zh-CN"/>
        </w:rPr>
        <w:t>APP/PS1 mouse</w:t>
      </w:r>
      <w:r w:rsidR="00C31845" w:rsidRPr="005B572B">
        <w:rPr>
          <w:sz w:val="20"/>
          <w:lang w:eastAsia="zh-CN"/>
        </w:rPr>
        <w:t xml:space="preserve"> </w:t>
      </w:r>
      <w:r w:rsidRPr="005B572B">
        <w:rPr>
          <w:sz w:val="20"/>
          <w:lang w:eastAsia="zh-CN"/>
        </w:rPr>
        <w:t>(</w:t>
      </w:r>
      <w:r w:rsidRPr="005B572B">
        <w:rPr>
          <w:i/>
          <w:iCs/>
          <w:sz w:val="20"/>
          <w:lang w:eastAsia="zh-CN"/>
        </w:rPr>
        <w:t>n</w:t>
      </w:r>
      <w:r w:rsidRPr="005B572B">
        <w:rPr>
          <w:sz w:val="20"/>
          <w:lang w:eastAsia="zh-CN"/>
        </w:rPr>
        <w:t xml:space="preserve"> = </w:t>
      </w:r>
      <w:r w:rsidR="00D9239E" w:rsidRPr="005B572B">
        <w:rPr>
          <w:sz w:val="20"/>
          <w:lang w:eastAsia="zh-CN"/>
        </w:rPr>
        <w:t>6</w:t>
      </w:r>
      <w:r w:rsidRPr="005B572B">
        <w:rPr>
          <w:sz w:val="20"/>
          <w:lang w:eastAsia="zh-CN"/>
        </w:rPr>
        <w:t>). Data were presented as mean ± SEM. *</w:t>
      </w:r>
      <w:r w:rsidR="00BA562E" w:rsidRPr="005B572B">
        <w:rPr>
          <w:i/>
          <w:iCs/>
          <w:sz w:val="20"/>
          <w:lang w:eastAsia="zh-CN"/>
        </w:rPr>
        <w:t>P</w:t>
      </w:r>
      <w:r w:rsidRPr="005B572B">
        <w:rPr>
          <w:sz w:val="20"/>
          <w:lang w:eastAsia="zh-CN"/>
        </w:rPr>
        <w:t xml:space="preserve"> &lt; 0.05, </w:t>
      </w:r>
      <w:r w:rsidR="00C31845" w:rsidRPr="005B572B">
        <w:rPr>
          <w:sz w:val="20"/>
          <w:lang w:eastAsia="zh-CN"/>
        </w:rPr>
        <w:t>**</w:t>
      </w:r>
      <w:r w:rsidR="00BA562E" w:rsidRPr="005B572B">
        <w:rPr>
          <w:i/>
          <w:iCs/>
          <w:sz w:val="20"/>
          <w:lang w:eastAsia="zh-CN"/>
        </w:rPr>
        <w:t>P</w:t>
      </w:r>
      <w:r w:rsidR="00C31845" w:rsidRPr="005B572B">
        <w:rPr>
          <w:sz w:val="20"/>
          <w:lang w:eastAsia="zh-CN"/>
        </w:rPr>
        <w:t xml:space="preserve"> &lt; 0.01, </w:t>
      </w:r>
      <w:r w:rsidRPr="005B572B">
        <w:rPr>
          <w:sz w:val="20"/>
          <w:lang w:eastAsia="zh-CN"/>
        </w:rPr>
        <w:t>one-way ANOVA test.</w:t>
      </w:r>
      <w:r w:rsidR="00BA562E" w:rsidRPr="005B572B">
        <w:rPr>
          <w:sz w:val="20"/>
          <w:lang w:eastAsia="zh-CN"/>
        </w:rPr>
        <w:t xml:space="preserve"> </w:t>
      </w:r>
      <w:r w:rsidR="00F51691" w:rsidRPr="005B572B">
        <w:rPr>
          <w:sz w:val="20"/>
          <w:lang w:eastAsia="zh-CN"/>
        </w:rPr>
        <w:t>(E-G)</w:t>
      </w:r>
      <w:r w:rsidR="006678AC" w:rsidRPr="005B572B">
        <w:rPr>
          <w:sz w:val="20"/>
          <w:lang w:eastAsia="zh-CN"/>
        </w:rPr>
        <w:t xml:space="preserve"> </w:t>
      </w:r>
      <w:r w:rsidR="00145F72" w:rsidRPr="005B572B">
        <w:rPr>
          <w:sz w:val="20"/>
          <w:lang w:eastAsia="zh-CN"/>
        </w:rPr>
        <w:t>Immunoblotting analysis of IL-10 and IL-4 in APP/PS1 mouse brain extracts. The ratio of IL-10 and IL-4 relative intensity to GAPDH was quantified (</w:t>
      </w:r>
      <w:r w:rsidR="00145F72" w:rsidRPr="005B572B">
        <w:rPr>
          <w:i/>
          <w:iCs/>
          <w:sz w:val="20"/>
          <w:lang w:eastAsia="zh-CN"/>
        </w:rPr>
        <w:t>n</w:t>
      </w:r>
      <w:r w:rsidR="00145F72" w:rsidRPr="005B572B">
        <w:rPr>
          <w:sz w:val="20"/>
          <w:lang w:eastAsia="zh-CN"/>
        </w:rPr>
        <w:t xml:space="preserve"> = 3). Data were presented as mean ± SEM. *</w:t>
      </w:r>
      <w:r w:rsidR="00BA562E" w:rsidRPr="005B572B">
        <w:rPr>
          <w:i/>
          <w:iCs/>
          <w:sz w:val="20"/>
          <w:lang w:eastAsia="zh-CN"/>
        </w:rPr>
        <w:t>P</w:t>
      </w:r>
      <w:r w:rsidR="00145F72" w:rsidRPr="005B572B">
        <w:rPr>
          <w:sz w:val="20"/>
          <w:lang w:eastAsia="zh-CN"/>
        </w:rPr>
        <w:t xml:space="preserve"> &lt; 0.05, **</w:t>
      </w:r>
      <w:r w:rsidR="00BA562E" w:rsidRPr="005B572B">
        <w:rPr>
          <w:i/>
          <w:iCs/>
          <w:sz w:val="20"/>
          <w:lang w:eastAsia="zh-CN"/>
        </w:rPr>
        <w:t>P</w:t>
      </w:r>
      <w:r w:rsidR="00145F72" w:rsidRPr="005B572B">
        <w:rPr>
          <w:sz w:val="20"/>
          <w:lang w:eastAsia="zh-CN"/>
        </w:rPr>
        <w:t xml:space="preserve"> &lt; 0.01, one-way ANOVA test.</w:t>
      </w:r>
      <w:r w:rsidR="00BA562E" w:rsidRPr="005B572B">
        <w:rPr>
          <w:sz w:val="20"/>
          <w:lang w:eastAsia="zh-CN"/>
        </w:rPr>
        <w:t xml:space="preserve"> </w:t>
      </w:r>
      <w:r w:rsidR="000C7001" w:rsidRPr="005B572B">
        <w:rPr>
          <w:sz w:val="20"/>
          <w:lang w:eastAsia="zh-CN"/>
        </w:rPr>
        <w:t xml:space="preserve">(H-J) </w:t>
      </w:r>
      <w:r w:rsidR="00145F72" w:rsidRPr="005B572B">
        <w:rPr>
          <w:sz w:val="20"/>
          <w:lang w:eastAsia="zh-CN"/>
        </w:rPr>
        <w:t xml:space="preserve">Immunoblotting analysis of </w:t>
      </w:r>
      <w:r w:rsidR="00145F72" w:rsidRPr="005B572B">
        <w:rPr>
          <w:sz w:val="20"/>
          <w:lang w:eastAsia="zh-CN"/>
        </w:rPr>
        <w:lastRenderedPageBreak/>
        <w:t>NLRP3 and P65 in APP/PS1 mouse brain extracts. The ratio of NLRP3 and P65 relative intensity to GAPDH was quantified (</w:t>
      </w:r>
      <w:r w:rsidR="00145F72" w:rsidRPr="005B572B">
        <w:rPr>
          <w:i/>
          <w:iCs/>
          <w:sz w:val="20"/>
          <w:lang w:eastAsia="zh-CN"/>
        </w:rPr>
        <w:t xml:space="preserve">n </w:t>
      </w:r>
      <w:r w:rsidR="00145F72" w:rsidRPr="005B572B">
        <w:rPr>
          <w:sz w:val="20"/>
          <w:lang w:eastAsia="zh-CN"/>
        </w:rPr>
        <w:t>= 5~8). Data were presented as mean ± SEM. ***</w:t>
      </w:r>
      <w:r w:rsidR="00145F72" w:rsidRPr="005B572B">
        <w:rPr>
          <w:i/>
          <w:iCs/>
          <w:sz w:val="20"/>
          <w:lang w:eastAsia="zh-CN"/>
        </w:rPr>
        <w:t>p</w:t>
      </w:r>
      <w:r w:rsidR="00145F72" w:rsidRPr="005B572B">
        <w:rPr>
          <w:sz w:val="20"/>
          <w:lang w:eastAsia="zh-CN"/>
        </w:rPr>
        <w:t xml:space="preserve"> &lt; 0.001, one-way ANOVA test.</w:t>
      </w:r>
    </w:p>
    <w:p w14:paraId="2D8268AD" w14:textId="16EC52BC" w:rsidR="00CA715C" w:rsidRPr="005B572B" w:rsidRDefault="00CA715C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 xml:space="preserve">Supplementary </w:t>
      </w:r>
      <w:r w:rsidR="009653AF" w:rsidRPr="005B572B">
        <w:rPr>
          <w:b/>
          <w:bCs/>
          <w:sz w:val="20"/>
        </w:rPr>
        <w:t>Fig.</w:t>
      </w:r>
      <w:r w:rsidRPr="005B572B">
        <w:rPr>
          <w:b/>
          <w:bCs/>
          <w:sz w:val="20"/>
        </w:rPr>
        <w:t xml:space="preserve"> 7</w:t>
      </w:r>
      <w:r w:rsidR="009653AF" w:rsidRPr="005B572B">
        <w:rPr>
          <w:b/>
          <w:bCs/>
          <w:sz w:val="20"/>
        </w:rPr>
        <w:t xml:space="preserve"> sTGFBR3 knockdown can restore synaptic plasticity in STZ-induced mice.</w:t>
      </w:r>
    </w:p>
    <w:p w14:paraId="2F5F5DC0" w14:textId="1CA14EAA" w:rsidR="00A20932" w:rsidRPr="005B572B" w:rsidRDefault="00C417BE" w:rsidP="005B572B">
      <w:pPr>
        <w:pStyle w:val="DoiInfo"/>
        <w:spacing w:line="480" w:lineRule="auto"/>
      </w:pPr>
      <w:r w:rsidRPr="005B572B">
        <w:rPr>
          <w:noProof/>
        </w:rPr>
        <w:drawing>
          <wp:inline distT="0" distB="0" distL="0" distR="0" wp14:anchorId="6ADE5F8E" wp14:editId="79A7813A">
            <wp:extent cx="5729288" cy="5467920"/>
            <wp:effectExtent l="0" t="0" r="508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882" cy="547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94964" w14:textId="3B796DFA" w:rsidR="009653AF" w:rsidRPr="005B572B" w:rsidRDefault="00926243" w:rsidP="005B572B">
      <w:pPr>
        <w:spacing w:line="480" w:lineRule="auto"/>
        <w:jc w:val="both"/>
        <w:rPr>
          <w:rFonts w:hint="eastAsia"/>
          <w:sz w:val="20"/>
          <w:lang w:eastAsia="zh-CN"/>
        </w:rPr>
      </w:pPr>
      <w:r w:rsidRPr="005B572B">
        <w:rPr>
          <w:sz w:val="20"/>
          <w:lang w:eastAsia="zh-CN"/>
        </w:rPr>
        <w:t xml:space="preserve">(A-B) </w:t>
      </w:r>
      <w:r w:rsidR="00212A4A" w:rsidRPr="005B572B">
        <w:rPr>
          <w:sz w:val="20"/>
          <w:lang w:eastAsia="zh-CN"/>
        </w:rPr>
        <w:t xml:space="preserve">Neuronal loss was analyzed in 6-month-old WT, STZ-induced and </w:t>
      </w:r>
      <w:r w:rsidR="00AB46C4" w:rsidRPr="005B572B">
        <w:rPr>
          <w:sz w:val="20"/>
          <w:lang w:eastAsia="zh-CN"/>
        </w:rPr>
        <w:t xml:space="preserve">sTGFBR3 knockdown: STZ-induced </w:t>
      </w:r>
      <w:r w:rsidR="00212A4A" w:rsidRPr="005B572B">
        <w:rPr>
          <w:sz w:val="20"/>
          <w:lang w:eastAsia="zh-CN"/>
        </w:rPr>
        <w:t>mice. Neuronal density in cortical layer 5 of cortex and hippocampus was analyzed by Nissl staining</w:t>
      </w:r>
      <w:r w:rsidR="007C3215" w:rsidRPr="005B572B">
        <w:rPr>
          <w:sz w:val="20"/>
          <w:lang w:eastAsia="zh-CN"/>
        </w:rPr>
        <w:t xml:space="preserve"> (</w:t>
      </w:r>
      <w:r w:rsidR="007C3215" w:rsidRPr="005B572B">
        <w:rPr>
          <w:i/>
          <w:iCs/>
          <w:sz w:val="20"/>
          <w:lang w:eastAsia="zh-CN"/>
        </w:rPr>
        <w:t>n</w:t>
      </w:r>
      <w:r w:rsidR="007C3215" w:rsidRPr="005B572B">
        <w:rPr>
          <w:sz w:val="20"/>
          <w:lang w:eastAsia="zh-CN"/>
        </w:rPr>
        <w:t xml:space="preserve"> = 6 slices from three mice per group)</w:t>
      </w:r>
      <w:r w:rsidR="00212A4A" w:rsidRPr="005B572B">
        <w:rPr>
          <w:sz w:val="20"/>
          <w:lang w:eastAsia="zh-CN"/>
        </w:rPr>
        <w:t xml:space="preserve">. </w:t>
      </w:r>
      <w:r w:rsidR="00C47D67" w:rsidRPr="005B572B">
        <w:rPr>
          <w:sz w:val="20"/>
          <w:lang w:eastAsia="zh-CN"/>
        </w:rPr>
        <w:t xml:space="preserve">Scale bar, 200 </w:t>
      </w:r>
      <w:proofErr w:type="spellStart"/>
      <w:r w:rsidR="00C47D67" w:rsidRPr="005B572B">
        <w:rPr>
          <w:sz w:val="20"/>
          <w:lang w:eastAsia="zh-CN"/>
        </w:rPr>
        <w:t>μm</w:t>
      </w:r>
      <w:proofErr w:type="spellEnd"/>
      <w:r w:rsidR="00C47D67" w:rsidRPr="005B572B">
        <w:rPr>
          <w:sz w:val="20"/>
          <w:lang w:eastAsia="zh-CN"/>
        </w:rPr>
        <w:t xml:space="preserve">; magnified inset, 50 </w:t>
      </w:r>
      <w:proofErr w:type="spellStart"/>
      <w:r w:rsidR="00C47D67" w:rsidRPr="005B572B">
        <w:rPr>
          <w:sz w:val="20"/>
          <w:lang w:eastAsia="zh-CN"/>
        </w:rPr>
        <w:t>μm</w:t>
      </w:r>
      <w:proofErr w:type="spellEnd"/>
      <w:r w:rsidR="00175E30" w:rsidRPr="005B572B">
        <w:rPr>
          <w:sz w:val="20"/>
          <w:lang w:eastAsia="zh-CN"/>
        </w:rPr>
        <w:t>.</w:t>
      </w:r>
      <w:r w:rsidR="0034327B" w:rsidRPr="005B572B">
        <w:rPr>
          <w:sz w:val="20"/>
          <w:lang w:eastAsia="zh-CN"/>
        </w:rPr>
        <w:t xml:space="preserve"> Data were presented as mean ± SEM. *</w:t>
      </w:r>
      <w:r w:rsidR="00CA715C" w:rsidRPr="005B572B">
        <w:rPr>
          <w:i/>
          <w:iCs/>
          <w:sz w:val="20"/>
          <w:lang w:eastAsia="zh-CN"/>
        </w:rPr>
        <w:t>P</w:t>
      </w:r>
      <w:r w:rsidR="0034327B" w:rsidRPr="005B572B">
        <w:rPr>
          <w:sz w:val="20"/>
          <w:lang w:eastAsia="zh-CN"/>
        </w:rPr>
        <w:t xml:space="preserve"> &lt; 0.05, ***</w:t>
      </w:r>
      <w:r w:rsidR="00CA715C" w:rsidRPr="005B572B">
        <w:rPr>
          <w:i/>
          <w:iCs/>
          <w:sz w:val="20"/>
          <w:lang w:eastAsia="zh-CN"/>
        </w:rPr>
        <w:t>P</w:t>
      </w:r>
      <w:r w:rsidR="0034327B" w:rsidRPr="005B572B">
        <w:rPr>
          <w:sz w:val="20"/>
          <w:lang w:eastAsia="zh-CN"/>
        </w:rPr>
        <w:t xml:space="preserve"> &lt; 0.001, one-way ANOVA test.</w:t>
      </w:r>
      <w:r w:rsidR="00CA715C" w:rsidRPr="005B572B">
        <w:rPr>
          <w:sz w:val="20"/>
          <w:lang w:eastAsia="zh-CN"/>
        </w:rPr>
        <w:t xml:space="preserve"> </w:t>
      </w:r>
      <w:r w:rsidR="00571EEA" w:rsidRPr="005B572B">
        <w:rPr>
          <w:sz w:val="20"/>
          <w:lang w:eastAsia="zh-CN"/>
        </w:rPr>
        <w:t xml:space="preserve">(C-F) </w:t>
      </w:r>
      <w:r w:rsidR="00C21A09" w:rsidRPr="005B572B">
        <w:rPr>
          <w:sz w:val="20"/>
          <w:lang w:eastAsia="zh-CN"/>
        </w:rPr>
        <w:t>Immunoblotting analysis of synaptic associated protein including PSD95, SYT and SYP in STZ-induced mouse brain extracts. The ratio of protein relative intensity to GAPDH was quantified (</w:t>
      </w:r>
      <w:r w:rsidR="00C21A09" w:rsidRPr="005B572B">
        <w:rPr>
          <w:i/>
          <w:iCs/>
          <w:sz w:val="20"/>
          <w:lang w:eastAsia="zh-CN"/>
        </w:rPr>
        <w:t>n</w:t>
      </w:r>
      <w:r w:rsidR="00C21A09" w:rsidRPr="005B572B">
        <w:rPr>
          <w:sz w:val="20"/>
          <w:lang w:eastAsia="zh-CN"/>
        </w:rPr>
        <w:t xml:space="preserve"> = </w:t>
      </w:r>
      <w:r w:rsidR="00DE3404" w:rsidRPr="005B572B">
        <w:rPr>
          <w:sz w:val="20"/>
          <w:lang w:eastAsia="zh-CN"/>
        </w:rPr>
        <w:t>4</w:t>
      </w:r>
      <w:r w:rsidR="00C21A09" w:rsidRPr="005B572B">
        <w:rPr>
          <w:sz w:val="20"/>
          <w:lang w:eastAsia="zh-CN"/>
        </w:rPr>
        <w:t>~</w:t>
      </w:r>
      <w:r w:rsidR="00DE3404" w:rsidRPr="005B572B">
        <w:rPr>
          <w:sz w:val="20"/>
          <w:lang w:eastAsia="zh-CN"/>
        </w:rPr>
        <w:t>6</w:t>
      </w:r>
      <w:r w:rsidR="00C21A09" w:rsidRPr="005B572B">
        <w:rPr>
          <w:sz w:val="20"/>
          <w:lang w:eastAsia="zh-CN"/>
        </w:rPr>
        <w:t xml:space="preserve">). Data were presented as mean ± SEM. </w:t>
      </w:r>
      <w:r w:rsidR="0078398C" w:rsidRPr="005B572B">
        <w:rPr>
          <w:sz w:val="20"/>
          <w:lang w:eastAsia="zh-CN"/>
        </w:rPr>
        <w:t>*</w:t>
      </w:r>
      <w:r w:rsidR="00CA715C" w:rsidRPr="005B572B">
        <w:rPr>
          <w:i/>
          <w:iCs/>
          <w:sz w:val="20"/>
          <w:lang w:eastAsia="zh-CN"/>
        </w:rPr>
        <w:t>P</w:t>
      </w:r>
      <w:r w:rsidR="0078398C" w:rsidRPr="005B572B">
        <w:rPr>
          <w:sz w:val="20"/>
          <w:lang w:eastAsia="zh-CN"/>
        </w:rPr>
        <w:t xml:space="preserve"> &lt; 0.05, </w:t>
      </w:r>
      <w:r w:rsidR="00C21A09" w:rsidRPr="005B572B">
        <w:rPr>
          <w:sz w:val="20"/>
          <w:lang w:eastAsia="zh-CN"/>
        </w:rPr>
        <w:t>***</w:t>
      </w:r>
      <w:r w:rsidR="00CA715C" w:rsidRPr="005B572B">
        <w:rPr>
          <w:i/>
          <w:iCs/>
          <w:sz w:val="20"/>
          <w:lang w:eastAsia="zh-CN"/>
        </w:rPr>
        <w:t>P</w:t>
      </w:r>
      <w:r w:rsidR="00C21A09" w:rsidRPr="005B572B">
        <w:rPr>
          <w:sz w:val="20"/>
          <w:lang w:eastAsia="zh-CN"/>
        </w:rPr>
        <w:t xml:space="preserve"> &lt; 0.001, one-way ANOVA test</w:t>
      </w:r>
      <w:r w:rsidR="00D3786F" w:rsidRPr="005B572B">
        <w:rPr>
          <w:sz w:val="20"/>
          <w:lang w:eastAsia="zh-CN"/>
        </w:rPr>
        <w:t>.</w:t>
      </w:r>
      <w:r w:rsidR="002B32B3" w:rsidRPr="005B572B">
        <w:rPr>
          <w:sz w:val="20"/>
          <w:lang w:eastAsia="zh-CN"/>
        </w:rPr>
        <w:t xml:space="preserve"> </w:t>
      </w:r>
    </w:p>
    <w:p w14:paraId="1E528836" w14:textId="77777777" w:rsidR="009653AF" w:rsidRPr="005B572B" w:rsidRDefault="0025181A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lastRenderedPageBreak/>
        <w:t xml:space="preserve">Supplementary </w:t>
      </w:r>
      <w:r w:rsidR="009653AF" w:rsidRPr="005B572B">
        <w:rPr>
          <w:b/>
          <w:bCs/>
          <w:sz w:val="20"/>
        </w:rPr>
        <w:t>Fig.</w:t>
      </w:r>
      <w:r w:rsidRPr="005B572B">
        <w:rPr>
          <w:b/>
          <w:bCs/>
          <w:sz w:val="20"/>
        </w:rPr>
        <w:t xml:space="preserve"> 8</w:t>
      </w:r>
      <w:r w:rsidR="009653AF" w:rsidRPr="005B572B">
        <w:rPr>
          <w:b/>
          <w:bCs/>
          <w:sz w:val="20"/>
        </w:rPr>
        <w:t xml:space="preserve"> Correlation analysis of classical TGF-β family ligand receptors with CDR using Spearman's correlation </w:t>
      </w:r>
      <w:proofErr w:type="spellStart"/>
      <w:r w:rsidR="009653AF" w:rsidRPr="005B572B">
        <w:rPr>
          <w:b/>
          <w:bCs/>
          <w:sz w:val="20"/>
        </w:rPr>
        <w:t>coefficie</w:t>
      </w:r>
      <w:proofErr w:type="spellEnd"/>
    </w:p>
    <w:p w14:paraId="5E63DBF4" w14:textId="5F404F7D" w:rsidR="006573C2" w:rsidRPr="005B572B" w:rsidRDefault="006573C2" w:rsidP="005B572B">
      <w:pPr>
        <w:spacing w:line="480" w:lineRule="auto"/>
        <w:jc w:val="both"/>
        <w:rPr>
          <w:b/>
          <w:bCs/>
          <w:sz w:val="20"/>
        </w:rPr>
      </w:pPr>
    </w:p>
    <w:p w14:paraId="26C090D9" w14:textId="556CDE14" w:rsidR="00D07C22" w:rsidRPr="005B572B" w:rsidRDefault="002A78C8" w:rsidP="005B572B">
      <w:pPr>
        <w:pStyle w:val="DoiInfo"/>
        <w:spacing w:line="480" w:lineRule="auto"/>
      </w:pPr>
      <w:r w:rsidRPr="005B572B">
        <w:rPr>
          <w:noProof/>
        </w:rPr>
        <w:drawing>
          <wp:inline distT="0" distB="0" distL="0" distR="0" wp14:anchorId="4C908360" wp14:editId="1E084164">
            <wp:extent cx="5698045" cy="305276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1177" cy="305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F99F7" w14:textId="70173EBB" w:rsidR="008E768D" w:rsidRPr="005B572B" w:rsidRDefault="008E768D" w:rsidP="005B572B">
      <w:pPr>
        <w:spacing w:line="480" w:lineRule="auto"/>
        <w:rPr>
          <w:sz w:val="20"/>
        </w:rPr>
      </w:pPr>
      <w:r w:rsidRPr="005B572B">
        <w:rPr>
          <w:sz w:val="20"/>
        </w:rPr>
        <w:t xml:space="preserve">(A) </w:t>
      </w:r>
      <w:r w:rsidRPr="005B572B">
        <w:rPr>
          <w:i/>
          <w:iCs/>
          <w:sz w:val="20"/>
        </w:rPr>
        <w:t>TGFBR1</w:t>
      </w:r>
      <w:r w:rsidRPr="005B572B">
        <w:rPr>
          <w:sz w:val="20"/>
        </w:rPr>
        <w:t xml:space="preserve"> (</w:t>
      </w:r>
      <w:r w:rsidR="00350BAA" w:rsidRPr="005B572B">
        <w:rPr>
          <w:sz w:val="20"/>
        </w:rPr>
        <w:t>B</w:t>
      </w:r>
      <w:r w:rsidRPr="005B572B">
        <w:rPr>
          <w:sz w:val="20"/>
        </w:rPr>
        <w:t xml:space="preserve">) </w:t>
      </w:r>
      <w:r w:rsidRPr="005B572B">
        <w:rPr>
          <w:i/>
          <w:iCs/>
          <w:sz w:val="20"/>
        </w:rPr>
        <w:t>TGFBR</w:t>
      </w:r>
      <w:r w:rsidRPr="005B572B">
        <w:rPr>
          <w:sz w:val="20"/>
        </w:rPr>
        <w:t xml:space="preserve"> 2(</w:t>
      </w:r>
      <w:r w:rsidR="00350BAA" w:rsidRPr="005B572B">
        <w:rPr>
          <w:sz w:val="20"/>
        </w:rPr>
        <w:t>C</w:t>
      </w:r>
      <w:r w:rsidRPr="005B572B">
        <w:rPr>
          <w:sz w:val="20"/>
        </w:rPr>
        <w:t>)</w:t>
      </w:r>
      <w:r w:rsidRPr="005B572B">
        <w:rPr>
          <w:i/>
          <w:iCs/>
          <w:sz w:val="20"/>
        </w:rPr>
        <w:t xml:space="preserve"> TGFBR3</w:t>
      </w:r>
      <w:r w:rsidRPr="005B572B">
        <w:rPr>
          <w:sz w:val="20"/>
        </w:rPr>
        <w:t xml:space="preserve"> (</w:t>
      </w:r>
      <w:r w:rsidR="00350BAA" w:rsidRPr="005B572B">
        <w:rPr>
          <w:sz w:val="20"/>
        </w:rPr>
        <w:t>D</w:t>
      </w:r>
      <w:r w:rsidRPr="005B572B">
        <w:rPr>
          <w:sz w:val="20"/>
        </w:rPr>
        <w:t xml:space="preserve">) </w:t>
      </w:r>
      <w:r w:rsidRPr="005B572B">
        <w:rPr>
          <w:i/>
          <w:iCs/>
          <w:sz w:val="20"/>
        </w:rPr>
        <w:t>TGF-</w:t>
      </w:r>
      <w:r w:rsidRPr="005B572B">
        <w:rPr>
          <w:i/>
          <w:iCs/>
          <w:sz w:val="20"/>
          <w:lang w:eastAsia="zh-CN"/>
        </w:rPr>
        <w:t>β</w:t>
      </w:r>
      <w:r w:rsidRPr="005B572B">
        <w:rPr>
          <w:i/>
          <w:iCs/>
          <w:sz w:val="20"/>
        </w:rPr>
        <w:t>1</w:t>
      </w:r>
      <w:r w:rsidRPr="005B572B">
        <w:rPr>
          <w:sz w:val="20"/>
        </w:rPr>
        <w:t xml:space="preserve"> (</w:t>
      </w:r>
      <w:r w:rsidR="00350BAA" w:rsidRPr="005B572B">
        <w:rPr>
          <w:sz w:val="20"/>
        </w:rPr>
        <w:t>E</w:t>
      </w:r>
      <w:r w:rsidRPr="005B572B">
        <w:rPr>
          <w:sz w:val="20"/>
        </w:rPr>
        <w:t xml:space="preserve">) </w:t>
      </w:r>
      <w:r w:rsidRPr="005B572B">
        <w:rPr>
          <w:i/>
          <w:iCs/>
          <w:sz w:val="20"/>
        </w:rPr>
        <w:t>TGF-</w:t>
      </w:r>
      <w:r w:rsidRPr="005B572B">
        <w:rPr>
          <w:i/>
          <w:iCs/>
          <w:sz w:val="20"/>
          <w:lang w:eastAsia="zh-CN"/>
        </w:rPr>
        <w:t>β</w:t>
      </w:r>
      <w:r w:rsidRPr="005B572B">
        <w:rPr>
          <w:i/>
          <w:iCs/>
          <w:sz w:val="20"/>
        </w:rPr>
        <w:t>2</w:t>
      </w:r>
      <w:r w:rsidRPr="005B572B">
        <w:rPr>
          <w:i/>
          <w:iCs/>
          <w:sz w:val="20"/>
          <w:lang w:eastAsia="zh-CN"/>
        </w:rPr>
        <w:t>,</w:t>
      </w:r>
      <w:r w:rsidR="00350BAA" w:rsidRPr="005B572B">
        <w:rPr>
          <w:i/>
          <w:iCs/>
          <w:sz w:val="20"/>
          <w:lang w:eastAsia="zh-CN"/>
        </w:rPr>
        <w:t xml:space="preserve"> </w:t>
      </w:r>
      <w:r w:rsidR="00350BAA" w:rsidRPr="005B572B">
        <w:rPr>
          <w:sz w:val="20"/>
          <w:lang w:eastAsia="zh-CN"/>
        </w:rPr>
        <w:t>(F)</w:t>
      </w:r>
      <w:r w:rsidR="00350BAA" w:rsidRPr="005B572B">
        <w:rPr>
          <w:sz w:val="20"/>
        </w:rPr>
        <w:t xml:space="preserve"> </w:t>
      </w:r>
      <w:r w:rsidR="00350BAA" w:rsidRPr="005B572B">
        <w:rPr>
          <w:i/>
          <w:iCs/>
          <w:sz w:val="20"/>
        </w:rPr>
        <w:t>TGF-</w:t>
      </w:r>
      <w:r w:rsidR="00350BAA" w:rsidRPr="005B572B">
        <w:rPr>
          <w:i/>
          <w:iCs/>
          <w:sz w:val="20"/>
          <w:lang w:eastAsia="zh-CN"/>
        </w:rPr>
        <w:t>β</w:t>
      </w:r>
      <w:r w:rsidR="00350BAA" w:rsidRPr="005B572B">
        <w:rPr>
          <w:sz w:val="20"/>
        </w:rPr>
        <w:t>3.</w:t>
      </w:r>
    </w:p>
    <w:p w14:paraId="2C903AE3" w14:textId="77777777" w:rsidR="00C84876" w:rsidRPr="005B572B" w:rsidRDefault="00C84876" w:rsidP="005B572B">
      <w:pPr>
        <w:pStyle w:val="DoiInfo"/>
        <w:spacing w:line="480" w:lineRule="auto"/>
        <w:jc w:val="both"/>
      </w:pPr>
    </w:p>
    <w:p w14:paraId="3D6A9BFE" w14:textId="3C7CF02E" w:rsidR="00C84876" w:rsidRPr="005B572B" w:rsidRDefault="00C84876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>Whole un-cropped images of the original western blots</w:t>
      </w:r>
    </w:p>
    <w:p w14:paraId="0AE84497" w14:textId="77777777" w:rsidR="00C84876" w:rsidRPr="005B572B" w:rsidRDefault="00C84876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>Un-cropped images of the original western blots for Figure 3</w:t>
      </w:r>
    </w:p>
    <w:p w14:paraId="0B9C1A2B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drawing>
          <wp:inline distT="0" distB="0" distL="0" distR="0" wp14:anchorId="0FEC4833" wp14:editId="769A8279">
            <wp:extent cx="2652713" cy="2390646"/>
            <wp:effectExtent l="0" t="0" r="0" b="0"/>
            <wp:docPr id="9116647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967" cy="2409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B572B">
        <w:rPr>
          <w:noProof/>
          <w:sz w:val="20"/>
          <w:lang w:eastAsia="zh-CN"/>
        </w:rPr>
        <w:drawing>
          <wp:inline distT="0" distB="0" distL="0" distR="0" wp14:anchorId="208C53C5" wp14:editId="42767120">
            <wp:extent cx="2471737" cy="2446301"/>
            <wp:effectExtent l="0" t="0" r="0" b="0"/>
            <wp:docPr id="59921620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644" cy="2471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A497C5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0B5F4A98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lastRenderedPageBreak/>
        <w:drawing>
          <wp:inline distT="0" distB="0" distL="0" distR="0" wp14:anchorId="54DEBA2E" wp14:editId="7F996394">
            <wp:extent cx="4243388" cy="1419846"/>
            <wp:effectExtent l="0" t="0" r="0" b="9525"/>
            <wp:docPr id="187361952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624" cy="1423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BD5D98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38BC68C9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3A8E220C" wp14:editId="79BCF4CE">
            <wp:extent cx="3152775" cy="1497705"/>
            <wp:effectExtent l="0" t="0" r="0" b="7620"/>
            <wp:docPr id="197361313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087" cy="1505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0CB552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0B02B273" w14:textId="2016DED1" w:rsidR="00C84876" w:rsidRPr="005B572B" w:rsidRDefault="00C84876" w:rsidP="005B572B">
      <w:pPr>
        <w:spacing w:line="480" w:lineRule="auto"/>
        <w:rPr>
          <w:rFonts w:hint="eastAsia"/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610889DB" wp14:editId="1F9D7CB0">
            <wp:extent cx="4624388" cy="1675772"/>
            <wp:effectExtent l="0" t="0" r="0" b="635"/>
            <wp:docPr id="19453616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685" cy="16795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242F53" w14:textId="77777777" w:rsidR="00C84876" w:rsidRPr="005B572B" w:rsidRDefault="00C84876" w:rsidP="005B572B">
      <w:pPr>
        <w:spacing w:line="480" w:lineRule="auto"/>
        <w:rPr>
          <w:b/>
          <w:bCs/>
          <w:sz w:val="20"/>
        </w:rPr>
      </w:pPr>
    </w:p>
    <w:p w14:paraId="0184A0AD" w14:textId="325DBCE3" w:rsidR="00C84876" w:rsidRPr="005B572B" w:rsidRDefault="00C84876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>Un-cropped images of the original western blots for Figure 4</w:t>
      </w:r>
    </w:p>
    <w:p w14:paraId="5814B77B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lastRenderedPageBreak/>
        <w:drawing>
          <wp:inline distT="0" distB="0" distL="0" distR="0" wp14:anchorId="77C53584" wp14:editId="63A2F107">
            <wp:extent cx="4484069" cy="4619625"/>
            <wp:effectExtent l="0" t="0" r="0" b="0"/>
            <wp:docPr id="211982733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923" cy="46266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2CD2D0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17A03448" w14:textId="77777777" w:rsidR="00C84876" w:rsidRPr="005B572B" w:rsidRDefault="00C84876" w:rsidP="005B572B">
      <w:pPr>
        <w:spacing w:line="480" w:lineRule="auto"/>
        <w:rPr>
          <w:b/>
          <w:bCs/>
          <w:noProof/>
          <w:sz w:val="20"/>
        </w:rPr>
      </w:pPr>
      <w:r w:rsidRPr="005B572B">
        <w:rPr>
          <w:b/>
          <w:bCs/>
          <w:sz w:val="20"/>
        </w:rPr>
        <w:t>Un-cropped images of the original western blots for Figure 5</w:t>
      </w:r>
    </w:p>
    <w:p w14:paraId="780262E7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7D057EEB" wp14:editId="56E2F45B">
            <wp:extent cx="4486275" cy="1953964"/>
            <wp:effectExtent l="0" t="0" r="0" b="8255"/>
            <wp:docPr id="41794536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738" cy="1959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993354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2652D74A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lastRenderedPageBreak/>
        <w:drawing>
          <wp:inline distT="0" distB="0" distL="0" distR="0" wp14:anchorId="5BC531FB" wp14:editId="371B4BBE">
            <wp:extent cx="4462463" cy="2021589"/>
            <wp:effectExtent l="0" t="0" r="0" b="0"/>
            <wp:docPr id="78414482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282" cy="202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19E715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23C2E91F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2D357E88" wp14:editId="7843FE52">
            <wp:extent cx="3171825" cy="2111163"/>
            <wp:effectExtent l="0" t="0" r="0" b="3810"/>
            <wp:docPr id="2454300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99" cy="2123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B572B">
        <w:rPr>
          <w:noProof/>
          <w:sz w:val="20"/>
          <w:lang w:eastAsia="zh-CN"/>
        </w:rPr>
        <w:drawing>
          <wp:inline distT="0" distB="0" distL="0" distR="0" wp14:anchorId="6380849A" wp14:editId="546BE8AD">
            <wp:extent cx="2614613" cy="1352055"/>
            <wp:effectExtent l="0" t="0" r="0" b="635"/>
            <wp:docPr id="168296089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5" cy="1356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761199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578DCB0F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4ACA21CB" wp14:editId="477F46A2">
            <wp:extent cx="4775835" cy="2979348"/>
            <wp:effectExtent l="0" t="0" r="5715" b="0"/>
            <wp:docPr id="16327123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321" cy="29827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B3EC4B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3E5AE020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127CDE07" w14:textId="77777777" w:rsidR="00C84876" w:rsidRPr="005B572B" w:rsidRDefault="00C84876" w:rsidP="005B572B">
      <w:pPr>
        <w:spacing w:line="480" w:lineRule="auto"/>
        <w:rPr>
          <w:b/>
          <w:bCs/>
          <w:noProof/>
          <w:sz w:val="20"/>
        </w:rPr>
      </w:pPr>
      <w:r w:rsidRPr="005B572B">
        <w:rPr>
          <w:b/>
          <w:bCs/>
          <w:sz w:val="20"/>
        </w:rPr>
        <w:t>Un-cropped images of the original western blots for Figure 6</w:t>
      </w:r>
    </w:p>
    <w:p w14:paraId="5B5E71DB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78C57F2D" wp14:editId="4BACE8BE">
            <wp:extent cx="6734758" cy="1791259"/>
            <wp:effectExtent l="0" t="0" r="0" b="0"/>
            <wp:docPr id="176064922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552" cy="1803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42CB0E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0A74B287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39F1A1BC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4369A38E" wp14:editId="46B452F5">
            <wp:extent cx="6329363" cy="1339638"/>
            <wp:effectExtent l="0" t="0" r="0" b="0"/>
            <wp:docPr id="89616140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577" cy="1359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68503B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48DAD0DC" w14:textId="77777777" w:rsidR="00C84876" w:rsidRPr="005B572B" w:rsidRDefault="00C84876" w:rsidP="005B572B">
      <w:pPr>
        <w:spacing w:line="480" w:lineRule="auto"/>
        <w:rPr>
          <w:b/>
          <w:bCs/>
          <w:noProof/>
          <w:sz w:val="20"/>
        </w:rPr>
      </w:pPr>
      <w:r w:rsidRPr="005B572B">
        <w:rPr>
          <w:b/>
          <w:bCs/>
          <w:sz w:val="20"/>
        </w:rPr>
        <w:t>Un-cropped images of the original western blots for Figure 6</w:t>
      </w:r>
    </w:p>
    <w:p w14:paraId="0D8B5148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0EDF48B7" wp14:editId="2A377BF4">
            <wp:extent cx="3705225" cy="2459532"/>
            <wp:effectExtent l="0" t="0" r="0" b="0"/>
            <wp:docPr id="149740988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114" cy="2470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B9E3F7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5A6B4608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606A8FCC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29DC3EEE" wp14:editId="3346D78E">
            <wp:extent cx="4071938" cy="2465278"/>
            <wp:effectExtent l="0" t="0" r="0" b="0"/>
            <wp:docPr id="18985518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089" cy="2476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1B7EB7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00D92B1F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drawing>
          <wp:inline distT="0" distB="0" distL="0" distR="0" wp14:anchorId="652EC9BE" wp14:editId="5EA6D4D3">
            <wp:extent cx="3700463" cy="3538842"/>
            <wp:effectExtent l="0" t="0" r="0" b="5080"/>
            <wp:docPr id="176488730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315" cy="35587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57E276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14978411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lastRenderedPageBreak/>
        <w:drawing>
          <wp:inline distT="0" distB="0" distL="0" distR="0" wp14:anchorId="120CCD6E" wp14:editId="10319DF3">
            <wp:extent cx="4543425" cy="3019028"/>
            <wp:effectExtent l="0" t="0" r="0" b="0"/>
            <wp:docPr id="175007592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684" cy="303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B22BD3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3547FCDB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25BC2C6C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3F00F8AC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lastRenderedPageBreak/>
        <w:drawing>
          <wp:anchor distT="0" distB="0" distL="114300" distR="114300" simplePos="0" relativeHeight="251659264" behindDoc="0" locked="0" layoutInCell="1" allowOverlap="1" wp14:anchorId="5A853477" wp14:editId="433A941E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4856797" cy="4271812"/>
            <wp:effectExtent l="0" t="0" r="0" b="0"/>
            <wp:wrapSquare wrapText="bothSides"/>
            <wp:docPr id="13537366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797" cy="4271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B572B">
        <w:rPr>
          <w:sz w:val="20"/>
          <w:lang w:eastAsia="zh-CN"/>
        </w:rPr>
        <w:br w:type="textWrapping" w:clear="all"/>
      </w:r>
    </w:p>
    <w:p w14:paraId="2350C0FB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</w:p>
    <w:p w14:paraId="6C081AEC" w14:textId="77777777" w:rsidR="00C84876" w:rsidRPr="005B572B" w:rsidRDefault="00C84876" w:rsidP="005B572B">
      <w:pPr>
        <w:spacing w:line="480" w:lineRule="auto"/>
        <w:rPr>
          <w:sz w:val="20"/>
          <w:lang w:eastAsia="zh-CN"/>
        </w:rPr>
      </w:pPr>
      <w:r w:rsidRPr="005B572B">
        <w:rPr>
          <w:noProof/>
          <w:sz w:val="20"/>
          <w:lang w:eastAsia="zh-CN"/>
        </w:rPr>
        <w:lastRenderedPageBreak/>
        <w:drawing>
          <wp:inline distT="0" distB="0" distL="0" distR="0" wp14:anchorId="39512967" wp14:editId="79AE1A79">
            <wp:extent cx="4433570" cy="3562479"/>
            <wp:effectExtent l="0" t="0" r="0" b="0"/>
            <wp:docPr id="116155884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493" cy="35672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FDC35A" w14:textId="77777777" w:rsidR="00C84876" w:rsidRPr="005B572B" w:rsidRDefault="00C84876" w:rsidP="005B572B">
      <w:pPr>
        <w:spacing w:line="480" w:lineRule="auto"/>
        <w:rPr>
          <w:b/>
          <w:bCs/>
          <w:noProof/>
          <w:sz w:val="20"/>
        </w:rPr>
      </w:pPr>
      <w:r w:rsidRPr="005B572B">
        <w:rPr>
          <w:b/>
          <w:bCs/>
          <w:sz w:val="20"/>
        </w:rPr>
        <w:t>Un-cropped images of the original western blots for Supplementary Figure 4</w:t>
      </w:r>
      <w:r w:rsidRPr="005B572B">
        <w:rPr>
          <w:b/>
          <w:bCs/>
          <w:noProof/>
          <w:sz w:val="20"/>
        </w:rPr>
        <w:t xml:space="preserve"> </w:t>
      </w:r>
    </w:p>
    <w:p w14:paraId="5B3C11A9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drawing>
          <wp:inline distT="0" distB="0" distL="0" distR="0" wp14:anchorId="273A8DCB" wp14:editId="0C5E65B6">
            <wp:extent cx="5943600" cy="2449830"/>
            <wp:effectExtent l="0" t="0" r="0" b="7620"/>
            <wp:docPr id="1013996647" name="图片 1013996647">
              <a:extLst xmlns:a="http://schemas.openxmlformats.org/drawingml/2006/main">
                <a:ext uri="{FF2B5EF4-FFF2-40B4-BE49-F238E27FC236}">
                  <a16:creationId xmlns:a16="http://schemas.microsoft.com/office/drawing/2014/main" id="{23B02C30-BC59-0E86-EB8C-AC752188D4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23B02C30-BC59-0E86-EB8C-AC752188D4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E628D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4108A115" w14:textId="413F803D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lastRenderedPageBreak/>
        <w:drawing>
          <wp:inline distT="0" distB="0" distL="0" distR="0" wp14:anchorId="1C70BD1A" wp14:editId="2C135AF3">
            <wp:extent cx="5805488" cy="2947171"/>
            <wp:effectExtent l="0" t="0" r="0" b="5715"/>
            <wp:docPr id="644692395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589" cy="29502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8B4C55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7EAEA547" w14:textId="77777777" w:rsidR="00C84876" w:rsidRPr="005B572B" w:rsidRDefault="00C84876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>Un-cropped images of the original western blots for Supplementary Figure 5</w:t>
      </w:r>
    </w:p>
    <w:p w14:paraId="0D077FA5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drawing>
          <wp:inline distT="0" distB="0" distL="0" distR="0" wp14:anchorId="7D94E135" wp14:editId="5390B2A7">
            <wp:extent cx="2738438" cy="2825877"/>
            <wp:effectExtent l="0" t="0" r="0" b="0"/>
            <wp:docPr id="300381144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504" cy="28424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B572B">
        <w:rPr>
          <w:noProof/>
          <w:sz w:val="20"/>
        </w:rPr>
        <w:drawing>
          <wp:inline distT="0" distB="0" distL="0" distR="0" wp14:anchorId="71228901" wp14:editId="54EEF17C">
            <wp:extent cx="2185988" cy="3079488"/>
            <wp:effectExtent l="0" t="0" r="0" b="6985"/>
            <wp:docPr id="117958816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696" cy="308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B89150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0613040A" w14:textId="3C2778FB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lastRenderedPageBreak/>
        <w:drawing>
          <wp:inline distT="0" distB="0" distL="0" distR="0" wp14:anchorId="6DB30147" wp14:editId="0744FBD4">
            <wp:extent cx="4416670" cy="3690938"/>
            <wp:effectExtent l="0" t="0" r="0" b="5080"/>
            <wp:docPr id="544493899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952" cy="3694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6BBF2A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689176F0" w14:textId="77777777" w:rsidR="00C84876" w:rsidRPr="005B572B" w:rsidRDefault="00C84876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>Un-cropped images of the original western blots for Supplementary Figure 6</w:t>
      </w:r>
    </w:p>
    <w:p w14:paraId="2F8CB65F" w14:textId="77777777" w:rsidR="00C84876" w:rsidRPr="005B572B" w:rsidRDefault="00C84876" w:rsidP="005B572B">
      <w:pPr>
        <w:spacing w:line="480" w:lineRule="auto"/>
        <w:rPr>
          <w:kern w:val="32"/>
          <w:sz w:val="20"/>
        </w:rPr>
      </w:pPr>
      <w:r w:rsidRPr="005B572B">
        <w:rPr>
          <w:noProof/>
          <w:sz w:val="20"/>
        </w:rPr>
        <w:drawing>
          <wp:inline distT="0" distB="0" distL="0" distR="0" wp14:anchorId="7C7DB161" wp14:editId="7D0ACD5F">
            <wp:extent cx="4619625" cy="1986547"/>
            <wp:effectExtent l="0" t="0" r="0" b="0"/>
            <wp:docPr id="1365668114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936" cy="19939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3D248A" w14:textId="77777777" w:rsidR="00C84876" w:rsidRPr="005B572B" w:rsidRDefault="00C84876" w:rsidP="005B572B">
      <w:pPr>
        <w:spacing w:line="480" w:lineRule="auto"/>
        <w:rPr>
          <w:kern w:val="32"/>
          <w:sz w:val="20"/>
        </w:rPr>
      </w:pPr>
    </w:p>
    <w:p w14:paraId="78AFADA7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lastRenderedPageBreak/>
        <w:drawing>
          <wp:inline distT="0" distB="0" distL="0" distR="0" wp14:anchorId="2275AE86" wp14:editId="17B50BA5">
            <wp:extent cx="2720039" cy="2595563"/>
            <wp:effectExtent l="0" t="0" r="0" b="0"/>
            <wp:docPr id="212322683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827" cy="26010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B572B">
        <w:rPr>
          <w:noProof/>
          <w:sz w:val="20"/>
        </w:rPr>
        <w:drawing>
          <wp:inline distT="0" distB="0" distL="0" distR="0" wp14:anchorId="178C7EED" wp14:editId="03EE169A">
            <wp:extent cx="2524125" cy="2629121"/>
            <wp:effectExtent l="0" t="0" r="0" b="0"/>
            <wp:docPr id="205542718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848" cy="2636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A5D29D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228D76BA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drawing>
          <wp:inline distT="0" distB="0" distL="0" distR="0" wp14:anchorId="5FE5D6E1" wp14:editId="0F7153C7">
            <wp:extent cx="2247900" cy="1763044"/>
            <wp:effectExtent l="0" t="0" r="0" b="8890"/>
            <wp:docPr id="206606540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773" cy="17731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B572B">
        <w:rPr>
          <w:noProof/>
          <w:sz w:val="20"/>
        </w:rPr>
        <w:drawing>
          <wp:inline distT="0" distB="0" distL="0" distR="0" wp14:anchorId="09A7AB33" wp14:editId="005F75F5">
            <wp:extent cx="3037380" cy="1943100"/>
            <wp:effectExtent l="0" t="0" r="0" b="0"/>
            <wp:docPr id="1137355111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738" cy="1945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E732DA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0F9684DA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lastRenderedPageBreak/>
        <w:drawing>
          <wp:inline distT="0" distB="0" distL="0" distR="0" wp14:anchorId="693CF4D8" wp14:editId="6289EF30">
            <wp:extent cx="4214813" cy="2967804"/>
            <wp:effectExtent l="0" t="0" r="0" b="4445"/>
            <wp:docPr id="172385560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673" cy="2976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7366C1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1239BF80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4C744C9E" w14:textId="77777777" w:rsidR="00C84876" w:rsidRPr="005B572B" w:rsidRDefault="00C84876" w:rsidP="005B572B">
      <w:pPr>
        <w:spacing w:line="480" w:lineRule="auto"/>
        <w:rPr>
          <w:b/>
          <w:bCs/>
          <w:sz w:val="20"/>
        </w:rPr>
      </w:pPr>
      <w:r w:rsidRPr="005B572B">
        <w:rPr>
          <w:b/>
          <w:bCs/>
          <w:sz w:val="20"/>
        </w:rPr>
        <w:t>Un-cropped images of the original western blots for Supplementary Figure 7</w:t>
      </w:r>
    </w:p>
    <w:p w14:paraId="24AC2F4E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drawing>
          <wp:inline distT="0" distB="0" distL="0" distR="0" wp14:anchorId="60AA022A" wp14:editId="7521FD84">
            <wp:extent cx="2519363" cy="2560171"/>
            <wp:effectExtent l="0" t="0" r="0" b="0"/>
            <wp:docPr id="1845385383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379" cy="257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B572B">
        <w:rPr>
          <w:noProof/>
          <w:sz w:val="20"/>
        </w:rPr>
        <w:drawing>
          <wp:inline distT="0" distB="0" distL="0" distR="0" wp14:anchorId="34079F40" wp14:editId="23751C1D">
            <wp:extent cx="3152775" cy="3573256"/>
            <wp:effectExtent l="0" t="0" r="0" b="8255"/>
            <wp:docPr id="1062486246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283" cy="35964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9F7802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0CCBD92B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03570497" w14:textId="77777777" w:rsidR="00C84876" w:rsidRPr="005B572B" w:rsidRDefault="00C84876" w:rsidP="005B572B">
      <w:pPr>
        <w:spacing w:line="480" w:lineRule="auto"/>
        <w:rPr>
          <w:sz w:val="20"/>
        </w:rPr>
      </w:pPr>
      <w:r w:rsidRPr="005B572B">
        <w:rPr>
          <w:noProof/>
          <w:sz w:val="20"/>
        </w:rPr>
        <w:lastRenderedPageBreak/>
        <w:drawing>
          <wp:inline distT="0" distB="0" distL="0" distR="0" wp14:anchorId="5EC45169" wp14:editId="2C7410EC">
            <wp:extent cx="3305391" cy="3228975"/>
            <wp:effectExtent l="0" t="0" r="0" b="0"/>
            <wp:docPr id="1911047555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686" cy="32321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57D0A6" w14:textId="77777777" w:rsidR="00C84876" w:rsidRPr="005B572B" w:rsidRDefault="00C84876" w:rsidP="005B572B">
      <w:pPr>
        <w:spacing w:line="480" w:lineRule="auto"/>
        <w:rPr>
          <w:sz w:val="20"/>
        </w:rPr>
      </w:pPr>
    </w:p>
    <w:p w14:paraId="2EA9CBEE" w14:textId="77777777" w:rsidR="00C84876" w:rsidRPr="005B572B" w:rsidRDefault="00C84876" w:rsidP="005B572B">
      <w:pPr>
        <w:pStyle w:val="DoiInfo"/>
        <w:spacing w:line="480" w:lineRule="auto"/>
        <w:jc w:val="both"/>
      </w:pPr>
    </w:p>
    <w:sectPr w:rsidR="00C84876" w:rsidRPr="005B572B" w:rsidSect="00E853D5">
      <w:headerReference w:type="default" r:id="rId53"/>
      <w:footerReference w:type="default" r:id="rId5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F75CE" w14:textId="77777777" w:rsidR="00A206CF" w:rsidRDefault="00A206CF">
      <w:r>
        <w:separator/>
      </w:r>
    </w:p>
  </w:endnote>
  <w:endnote w:type="continuationSeparator" w:id="0">
    <w:p w14:paraId="0D32E58E" w14:textId="77777777" w:rsidR="00A206CF" w:rsidRDefault="00A20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BAD1554" w:rsidR="00F125EE" w:rsidRDefault="00F125EE">
    <w:pPr>
      <w:pStyle w:val="aff1"/>
      <w:jc w:val="right"/>
    </w:pP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2DC5A" w14:textId="77777777" w:rsidR="00A206CF" w:rsidRDefault="00A206CF">
      <w:r>
        <w:separator/>
      </w:r>
    </w:p>
  </w:footnote>
  <w:footnote w:type="continuationSeparator" w:id="0">
    <w:p w14:paraId="065EBA0A" w14:textId="77777777" w:rsidR="00A206CF" w:rsidRDefault="00A206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13911397">
    <w:abstractNumId w:val="9"/>
  </w:num>
  <w:num w:numId="2" w16cid:durableId="1931959606">
    <w:abstractNumId w:val="7"/>
  </w:num>
  <w:num w:numId="3" w16cid:durableId="1137727387">
    <w:abstractNumId w:val="6"/>
  </w:num>
  <w:num w:numId="4" w16cid:durableId="1012806029">
    <w:abstractNumId w:val="5"/>
  </w:num>
  <w:num w:numId="5" w16cid:durableId="477234896">
    <w:abstractNumId w:val="4"/>
  </w:num>
  <w:num w:numId="6" w16cid:durableId="755132842">
    <w:abstractNumId w:val="8"/>
  </w:num>
  <w:num w:numId="7" w16cid:durableId="554859142">
    <w:abstractNumId w:val="3"/>
  </w:num>
  <w:num w:numId="8" w16cid:durableId="1141734344">
    <w:abstractNumId w:val="2"/>
  </w:num>
  <w:num w:numId="9" w16cid:durableId="679817299">
    <w:abstractNumId w:val="1"/>
  </w:num>
  <w:num w:numId="10" w16cid:durableId="1139299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20F9"/>
    <w:rsid w:val="00010F46"/>
    <w:rsid w:val="0001594E"/>
    <w:rsid w:val="00015950"/>
    <w:rsid w:val="00015F74"/>
    <w:rsid w:val="000262C5"/>
    <w:rsid w:val="000329F6"/>
    <w:rsid w:val="00041CD0"/>
    <w:rsid w:val="000526D8"/>
    <w:rsid w:val="000624E1"/>
    <w:rsid w:val="00065EBD"/>
    <w:rsid w:val="00066D0C"/>
    <w:rsid w:val="00075797"/>
    <w:rsid w:val="00083B44"/>
    <w:rsid w:val="000850DC"/>
    <w:rsid w:val="00086AD7"/>
    <w:rsid w:val="00086F00"/>
    <w:rsid w:val="0009216B"/>
    <w:rsid w:val="000A2325"/>
    <w:rsid w:val="000C07BF"/>
    <w:rsid w:val="000C2771"/>
    <w:rsid w:val="000C5C85"/>
    <w:rsid w:val="000C6039"/>
    <w:rsid w:val="000C6457"/>
    <w:rsid w:val="000C7001"/>
    <w:rsid w:val="000D46F4"/>
    <w:rsid w:val="000D5FB4"/>
    <w:rsid w:val="000E12E2"/>
    <w:rsid w:val="000E2685"/>
    <w:rsid w:val="000E477F"/>
    <w:rsid w:val="000E71AF"/>
    <w:rsid w:val="000F0DCE"/>
    <w:rsid w:val="000F31F3"/>
    <w:rsid w:val="000F6BE3"/>
    <w:rsid w:val="001006C9"/>
    <w:rsid w:val="00101CF3"/>
    <w:rsid w:val="00107A03"/>
    <w:rsid w:val="00112C5B"/>
    <w:rsid w:val="00114193"/>
    <w:rsid w:val="00115A38"/>
    <w:rsid w:val="0011687B"/>
    <w:rsid w:val="00124F82"/>
    <w:rsid w:val="00130F23"/>
    <w:rsid w:val="00132D6B"/>
    <w:rsid w:val="001346FE"/>
    <w:rsid w:val="00145F72"/>
    <w:rsid w:val="0016187D"/>
    <w:rsid w:val="0016337A"/>
    <w:rsid w:val="00164269"/>
    <w:rsid w:val="00170060"/>
    <w:rsid w:val="00172892"/>
    <w:rsid w:val="00174883"/>
    <w:rsid w:val="00175E30"/>
    <w:rsid w:val="00181BE2"/>
    <w:rsid w:val="00184CF3"/>
    <w:rsid w:val="00185166"/>
    <w:rsid w:val="00192EDA"/>
    <w:rsid w:val="001950A2"/>
    <w:rsid w:val="00195E3C"/>
    <w:rsid w:val="001A1BDE"/>
    <w:rsid w:val="001B13CE"/>
    <w:rsid w:val="001C4B1F"/>
    <w:rsid w:val="001E3154"/>
    <w:rsid w:val="001F0876"/>
    <w:rsid w:val="001F167C"/>
    <w:rsid w:val="001F5587"/>
    <w:rsid w:val="001F5E91"/>
    <w:rsid w:val="002053E7"/>
    <w:rsid w:val="002077B9"/>
    <w:rsid w:val="00212A4A"/>
    <w:rsid w:val="00221970"/>
    <w:rsid w:val="0022232F"/>
    <w:rsid w:val="00223749"/>
    <w:rsid w:val="0022568E"/>
    <w:rsid w:val="00230129"/>
    <w:rsid w:val="00231514"/>
    <w:rsid w:val="0024618E"/>
    <w:rsid w:val="0024793D"/>
    <w:rsid w:val="0025181A"/>
    <w:rsid w:val="00262D72"/>
    <w:rsid w:val="002671E6"/>
    <w:rsid w:val="00267206"/>
    <w:rsid w:val="00276175"/>
    <w:rsid w:val="00276B9F"/>
    <w:rsid w:val="00294FBB"/>
    <w:rsid w:val="00297AB8"/>
    <w:rsid w:val="00297AEF"/>
    <w:rsid w:val="002A313B"/>
    <w:rsid w:val="002A72FB"/>
    <w:rsid w:val="002A78C8"/>
    <w:rsid w:val="002B32B3"/>
    <w:rsid w:val="002B35AA"/>
    <w:rsid w:val="002B7A01"/>
    <w:rsid w:val="002C030F"/>
    <w:rsid w:val="002C1D51"/>
    <w:rsid w:val="002C68B4"/>
    <w:rsid w:val="002D169A"/>
    <w:rsid w:val="002F0FB6"/>
    <w:rsid w:val="00300DD9"/>
    <w:rsid w:val="0030259C"/>
    <w:rsid w:val="0031462D"/>
    <w:rsid w:val="0031671A"/>
    <w:rsid w:val="00323885"/>
    <w:rsid w:val="00325791"/>
    <w:rsid w:val="00331D75"/>
    <w:rsid w:val="0034327B"/>
    <w:rsid w:val="00350BAA"/>
    <w:rsid w:val="00355362"/>
    <w:rsid w:val="003566C8"/>
    <w:rsid w:val="00363E44"/>
    <w:rsid w:val="003659A8"/>
    <w:rsid w:val="003669F9"/>
    <w:rsid w:val="00370BD3"/>
    <w:rsid w:val="003828C2"/>
    <w:rsid w:val="0039112A"/>
    <w:rsid w:val="00392402"/>
    <w:rsid w:val="00393BAB"/>
    <w:rsid w:val="00395E86"/>
    <w:rsid w:val="003A2FD8"/>
    <w:rsid w:val="003A770E"/>
    <w:rsid w:val="003B40E6"/>
    <w:rsid w:val="003B7777"/>
    <w:rsid w:val="003D38E8"/>
    <w:rsid w:val="003E74FB"/>
    <w:rsid w:val="003F249A"/>
    <w:rsid w:val="003F5904"/>
    <w:rsid w:val="003F6E14"/>
    <w:rsid w:val="003F7BB2"/>
    <w:rsid w:val="00405336"/>
    <w:rsid w:val="00421C5B"/>
    <w:rsid w:val="00425111"/>
    <w:rsid w:val="00430C52"/>
    <w:rsid w:val="00435ABE"/>
    <w:rsid w:val="0044478B"/>
    <w:rsid w:val="00451FC9"/>
    <w:rsid w:val="00456F6F"/>
    <w:rsid w:val="004571D5"/>
    <w:rsid w:val="00461799"/>
    <w:rsid w:val="00461D81"/>
    <w:rsid w:val="0046356B"/>
    <w:rsid w:val="00473069"/>
    <w:rsid w:val="004739E1"/>
    <w:rsid w:val="00477182"/>
    <w:rsid w:val="004779CB"/>
    <w:rsid w:val="00496FD4"/>
    <w:rsid w:val="004A6F57"/>
    <w:rsid w:val="004B49BE"/>
    <w:rsid w:val="004C3DE9"/>
    <w:rsid w:val="004D6A5C"/>
    <w:rsid w:val="004E42D8"/>
    <w:rsid w:val="004E7BA2"/>
    <w:rsid w:val="004F1FEF"/>
    <w:rsid w:val="004F7EDF"/>
    <w:rsid w:val="005001AC"/>
    <w:rsid w:val="00516804"/>
    <w:rsid w:val="00517FC3"/>
    <w:rsid w:val="00520C46"/>
    <w:rsid w:val="00520F92"/>
    <w:rsid w:val="00527D71"/>
    <w:rsid w:val="00531813"/>
    <w:rsid w:val="00533910"/>
    <w:rsid w:val="00537467"/>
    <w:rsid w:val="00537B5A"/>
    <w:rsid w:val="0054124A"/>
    <w:rsid w:val="00550B0C"/>
    <w:rsid w:val="00551F3A"/>
    <w:rsid w:val="005520A8"/>
    <w:rsid w:val="005551B0"/>
    <w:rsid w:val="005607DD"/>
    <w:rsid w:val="00560AF0"/>
    <w:rsid w:val="00571EEA"/>
    <w:rsid w:val="0057291C"/>
    <w:rsid w:val="005A558C"/>
    <w:rsid w:val="005A5823"/>
    <w:rsid w:val="005B0EBB"/>
    <w:rsid w:val="005B572B"/>
    <w:rsid w:val="005B68D0"/>
    <w:rsid w:val="005C0D48"/>
    <w:rsid w:val="005D712F"/>
    <w:rsid w:val="005E28F8"/>
    <w:rsid w:val="005E6513"/>
    <w:rsid w:val="006039B1"/>
    <w:rsid w:val="00607E8E"/>
    <w:rsid w:val="0061654D"/>
    <w:rsid w:val="00617C1F"/>
    <w:rsid w:val="006214D4"/>
    <w:rsid w:val="00623314"/>
    <w:rsid w:val="00624C45"/>
    <w:rsid w:val="00631797"/>
    <w:rsid w:val="00632CA3"/>
    <w:rsid w:val="00640E90"/>
    <w:rsid w:val="00646A78"/>
    <w:rsid w:val="00651114"/>
    <w:rsid w:val="006573C2"/>
    <w:rsid w:val="00664560"/>
    <w:rsid w:val="006678AC"/>
    <w:rsid w:val="00670299"/>
    <w:rsid w:val="00680B0B"/>
    <w:rsid w:val="00691985"/>
    <w:rsid w:val="00697611"/>
    <w:rsid w:val="006A1B64"/>
    <w:rsid w:val="006C2B8E"/>
    <w:rsid w:val="006C720B"/>
    <w:rsid w:val="006D0874"/>
    <w:rsid w:val="006E0798"/>
    <w:rsid w:val="006E211F"/>
    <w:rsid w:val="006E6E65"/>
    <w:rsid w:val="006F5E1E"/>
    <w:rsid w:val="007044EA"/>
    <w:rsid w:val="007057A6"/>
    <w:rsid w:val="00707D49"/>
    <w:rsid w:val="007108F5"/>
    <w:rsid w:val="00713ACB"/>
    <w:rsid w:val="00713E5B"/>
    <w:rsid w:val="00724136"/>
    <w:rsid w:val="007402FC"/>
    <w:rsid w:val="007411A1"/>
    <w:rsid w:val="00752FF6"/>
    <w:rsid w:val="00774703"/>
    <w:rsid w:val="00775B36"/>
    <w:rsid w:val="00777728"/>
    <w:rsid w:val="00782746"/>
    <w:rsid w:val="0078398C"/>
    <w:rsid w:val="00793072"/>
    <w:rsid w:val="007B3B2D"/>
    <w:rsid w:val="007B555B"/>
    <w:rsid w:val="007C1FBC"/>
    <w:rsid w:val="007C3215"/>
    <w:rsid w:val="007D0A3A"/>
    <w:rsid w:val="007D6760"/>
    <w:rsid w:val="007D6D12"/>
    <w:rsid w:val="007D78BD"/>
    <w:rsid w:val="007E2786"/>
    <w:rsid w:val="007E7FE2"/>
    <w:rsid w:val="007F48B1"/>
    <w:rsid w:val="007F70CA"/>
    <w:rsid w:val="00804D9D"/>
    <w:rsid w:val="00807D35"/>
    <w:rsid w:val="00814665"/>
    <w:rsid w:val="008218C4"/>
    <w:rsid w:val="008344EC"/>
    <w:rsid w:val="00834B85"/>
    <w:rsid w:val="0085670D"/>
    <w:rsid w:val="00862647"/>
    <w:rsid w:val="008642EA"/>
    <w:rsid w:val="00867A98"/>
    <w:rsid w:val="00870867"/>
    <w:rsid w:val="00871F63"/>
    <w:rsid w:val="00884E28"/>
    <w:rsid w:val="00885C9B"/>
    <w:rsid w:val="00895167"/>
    <w:rsid w:val="00897230"/>
    <w:rsid w:val="008A143C"/>
    <w:rsid w:val="008A3175"/>
    <w:rsid w:val="008A44B8"/>
    <w:rsid w:val="008B218B"/>
    <w:rsid w:val="008C7A38"/>
    <w:rsid w:val="008D01CD"/>
    <w:rsid w:val="008D5D2A"/>
    <w:rsid w:val="008D780D"/>
    <w:rsid w:val="008E188E"/>
    <w:rsid w:val="008E768D"/>
    <w:rsid w:val="008F0899"/>
    <w:rsid w:val="0090006B"/>
    <w:rsid w:val="009002C0"/>
    <w:rsid w:val="009003C9"/>
    <w:rsid w:val="00905147"/>
    <w:rsid w:val="009056B9"/>
    <w:rsid w:val="00906590"/>
    <w:rsid w:val="00914B63"/>
    <w:rsid w:val="009220C6"/>
    <w:rsid w:val="00926243"/>
    <w:rsid w:val="00931623"/>
    <w:rsid w:val="009354F3"/>
    <w:rsid w:val="00936A13"/>
    <w:rsid w:val="009447DC"/>
    <w:rsid w:val="00945471"/>
    <w:rsid w:val="00950234"/>
    <w:rsid w:val="00956D5A"/>
    <w:rsid w:val="00961BA5"/>
    <w:rsid w:val="0096425F"/>
    <w:rsid w:val="00964AC0"/>
    <w:rsid w:val="009653AF"/>
    <w:rsid w:val="009706E7"/>
    <w:rsid w:val="00971753"/>
    <w:rsid w:val="009743A9"/>
    <w:rsid w:val="0098512B"/>
    <w:rsid w:val="00990208"/>
    <w:rsid w:val="00996F83"/>
    <w:rsid w:val="009A4328"/>
    <w:rsid w:val="009A43AE"/>
    <w:rsid w:val="009A5287"/>
    <w:rsid w:val="009A7C5F"/>
    <w:rsid w:val="009B2AC5"/>
    <w:rsid w:val="009B39AA"/>
    <w:rsid w:val="009B7984"/>
    <w:rsid w:val="009D61CE"/>
    <w:rsid w:val="009E0816"/>
    <w:rsid w:val="009E2E85"/>
    <w:rsid w:val="009F4600"/>
    <w:rsid w:val="009F4BED"/>
    <w:rsid w:val="009F7D93"/>
    <w:rsid w:val="00A00A89"/>
    <w:rsid w:val="00A00E17"/>
    <w:rsid w:val="00A02E0C"/>
    <w:rsid w:val="00A040B6"/>
    <w:rsid w:val="00A14E3C"/>
    <w:rsid w:val="00A171A0"/>
    <w:rsid w:val="00A206CF"/>
    <w:rsid w:val="00A20932"/>
    <w:rsid w:val="00A244DC"/>
    <w:rsid w:val="00A3403B"/>
    <w:rsid w:val="00A35ECC"/>
    <w:rsid w:val="00A40A0F"/>
    <w:rsid w:val="00A51A12"/>
    <w:rsid w:val="00A53A78"/>
    <w:rsid w:val="00A627D4"/>
    <w:rsid w:val="00A74DA2"/>
    <w:rsid w:val="00A763D8"/>
    <w:rsid w:val="00A77632"/>
    <w:rsid w:val="00A806B1"/>
    <w:rsid w:val="00A92BDF"/>
    <w:rsid w:val="00A967DF"/>
    <w:rsid w:val="00AB399E"/>
    <w:rsid w:val="00AB46C4"/>
    <w:rsid w:val="00AB51A8"/>
    <w:rsid w:val="00AB5B2D"/>
    <w:rsid w:val="00AC59D0"/>
    <w:rsid w:val="00AC62B2"/>
    <w:rsid w:val="00AC78B2"/>
    <w:rsid w:val="00AD16B1"/>
    <w:rsid w:val="00AD254D"/>
    <w:rsid w:val="00AD499C"/>
    <w:rsid w:val="00AE4E97"/>
    <w:rsid w:val="00AF1043"/>
    <w:rsid w:val="00AF417B"/>
    <w:rsid w:val="00B02CE1"/>
    <w:rsid w:val="00B044A0"/>
    <w:rsid w:val="00B109F1"/>
    <w:rsid w:val="00B2248A"/>
    <w:rsid w:val="00B340D1"/>
    <w:rsid w:val="00B365FC"/>
    <w:rsid w:val="00B36869"/>
    <w:rsid w:val="00B41881"/>
    <w:rsid w:val="00B43B31"/>
    <w:rsid w:val="00B47CFA"/>
    <w:rsid w:val="00B5116D"/>
    <w:rsid w:val="00B539A4"/>
    <w:rsid w:val="00B574A3"/>
    <w:rsid w:val="00B57F00"/>
    <w:rsid w:val="00B63245"/>
    <w:rsid w:val="00B72802"/>
    <w:rsid w:val="00B76D34"/>
    <w:rsid w:val="00B77B2A"/>
    <w:rsid w:val="00B82C22"/>
    <w:rsid w:val="00B93DBA"/>
    <w:rsid w:val="00B93E9B"/>
    <w:rsid w:val="00B9440A"/>
    <w:rsid w:val="00B94C7C"/>
    <w:rsid w:val="00BA295C"/>
    <w:rsid w:val="00BA562E"/>
    <w:rsid w:val="00BB2D2A"/>
    <w:rsid w:val="00BB51BF"/>
    <w:rsid w:val="00BC290E"/>
    <w:rsid w:val="00BC3E04"/>
    <w:rsid w:val="00BD58CF"/>
    <w:rsid w:val="00BE2B81"/>
    <w:rsid w:val="00BF0C92"/>
    <w:rsid w:val="00C04307"/>
    <w:rsid w:val="00C04CC1"/>
    <w:rsid w:val="00C10FD2"/>
    <w:rsid w:val="00C21A09"/>
    <w:rsid w:val="00C26118"/>
    <w:rsid w:val="00C31845"/>
    <w:rsid w:val="00C35EB5"/>
    <w:rsid w:val="00C4096C"/>
    <w:rsid w:val="00C417BE"/>
    <w:rsid w:val="00C47D67"/>
    <w:rsid w:val="00C47E6F"/>
    <w:rsid w:val="00C50C6D"/>
    <w:rsid w:val="00C600D9"/>
    <w:rsid w:val="00C63480"/>
    <w:rsid w:val="00C65C68"/>
    <w:rsid w:val="00C67018"/>
    <w:rsid w:val="00C72EF5"/>
    <w:rsid w:val="00C84876"/>
    <w:rsid w:val="00C84914"/>
    <w:rsid w:val="00C92B22"/>
    <w:rsid w:val="00CA54FD"/>
    <w:rsid w:val="00CA5E66"/>
    <w:rsid w:val="00CA715C"/>
    <w:rsid w:val="00CB49AC"/>
    <w:rsid w:val="00CC1384"/>
    <w:rsid w:val="00CC274E"/>
    <w:rsid w:val="00CC44A4"/>
    <w:rsid w:val="00CD3720"/>
    <w:rsid w:val="00CE1D33"/>
    <w:rsid w:val="00CE4F47"/>
    <w:rsid w:val="00CE7B1A"/>
    <w:rsid w:val="00CF1848"/>
    <w:rsid w:val="00CF5C2F"/>
    <w:rsid w:val="00D04BCF"/>
    <w:rsid w:val="00D07C22"/>
    <w:rsid w:val="00D11741"/>
    <w:rsid w:val="00D11A56"/>
    <w:rsid w:val="00D11B98"/>
    <w:rsid w:val="00D143D9"/>
    <w:rsid w:val="00D1653C"/>
    <w:rsid w:val="00D21F2E"/>
    <w:rsid w:val="00D30157"/>
    <w:rsid w:val="00D30C95"/>
    <w:rsid w:val="00D36D83"/>
    <w:rsid w:val="00D37819"/>
    <w:rsid w:val="00D3786F"/>
    <w:rsid w:val="00D417E9"/>
    <w:rsid w:val="00D51C15"/>
    <w:rsid w:val="00D51F12"/>
    <w:rsid w:val="00D5511B"/>
    <w:rsid w:val="00D6496A"/>
    <w:rsid w:val="00D713F1"/>
    <w:rsid w:val="00D75D98"/>
    <w:rsid w:val="00D766F1"/>
    <w:rsid w:val="00D81A67"/>
    <w:rsid w:val="00D82EDD"/>
    <w:rsid w:val="00D86127"/>
    <w:rsid w:val="00D9239E"/>
    <w:rsid w:val="00D92AB3"/>
    <w:rsid w:val="00D92C51"/>
    <w:rsid w:val="00D9740C"/>
    <w:rsid w:val="00DA7CE0"/>
    <w:rsid w:val="00DB4F46"/>
    <w:rsid w:val="00DC3D25"/>
    <w:rsid w:val="00DD2E17"/>
    <w:rsid w:val="00DE2E3B"/>
    <w:rsid w:val="00DE3404"/>
    <w:rsid w:val="00DF7D88"/>
    <w:rsid w:val="00E0673E"/>
    <w:rsid w:val="00E1323B"/>
    <w:rsid w:val="00E1343F"/>
    <w:rsid w:val="00E231CE"/>
    <w:rsid w:val="00E23EE6"/>
    <w:rsid w:val="00E257C8"/>
    <w:rsid w:val="00E40A10"/>
    <w:rsid w:val="00E41512"/>
    <w:rsid w:val="00E44D5E"/>
    <w:rsid w:val="00E4519A"/>
    <w:rsid w:val="00E518CB"/>
    <w:rsid w:val="00E70181"/>
    <w:rsid w:val="00E74DDE"/>
    <w:rsid w:val="00E752B8"/>
    <w:rsid w:val="00E7621E"/>
    <w:rsid w:val="00E77A67"/>
    <w:rsid w:val="00E853D5"/>
    <w:rsid w:val="00E87B0B"/>
    <w:rsid w:val="00E95EA0"/>
    <w:rsid w:val="00E9773B"/>
    <w:rsid w:val="00EA0957"/>
    <w:rsid w:val="00EA49C3"/>
    <w:rsid w:val="00EA5F57"/>
    <w:rsid w:val="00EA6F42"/>
    <w:rsid w:val="00EB088A"/>
    <w:rsid w:val="00EB14F4"/>
    <w:rsid w:val="00EC13A3"/>
    <w:rsid w:val="00EC7C85"/>
    <w:rsid w:val="00ED2CBE"/>
    <w:rsid w:val="00ED4338"/>
    <w:rsid w:val="00EE1180"/>
    <w:rsid w:val="00EE6A14"/>
    <w:rsid w:val="00EF1B49"/>
    <w:rsid w:val="00EF5655"/>
    <w:rsid w:val="00EF7CA8"/>
    <w:rsid w:val="00F0582F"/>
    <w:rsid w:val="00F125EE"/>
    <w:rsid w:val="00F12E98"/>
    <w:rsid w:val="00F22029"/>
    <w:rsid w:val="00F22C2C"/>
    <w:rsid w:val="00F23BE8"/>
    <w:rsid w:val="00F30741"/>
    <w:rsid w:val="00F33555"/>
    <w:rsid w:val="00F3399C"/>
    <w:rsid w:val="00F417EB"/>
    <w:rsid w:val="00F449D8"/>
    <w:rsid w:val="00F515FB"/>
    <w:rsid w:val="00F51691"/>
    <w:rsid w:val="00F630EA"/>
    <w:rsid w:val="00F7007E"/>
    <w:rsid w:val="00F70DF1"/>
    <w:rsid w:val="00F72EFE"/>
    <w:rsid w:val="00F73193"/>
    <w:rsid w:val="00F74F95"/>
    <w:rsid w:val="00F76743"/>
    <w:rsid w:val="00F80705"/>
    <w:rsid w:val="00F92045"/>
    <w:rsid w:val="00F922F4"/>
    <w:rsid w:val="00F931CF"/>
    <w:rsid w:val="00FA1481"/>
    <w:rsid w:val="00FB68F3"/>
    <w:rsid w:val="00FD273A"/>
    <w:rsid w:val="00FF04E3"/>
    <w:rsid w:val="00FF49C9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uiPriority w:val="10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uiPriority w:val="10"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Teaser">
    <w:name w:val="Teaser"/>
    <w:basedOn w:val="a1"/>
    <w:rsid w:val="005B68D0"/>
    <w:pPr>
      <w:spacing w:before="120"/>
    </w:pPr>
    <w:rPr>
      <w:rFonts w:eastAsia="Times New Roman"/>
      <w:szCs w:val="24"/>
    </w:rPr>
  </w:style>
  <w:style w:type="table" w:styleId="affff9">
    <w:name w:val="Table Grid"/>
    <w:basedOn w:val="a3"/>
    <w:uiPriority w:val="39"/>
    <w:rsid w:val="00F30741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a">
    <w:name w:val="Emphasis"/>
    <w:basedOn w:val="a2"/>
    <w:uiPriority w:val="20"/>
    <w:qFormat/>
    <w:rsid w:val="00184CF3"/>
    <w:rPr>
      <w:i/>
      <w:iCs/>
    </w:rPr>
  </w:style>
  <w:style w:type="paragraph" w:customStyle="1" w:styleId="Paragraph">
    <w:name w:val="Paragraph"/>
    <w:basedOn w:val="a1"/>
    <w:link w:val="Paragraph0"/>
    <w:rsid w:val="00E0673E"/>
    <w:pPr>
      <w:spacing w:before="120"/>
      <w:ind w:firstLine="720"/>
    </w:pPr>
    <w:rPr>
      <w:rFonts w:eastAsia="Times New Roman"/>
      <w:szCs w:val="24"/>
    </w:rPr>
  </w:style>
  <w:style w:type="character" w:customStyle="1" w:styleId="Paragraph0">
    <w:name w:val="Paragraph 字符"/>
    <w:basedOn w:val="a2"/>
    <w:link w:val="Paragraph"/>
    <w:rsid w:val="00516804"/>
    <w:rPr>
      <w:rFonts w:eastAsia="Times New Roman"/>
      <w:sz w:val="24"/>
      <w:szCs w:val="24"/>
    </w:rPr>
  </w:style>
  <w:style w:type="paragraph" w:customStyle="1" w:styleId="EndNoteCategoryHeading">
    <w:name w:val="EndNote Category Heading"/>
    <w:basedOn w:val="a1"/>
    <w:link w:val="EndNoteCategoryHeading0"/>
    <w:rsid w:val="00192EDA"/>
    <w:pPr>
      <w:spacing w:before="120" w:after="120" w:line="480" w:lineRule="auto"/>
    </w:pPr>
    <w:rPr>
      <w:rFonts w:eastAsia="Times New Roman"/>
      <w:b/>
      <w:noProof/>
      <w:sz w:val="20"/>
    </w:rPr>
  </w:style>
  <w:style w:type="character" w:customStyle="1" w:styleId="EndNoteCategoryHeading0">
    <w:name w:val="EndNote Category Heading 字符"/>
    <w:basedOn w:val="a2"/>
    <w:link w:val="EndNoteCategoryHeading"/>
    <w:rsid w:val="00192EDA"/>
    <w:rPr>
      <w:rFonts w:eastAsia="Times New Roman"/>
      <w:b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7.tiff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5.tiff"/><Relationship Id="rId29" Type="http://schemas.openxmlformats.org/officeDocument/2006/relationships/image" Target="media/image18.png"/><Relationship Id="rId11" Type="http://schemas.openxmlformats.org/officeDocument/2006/relationships/image" Target="media/image1.tiff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image" Target="media/image8.tif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proteinatlas.org" TargetMode="External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image" Target="media/image40.pn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6.tiff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20" Type="http://schemas.openxmlformats.org/officeDocument/2006/relationships/image" Target="media/image9.png"/><Relationship Id="rId41" Type="http://schemas.openxmlformats.org/officeDocument/2006/relationships/image" Target="media/image30.png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4.tiff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30B3C63-951B-4E75-9AB3-536017FCF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4249</TotalTime>
  <Pages>20</Pages>
  <Words>898</Words>
  <Characters>5120</Characters>
  <Application>Microsoft Office Word</Application>
  <DocSecurity>0</DocSecurity>
  <Lines>42</Lines>
  <Paragraphs>12</Paragraphs>
  <ScaleCrop>false</ScaleCrop>
  <Company>AAAS</Company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lijun Zhou</cp:lastModifiedBy>
  <cp:revision>306</cp:revision>
  <cp:lastPrinted>2018-01-11T19:53:00Z</cp:lastPrinted>
  <dcterms:created xsi:type="dcterms:W3CDTF">2021-06-16T21:37:00Z</dcterms:created>
  <dcterms:modified xsi:type="dcterms:W3CDTF">2023-07-31T09:47:00Z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