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3E5B" w:rsidRPr="008A3E5B" w:rsidRDefault="008A3E5B">
      <w:pPr>
        <w:rPr>
          <w:rFonts w:ascii="Times New Roman" w:hAnsi="Times New Roman" w:cs="Times New Roman"/>
          <w:b/>
          <w:bCs/>
          <w:noProof/>
        </w:rPr>
      </w:pPr>
      <w:r w:rsidRPr="008A3E5B">
        <w:rPr>
          <w:rFonts w:ascii="Times New Roman" w:hAnsi="Times New Roman" w:cs="Times New Roman"/>
          <w:b/>
          <w:bCs/>
          <w:noProof/>
        </w:rPr>
        <w:t xml:space="preserve">Supplementary Figure </w:t>
      </w:r>
      <w:r w:rsidR="007B6D3C">
        <w:rPr>
          <w:rFonts w:ascii="Times New Roman" w:hAnsi="Times New Roman" w:cs="Times New Roman"/>
          <w:b/>
          <w:bCs/>
          <w:noProof/>
        </w:rPr>
        <w:t>1</w:t>
      </w:r>
    </w:p>
    <w:p w:rsidR="008A3E5B" w:rsidRDefault="008A3E5B">
      <w:pPr>
        <w:rPr>
          <w:noProof/>
        </w:rPr>
      </w:pPr>
    </w:p>
    <w:p w:rsidR="007B6D3C" w:rsidRDefault="007B6D3C">
      <w:pPr>
        <w:rPr>
          <w:noProof/>
        </w:rPr>
      </w:pPr>
      <w:r w:rsidRPr="007B6D3C">
        <w:rPr>
          <w:noProof/>
        </w:rPr>
        <w:drawing>
          <wp:inline distT="0" distB="0" distL="0" distR="0" wp14:anchorId="75E9E68F" wp14:editId="2A59E33E">
            <wp:extent cx="5400040" cy="3965575"/>
            <wp:effectExtent l="0" t="0" r="0" b="0"/>
            <wp:docPr id="14717722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722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E5B" w:rsidRDefault="008A3E5B" w:rsidP="007B6D3C">
      <w:pPr>
        <w:rPr>
          <w:noProof/>
        </w:rPr>
      </w:pPr>
    </w:p>
    <w:p w:rsidR="00190B24" w:rsidRDefault="00190B24" w:rsidP="00190B24">
      <w:pPr>
        <w:jc w:val="left"/>
        <w:rPr>
          <w:rFonts w:ascii="Times New Roman" w:hAnsi="Times New Roman" w:cs="Times New Roman"/>
          <w:b/>
          <w:color w:val="000000" w:themeColor="text1"/>
        </w:rPr>
      </w:pPr>
    </w:p>
    <w:p w:rsidR="006E32D9" w:rsidRPr="00C47090" w:rsidRDefault="00190B24" w:rsidP="006E32D9">
      <w:pPr>
        <w:contextualSpacing/>
        <w:jc w:val="left"/>
        <w:outlineLvl w:val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4709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Supplementary Figure </w:t>
      </w:r>
      <w:r w:rsidR="007B6D3C" w:rsidRPr="00C4709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1</w:t>
      </w:r>
      <w:r w:rsidRPr="00C4709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:</w:t>
      </w:r>
      <w:r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Treatment protocol for preoperative bevacizumab and temozolomide. An initial safety evaluation was made for the initial 7 cases. For these 7 cases, </w:t>
      </w:r>
      <w:r w:rsidR="006E32D9" w:rsidRPr="00C47090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adverse events</w:t>
      </w:r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within 3 months of resection surgery were evaluated</w:t>
      </w:r>
      <w:r w:rsidR="006E32D9" w:rsidRPr="00C47090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, with the study to be stopped and not proceed in the event of more than three non-hematological severe adverse events (SAEs) possibly related to preoperative </w:t>
      </w:r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>Bev and TMZ</w:t>
      </w:r>
      <w:r w:rsidR="006E32D9" w:rsidRPr="00C47090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, or two cases that did not undergo resection surgery due to reasons possibly related to preoperative </w:t>
      </w:r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>Bev and TMZ</w:t>
      </w:r>
      <w:r w:rsidR="006E32D9" w:rsidRPr="00C47090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.</w:t>
      </w:r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Safety evaluations for the initial 7 cases demonstrated 1 non-hematological SAE within 3 months of resection surgery possibly related to the preoperative therapy, as grade 3 wound infection in Neo-Bev-2 in which a </w:t>
      </w:r>
      <w:proofErr w:type="spellStart"/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>carmustine</w:t>
      </w:r>
      <w:proofErr w:type="spellEnd"/>
      <w:r w:rsidR="006E32D9"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wafer had been placed. Neither cancelation nor postponement of resection surgery was required for any of the 7 cases and resection surgeries were performed as scheduled. The data and safety monitoring committee therefore judged the study protocol as tolerable and approved enrollment of the additional 8 cases.</w:t>
      </w:r>
    </w:p>
    <w:p w:rsidR="00190B24" w:rsidRPr="00C47090" w:rsidRDefault="006E32D9" w:rsidP="006E32D9">
      <w:pPr>
        <w:contextualSpacing/>
        <w:jc w:val="left"/>
        <w:outlineLvl w:val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47090">
        <w:rPr>
          <w:rFonts w:ascii="Times New Roman" w:hAnsi="Times New Roman" w:cs="Times New Roman"/>
          <w:color w:val="000000" w:themeColor="text1"/>
          <w:sz w:val="22"/>
          <w:szCs w:val="22"/>
        </w:rPr>
        <w:t>CT, computed tomography; GBM, glioblastoma multiforme; RT, radiotherapy; TMZ, temozolomide.</w:t>
      </w:r>
    </w:p>
    <w:sectPr w:rsidR="00190B24" w:rsidRPr="00C47090" w:rsidSect="009D1BA0">
      <w:pgSz w:w="11900" w:h="1682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E5B"/>
    <w:rsid w:val="000742C6"/>
    <w:rsid w:val="00190B24"/>
    <w:rsid w:val="002840C9"/>
    <w:rsid w:val="002B247D"/>
    <w:rsid w:val="00384E96"/>
    <w:rsid w:val="003B3FE2"/>
    <w:rsid w:val="0057254C"/>
    <w:rsid w:val="005E1E34"/>
    <w:rsid w:val="006E32D9"/>
    <w:rsid w:val="007A3FD6"/>
    <w:rsid w:val="007B6D3C"/>
    <w:rsid w:val="007C44D0"/>
    <w:rsid w:val="008A3E5B"/>
    <w:rsid w:val="00905B85"/>
    <w:rsid w:val="009D1BA0"/>
    <w:rsid w:val="009F41EB"/>
    <w:rsid w:val="00B013C5"/>
    <w:rsid w:val="00B41370"/>
    <w:rsid w:val="00C47090"/>
    <w:rsid w:val="00E1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F85C95"/>
  <w15:chartTrackingRefBased/>
  <w15:docId w15:val="{2227E3BF-6681-CF48-B7C1-DCA4F99B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俊英 田中</dc:creator>
  <cp:keywords/>
  <dc:description/>
  <cp:lastModifiedBy>俊英 田中</cp:lastModifiedBy>
  <cp:revision>8</cp:revision>
  <cp:lastPrinted>2023-07-31T01:42:00Z</cp:lastPrinted>
  <dcterms:created xsi:type="dcterms:W3CDTF">2023-07-31T00:56:00Z</dcterms:created>
  <dcterms:modified xsi:type="dcterms:W3CDTF">2023-07-31T01:48:00Z</dcterms:modified>
</cp:coreProperties>
</file>