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09E58" w14:textId="77777777" w:rsidR="005B51C2" w:rsidRPr="00A9247E" w:rsidRDefault="005B51C2" w:rsidP="005B51C2">
      <w:pPr>
        <w:widowControl/>
        <w:spacing w:line="360" w:lineRule="auto"/>
        <w:rPr>
          <w:rFonts w:ascii="Times New Roman" w:eastAsia="宋体" w:hAnsi="Times New Roman" w:cs="Times New Roman"/>
          <w:b/>
          <w:bCs/>
          <w:sz w:val="32"/>
          <w:szCs w:val="32"/>
          <w:lang w:bidi="hi-IN"/>
        </w:rPr>
      </w:pPr>
      <w:r w:rsidRPr="00A9247E">
        <w:rPr>
          <w:rFonts w:ascii="Times New Roman" w:eastAsia="宋体" w:hAnsi="Times New Roman" w:cs="Times New Roman"/>
          <w:b/>
          <w:bCs/>
          <w:i/>
          <w:iCs/>
          <w:sz w:val="32"/>
          <w:szCs w:val="32"/>
          <w:lang w:bidi="hi-IN"/>
        </w:rPr>
        <w:t>In silico</w:t>
      </w:r>
      <w:r w:rsidRPr="00A9247E">
        <w:rPr>
          <w:rFonts w:ascii="Times New Roman" w:eastAsia="宋体" w:hAnsi="Times New Roman" w:cs="Times New Roman"/>
          <w:b/>
          <w:bCs/>
          <w:sz w:val="32"/>
          <w:szCs w:val="32"/>
          <w:lang w:bidi="hi-IN"/>
        </w:rPr>
        <w:t xml:space="preserve"> study to identify novel NEK7 inhibitors from natural source by a combination strategy</w:t>
      </w:r>
    </w:p>
    <w:p w14:paraId="3B377CB2" w14:textId="77777777" w:rsidR="005B51C2" w:rsidRPr="00A9247E" w:rsidRDefault="005B51C2" w:rsidP="005B51C2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5AB793A0" w14:textId="77777777" w:rsidR="005B51C2" w:rsidRDefault="005B51C2" w:rsidP="005B51C2">
      <w:pPr>
        <w:spacing w:line="36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Heng Zhang 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Yu Wang 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,</w:t>
      </w:r>
      <w:r w:rsidRPr="00A924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Chenhong Lu 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Qingcai Jiao </w:t>
      </w:r>
      <w:r>
        <w:rPr>
          <w:rFonts w:ascii="Times New Roman" w:hAnsi="Times New Roman" w:cs="Times New Roman"/>
          <w:vertAlign w:val="superscript"/>
        </w:rPr>
        <w:t>a, *</w:t>
      </w:r>
    </w:p>
    <w:p w14:paraId="4FA74E98" w14:textId="77777777" w:rsidR="005B51C2" w:rsidRDefault="005B51C2" w:rsidP="005B51C2">
      <w:pPr>
        <w:spacing w:line="360" w:lineRule="auto"/>
        <w:rPr>
          <w:rFonts w:ascii="Times New Roman" w:hAnsi="Times New Roman" w:cs="Times New Roman"/>
          <w:vertAlign w:val="superscript"/>
        </w:rPr>
      </w:pPr>
    </w:p>
    <w:p w14:paraId="607F0584" w14:textId="77777777" w:rsidR="005B51C2" w:rsidRDefault="005B51C2" w:rsidP="005B51C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a </w:t>
      </w:r>
      <w:r>
        <w:rPr>
          <w:rFonts w:ascii="Times New Roman" w:hAnsi="Times New Roman" w:cs="Times New Roman"/>
        </w:rPr>
        <w:t>State Key Laboratory of Pharmaceutical Biotechnology, School of Life Sciences, Nanjing University, Nanjing, 210023, China</w:t>
      </w:r>
    </w:p>
    <w:p w14:paraId="0403932A" w14:textId="77777777" w:rsidR="005B51C2" w:rsidRDefault="005B51C2" w:rsidP="005B51C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 xml:space="preserve"> Corresponding author</w:t>
      </w:r>
    </w:p>
    <w:p w14:paraId="18316F8D" w14:textId="77777777" w:rsidR="005B51C2" w:rsidRDefault="005B51C2" w:rsidP="005B51C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E-mail addresses: jiaoqingcai@126.com (Q. Jiao).</w:t>
      </w:r>
    </w:p>
    <w:p w14:paraId="3B913E07" w14:textId="77777777" w:rsidR="005B51C2" w:rsidRDefault="005B51C2" w:rsidP="005B51C2"/>
    <w:p w14:paraId="4E056929" w14:textId="77777777" w:rsidR="00D4435B" w:rsidRDefault="00D4435B" w:rsidP="005B51C2"/>
    <w:p w14:paraId="40A022D6" w14:textId="77777777" w:rsidR="00D4435B" w:rsidRDefault="00D4435B" w:rsidP="005B51C2"/>
    <w:p w14:paraId="5A653685" w14:textId="77777777" w:rsidR="00D4435B" w:rsidRDefault="00D4435B" w:rsidP="005B51C2"/>
    <w:p w14:paraId="77E970CB" w14:textId="77777777" w:rsidR="00D4435B" w:rsidRDefault="00D4435B" w:rsidP="005B51C2"/>
    <w:p w14:paraId="51990BD7" w14:textId="77777777" w:rsidR="00D4435B" w:rsidRDefault="00D4435B" w:rsidP="005B51C2"/>
    <w:p w14:paraId="776806C0" w14:textId="77777777" w:rsidR="00D4435B" w:rsidRDefault="00D4435B" w:rsidP="005B51C2"/>
    <w:p w14:paraId="6CD7F72C" w14:textId="77777777" w:rsidR="005B51C2" w:rsidRPr="00A9247E" w:rsidRDefault="004B1C5D" w:rsidP="005B51C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9FFCC6D" wp14:editId="355225E6">
            <wp:extent cx="5274310" cy="3155950"/>
            <wp:effectExtent l="0" t="0" r="0" b="6350"/>
            <wp:docPr id="17068713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243E7" w14:textId="09461FA9" w:rsidR="005B51C2" w:rsidRPr="00A9247E" w:rsidRDefault="005B51C2" w:rsidP="005B51C2">
      <w:pPr>
        <w:rPr>
          <w:rFonts w:ascii="Times New Roman" w:hAnsi="Times New Roman" w:cs="Times New Roman"/>
          <w:sz w:val="24"/>
          <w:szCs w:val="24"/>
        </w:rPr>
      </w:pPr>
      <w:r w:rsidRPr="00A9247E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37EE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9247E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B1C5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9247E">
        <w:rPr>
          <w:rFonts w:ascii="Times New Roman" w:hAnsi="Times New Roman" w:cs="Times New Roman"/>
          <w:sz w:val="24"/>
          <w:szCs w:val="24"/>
        </w:rPr>
        <w:t xml:space="preserve"> Comparative overlay of the initial and the re-docked ligand. The initial ligand is depicted in red, while the re-docked ligand, post-optimization of parameters, is illustrated in blue.</w:t>
      </w:r>
    </w:p>
    <w:p w14:paraId="0763C492" w14:textId="77777777" w:rsidR="005B51C2" w:rsidRDefault="005B51C2" w:rsidP="005B51C2"/>
    <w:p w14:paraId="1978CBBD" w14:textId="77777777" w:rsidR="005B51C2" w:rsidRDefault="005B51C2" w:rsidP="005B51C2"/>
    <w:p w14:paraId="4A2CDC10" w14:textId="77777777" w:rsidR="005B51C2" w:rsidRDefault="005B51C2" w:rsidP="005B51C2"/>
    <w:p w14:paraId="360339D0" w14:textId="77777777" w:rsidR="005B51C2" w:rsidRDefault="005B51C2" w:rsidP="005B51C2"/>
    <w:p w14:paraId="34CDBEE6" w14:textId="77777777" w:rsidR="005B51C2" w:rsidRDefault="005B51C2" w:rsidP="005B51C2"/>
    <w:p w14:paraId="54214B54" w14:textId="77777777" w:rsidR="005B51C2" w:rsidRDefault="005B51C2" w:rsidP="005B51C2"/>
    <w:p w14:paraId="1C53C430" w14:textId="77777777" w:rsidR="005B51C2" w:rsidRDefault="005B51C2" w:rsidP="005B51C2"/>
    <w:p w14:paraId="549A23C7" w14:textId="77777777" w:rsidR="005B51C2" w:rsidRDefault="005B51C2" w:rsidP="005B51C2"/>
    <w:p w14:paraId="385B67EE" w14:textId="77777777" w:rsidR="005B51C2" w:rsidRDefault="005B51C2" w:rsidP="005B51C2"/>
    <w:p w14:paraId="25AED8C0" w14:textId="54B0E908" w:rsidR="005B51C2" w:rsidRPr="00C00052" w:rsidRDefault="005B51C2" w:rsidP="005B51C2">
      <w:pPr>
        <w:rPr>
          <w:rFonts w:ascii="Times New Roman" w:hAnsi="Times New Roman" w:cs="Times New Roman"/>
          <w:sz w:val="24"/>
          <w:szCs w:val="24"/>
        </w:rPr>
      </w:pPr>
      <w:r w:rsidRPr="00C00052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537EE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00052">
        <w:rPr>
          <w:rFonts w:ascii="Times New Roman" w:hAnsi="Times New Roman" w:cs="Times New Roman"/>
          <w:b/>
          <w:bCs/>
          <w:sz w:val="24"/>
          <w:szCs w:val="24"/>
        </w:rPr>
        <w:t xml:space="preserve"> S2 </w:t>
      </w:r>
      <w:r w:rsidRPr="00C00052">
        <w:rPr>
          <w:rFonts w:ascii="Times New Roman" w:hAnsi="Times New Roman" w:cs="Times New Roman"/>
          <w:sz w:val="24"/>
          <w:szCs w:val="24"/>
        </w:rPr>
        <w:t xml:space="preserve">Time evolution for Secondary structure of </w:t>
      </w:r>
      <w:bookmarkStart w:id="0" w:name="_Hlk124276648"/>
      <w:r w:rsidRPr="00C00052">
        <w:rPr>
          <w:rFonts w:ascii="Times New Roman" w:hAnsi="Times New Roman" w:cs="Times New Roman"/>
          <w:sz w:val="24"/>
          <w:szCs w:val="24"/>
        </w:rPr>
        <w:t xml:space="preserve">(A) dabrafenib, (B) </w:t>
      </w:r>
      <w:bookmarkStart w:id="1" w:name="_Hlk135684926"/>
      <w:r w:rsidRPr="00C00052">
        <w:rPr>
          <w:rFonts w:ascii="Times New Roman" w:hAnsi="Times New Roman" w:cs="Times New Roman"/>
          <w:sz w:val="24"/>
          <w:szCs w:val="24"/>
        </w:rPr>
        <w:t>scutellarin</w:t>
      </w:r>
      <w:bookmarkEnd w:id="1"/>
      <w:r w:rsidRPr="00C00052">
        <w:rPr>
          <w:rFonts w:ascii="Times New Roman" w:hAnsi="Times New Roman" w:cs="Times New Roman"/>
          <w:sz w:val="24"/>
          <w:szCs w:val="24"/>
        </w:rPr>
        <w:t>, (C) digallic acid, and (D) (-)-balanol</w:t>
      </w:r>
      <w:bookmarkEnd w:id="0"/>
      <w:r w:rsidRPr="00C0005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B84BA27" wp14:editId="1DE63C97">
            <wp:simplePos x="719138" y="719138"/>
            <wp:positionH relativeFrom="column">
              <wp:align>center</wp:align>
            </wp:positionH>
            <wp:positionV relativeFrom="paragraph">
              <wp:posOffset>0</wp:posOffset>
            </wp:positionV>
            <wp:extent cx="6109200" cy="3088800"/>
            <wp:effectExtent l="0" t="0" r="6350" b="0"/>
            <wp:wrapTopAndBottom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200" cy="308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0052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3FBDF592" w14:textId="77777777" w:rsidR="00A7172E" w:rsidRDefault="00A7172E"/>
    <w:p w14:paraId="7582C83D" w14:textId="77777777" w:rsidR="005B51C2" w:rsidRDefault="005B51C2"/>
    <w:p w14:paraId="3548C313" w14:textId="77777777" w:rsidR="005B51C2" w:rsidRDefault="005B51C2">
      <w:pPr>
        <w:sectPr w:rsidR="005B51C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706D92" w14:textId="77777777" w:rsidR="005B51C2" w:rsidRDefault="005B51C2" w:rsidP="005B51C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284052" w14:textId="77777777" w:rsidR="00D4435B" w:rsidRDefault="00D4435B" w:rsidP="005B51C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38722A" w14:textId="77777777" w:rsidR="00D4435B" w:rsidRDefault="00D4435B" w:rsidP="005B51C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809013" w14:textId="77777777" w:rsidR="00D4435B" w:rsidRDefault="00D4435B" w:rsidP="005B51C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23E213" w14:textId="21E8CA2D" w:rsidR="005B51C2" w:rsidRDefault="005B51C2" w:rsidP="005B51C2">
      <w:pPr>
        <w:rPr>
          <w:rFonts w:ascii="Times New Roman" w:hAnsi="Times New Roman" w:cs="Times New Roman"/>
          <w:sz w:val="24"/>
          <w:szCs w:val="24"/>
        </w:rPr>
      </w:pPr>
      <w:r w:rsidRPr="000C4F2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0C4F2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0C4F2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C4F29">
        <w:rPr>
          <w:rFonts w:ascii="Times New Roman" w:hAnsi="Times New Roman" w:cs="Times New Roman"/>
          <w:sz w:val="24"/>
          <w:szCs w:val="24"/>
        </w:rPr>
        <w:t xml:space="preserve"> MM-GBSA binding energies of dacomitinib and neratinib complexes (kcal/mol).</w:t>
      </w:r>
    </w:p>
    <w:p w14:paraId="78A4BD14" w14:textId="77777777" w:rsidR="005B51C2" w:rsidRPr="000C4F29" w:rsidRDefault="005B51C2" w:rsidP="005B51C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9"/>
        <w:gridCol w:w="1788"/>
        <w:gridCol w:w="1788"/>
        <w:gridCol w:w="1712"/>
        <w:gridCol w:w="1676"/>
        <w:gridCol w:w="1787"/>
        <w:gridCol w:w="1711"/>
        <w:gridCol w:w="1787"/>
      </w:tblGrid>
      <w:tr w:rsidR="005B51C2" w:rsidRPr="008E560B" w14:paraId="1D6EDB04" w14:textId="77777777" w:rsidTr="00574F88">
        <w:trPr>
          <w:trHeight w:val="397"/>
        </w:trPr>
        <w:tc>
          <w:tcPr>
            <w:tcW w:w="61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F6A1B9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8E560B">
              <w:rPr>
                <w:rFonts w:ascii="Times New Roman" w:eastAsia="宋体" w:hAnsi="Times New Roman" w:cs="Times New Roman" w:hint="eastAsia"/>
                <w:b/>
                <w:bCs/>
                <w:sz w:val="21"/>
                <w:szCs w:val="21"/>
              </w:rPr>
              <w:t>Hit</w:t>
            </w:r>
            <w:r w:rsidRPr="008E560B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 xml:space="preserve"> compounds</w:t>
            </w:r>
          </w:p>
        </w:tc>
        <w:tc>
          <w:tcPr>
            <w:tcW w:w="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A720FB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VDWAALS</w:t>
            </w:r>
          </w:p>
        </w:tc>
        <w:tc>
          <w:tcPr>
            <w:tcW w:w="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A910CD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EEL</w:t>
            </w:r>
          </w:p>
        </w:tc>
        <w:tc>
          <w:tcPr>
            <w:tcW w:w="61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F67D96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EGB</w:t>
            </w:r>
          </w:p>
        </w:tc>
        <w:tc>
          <w:tcPr>
            <w:tcW w:w="6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3CB9A8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ESURF</w:t>
            </w:r>
          </w:p>
        </w:tc>
        <w:tc>
          <w:tcPr>
            <w:tcW w:w="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AB5DE4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ΔG</w:t>
            </w: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vertAlign w:val="subscript"/>
              </w:rPr>
              <w:t>gas</w:t>
            </w:r>
          </w:p>
        </w:tc>
        <w:tc>
          <w:tcPr>
            <w:tcW w:w="61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3DB0F8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ΔG</w:t>
            </w: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  <w:vertAlign w:val="subscript"/>
              </w:rPr>
              <w:t>solv</w:t>
            </w:r>
          </w:p>
        </w:tc>
        <w:tc>
          <w:tcPr>
            <w:tcW w:w="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BAFC54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Binding Energy</w:t>
            </w:r>
          </w:p>
        </w:tc>
      </w:tr>
      <w:tr w:rsidR="005B51C2" w:rsidRPr="008E560B" w14:paraId="7D3C258C" w14:textId="77777777" w:rsidTr="00574F88">
        <w:trPr>
          <w:trHeight w:val="397"/>
        </w:trPr>
        <w:tc>
          <w:tcPr>
            <w:tcW w:w="612" w:type="pct"/>
            <w:tcBorders>
              <w:top w:val="single" w:sz="12" w:space="0" w:color="auto"/>
            </w:tcBorders>
            <w:vAlign w:val="center"/>
          </w:tcPr>
          <w:p w14:paraId="40D4DA48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Dabrafenib</w:t>
            </w:r>
          </w:p>
        </w:tc>
        <w:tc>
          <w:tcPr>
            <w:tcW w:w="640" w:type="pct"/>
            <w:tcBorders>
              <w:top w:val="single" w:sz="12" w:space="0" w:color="auto"/>
            </w:tcBorders>
            <w:vAlign w:val="center"/>
          </w:tcPr>
          <w:p w14:paraId="40C6CDFA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-30.9384±0.3900</w:t>
            </w:r>
          </w:p>
        </w:tc>
        <w:tc>
          <w:tcPr>
            <w:tcW w:w="640" w:type="pct"/>
            <w:tcBorders>
              <w:top w:val="single" w:sz="12" w:space="0" w:color="auto"/>
            </w:tcBorders>
            <w:vAlign w:val="center"/>
          </w:tcPr>
          <w:p w14:paraId="25D8D726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-2.3950±0.1350</w:t>
            </w:r>
          </w:p>
        </w:tc>
        <w:tc>
          <w:tcPr>
            <w:tcW w:w="613" w:type="pct"/>
            <w:tcBorders>
              <w:top w:val="single" w:sz="12" w:space="0" w:color="auto"/>
            </w:tcBorders>
            <w:vAlign w:val="center"/>
          </w:tcPr>
          <w:p w14:paraId="0AC292CB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8.2080±0.1330</w:t>
            </w:r>
          </w:p>
        </w:tc>
        <w:tc>
          <w:tcPr>
            <w:tcW w:w="600" w:type="pct"/>
            <w:tcBorders>
              <w:top w:val="single" w:sz="12" w:space="0" w:color="auto"/>
            </w:tcBorders>
            <w:vAlign w:val="center"/>
          </w:tcPr>
          <w:p w14:paraId="65861BE2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-5.6753±0.0448</w:t>
            </w:r>
          </w:p>
        </w:tc>
        <w:tc>
          <w:tcPr>
            <w:tcW w:w="640" w:type="pct"/>
            <w:tcBorders>
              <w:top w:val="single" w:sz="12" w:space="0" w:color="auto"/>
            </w:tcBorders>
            <w:vAlign w:val="center"/>
          </w:tcPr>
          <w:p w14:paraId="64E89866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-33.333±0.3702</w:t>
            </w:r>
          </w:p>
        </w:tc>
        <w:tc>
          <w:tcPr>
            <w:tcW w:w="613" w:type="pct"/>
            <w:tcBorders>
              <w:top w:val="single" w:sz="12" w:space="0" w:color="auto"/>
            </w:tcBorders>
            <w:vAlign w:val="center"/>
          </w:tcPr>
          <w:p w14:paraId="4A2B5F17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2.5327±0.1423</w:t>
            </w:r>
          </w:p>
        </w:tc>
        <w:tc>
          <w:tcPr>
            <w:tcW w:w="640" w:type="pct"/>
            <w:tcBorders>
              <w:top w:val="single" w:sz="12" w:space="0" w:color="auto"/>
            </w:tcBorders>
            <w:vAlign w:val="center"/>
          </w:tcPr>
          <w:p w14:paraId="7CEBCD9E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-30.8007±0.4079</w:t>
            </w:r>
          </w:p>
        </w:tc>
      </w:tr>
      <w:tr w:rsidR="005B51C2" w:rsidRPr="008E560B" w14:paraId="5EEE01EF" w14:textId="77777777" w:rsidTr="00574F88">
        <w:trPr>
          <w:trHeight w:val="397"/>
        </w:trPr>
        <w:tc>
          <w:tcPr>
            <w:tcW w:w="612" w:type="pct"/>
            <w:vAlign w:val="center"/>
          </w:tcPr>
          <w:p w14:paraId="07797582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Scutellarin</w:t>
            </w:r>
          </w:p>
        </w:tc>
        <w:tc>
          <w:tcPr>
            <w:tcW w:w="640" w:type="pct"/>
            <w:vAlign w:val="center"/>
          </w:tcPr>
          <w:p w14:paraId="599DA343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-28.7743±0.4187</w:t>
            </w:r>
          </w:p>
        </w:tc>
        <w:tc>
          <w:tcPr>
            <w:tcW w:w="640" w:type="pct"/>
            <w:vAlign w:val="center"/>
          </w:tcPr>
          <w:p w14:paraId="0F8D3389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-39.7494±1.4019</w:t>
            </w:r>
          </w:p>
        </w:tc>
        <w:tc>
          <w:tcPr>
            <w:tcW w:w="613" w:type="pct"/>
            <w:vAlign w:val="center"/>
          </w:tcPr>
          <w:p w14:paraId="36FEBB5A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38.8519±1.2495</w:t>
            </w:r>
          </w:p>
        </w:tc>
        <w:tc>
          <w:tcPr>
            <w:tcW w:w="600" w:type="pct"/>
            <w:vAlign w:val="center"/>
          </w:tcPr>
          <w:p w14:paraId="65664874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-5.4679±0.0571</w:t>
            </w:r>
          </w:p>
        </w:tc>
        <w:tc>
          <w:tcPr>
            <w:tcW w:w="640" w:type="pct"/>
            <w:vAlign w:val="center"/>
          </w:tcPr>
          <w:p w14:paraId="1FF68566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-68.5237±1.4163</w:t>
            </w:r>
          </w:p>
        </w:tc>
        <w:tc>
          <w:tcPr>
            <w:tcW w:w="613" w:type="pct"/>
            <w:vAlign w:val="center"/>
          </w:tcPr>
          <w:p w14:paraId="4F686C2D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33.3839±1.3797</w:t>
            </w:r>
          </w:p>
        </w:tc>
        <w:tc>
          <w:tcPr>
            <w:tcW w:w="640" w:type="pct"/>
            <w:vAlign w:val="center"/>
          </w:tcPr>
          <w:p w14:paraId="740AD72E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-35.1397±0.4173</w:t>
            </w:r>
          </w:p>
        </w:tc>
      </w:tr>
      <w:tr w:rsidR="005B51C2" w:rsidRPr="008E560B" w14:paraId="4179D0C5" w14:textId="77777777" w:rsidTr="00574F88">
        <w:trPr>
          <w:trHeight w:val="397"/>
        </w:trPr>
        <w:tc>
          <w:tcPr>
            <w:tcW w:w="612" w:type="pct"/>
            <w:vAlign w:val="center"/>
          </w:tcPr>
          <w:p w14:paraId="6BCD2256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bookmarkStart w:id="2" w:name="_Hlk135685122"/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Digallic acid</w:t>
            </w:r>
          </w:p>
        </w:tc>
        <w:tc>
          <w:tcPr>
            <w:tcW w:w="640" w:type="pct"/>
            <w:vAlign w:val="center"/>
          </w:tcPr>
          <w:p w14:paraId="37AB2864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-35.9776±0.4407</w:t>
            </w:r>
          </w:p>
        </w:tc>
        <w:tc>
          <w:tcPr>
            <w:tcW w:w="640" w:type="pct"/>
            <w:vAlign w:val="center"/>
          </w:tcPr>
          <w:p w14:paraId="3C395494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-34.6646±0.8305</w:t>
            </w:r>
          </w:p>
        </w:tc>
        <w:tc>
          <w:tcPr>
            <w:tcW w:w="613" w:type="pct"/>
            <w:vAlign w:val="center"/>
          </w:tcPr>
          <w:p w14:paraId="7E6E79D8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34.3463±0.6742</w:t>
            </w:r>
          </w:p>
        </w:tc>
        <w:tc>
          <w:tcPr>
            <w:tcW w:w="600" w:type="pct"/>
            <w:vAlign w:val="center"/>
          </w:tcPr>
          <w:p w14:paraId="6F4549A1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-4.4181±0.049</w:t>
            </w:r>
          </w:p>
        </w:tc>
        <w:tc>
          <w:tcPr>
            <w:tcW w:w="640" w:type="pct"/>
            <w:vAlign w:val="center"/>
          </w:tcPr>
          <w:p w14:paraId="5026908F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-70.6422±0.5790</w:t>
            </w:r>
          </w:p>
        </w:tc>
        <w:tc>
          <w:tcPr>
            <w:tcW w:w="613" w:type="pct"/>
            <w:vAlign w:val="center"/>
          </w:tcPr>
          <w:p w14:paraId="7284AD84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29.9282±0.6928</w:t>
            </w:r>
          </w:p>
        </w:tc>
        <w:tc>
          <w:tcPr>
            <w:tcW w:w="640" w:type="pct"/>
            <w:vAlign w:val="center"/>
          </w:tcPr>
          <w:p w14:paraId="67018C8C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-40.7140±0.3278</w:t>
            </w:r>
          </w:p>
        </w:tc>
      </w:tr>
      <w:bookmarkEnd w:id="2"/>
      <w:tr w:rsidR="005B51C2" w:rsidRPr="008E560B" w14:paraId="4EF37FB5" w14:textId="77777777" w:rsidTr="00574F88">
        <w:trPr>
          <w:trHeight w:val="397"/>
        </w:trPr>
        <w:tc>
          <w:tcPr>
            <w:tcW w:w="612" w:type="pct"/>
            <w:vAlign w:val="center"/>
          </w:tcPr>
          <w:p w14:paraId="794ADD58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b/>
                <w:bCs/>
                <w:sz w:val="21"/>
                <w:szCs w:val="21"/>
              </w:rPr>
              <w:t>(-)-Balanol</w:t>
            </w:r>
          </w:p>
        </w:tc>
        <w:tc>
          <w:tcPr>
            <w:tcW w:w="640" w:type="pct"/>
            <w:vAlign w:val="center"/>
          </w:tcPr>
          <w:p w14:paraId="481A799F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-39.7278±0.5073</w:t>
            </w:r>
          </w:p>
        </w:tc>
        <w:tc>
          <w:tcPr>
            <w:tcW w:w="640" w:type="pct"/>
            <w:vAlign w:val="center"/>
          </w:tcPr>
          <w:p w14:paraId="3AB89DF5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-12.2731±0.6681</w:t>
            </w:r>
          </w:p>
        </w:tc>
        <w:tc>
          <w:tcPr>
            <w:tcW w:w="613" w:type="pct"/>
            <w:vAlign w:val="center"/>
          </w:tcPr>
          <w:p w14:paraId="579087A2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13.4127±0.5714</w:t>
            </w:r>
          </w:p>
        </w:tc>
        <w:tc>
          <w:tcPr>
            <w:tcW w:w="600" w:type="pct"/>
            <w:vAlign w:val="center"/>
          </w:tcPr>
          <w:p w14:paraId="5EB04491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-5.2556±0.0702</w:t>
            </w:r>
          </w:p>
        </w:tc>
        <w:tc>
          <w:tcPr>
            <w:tcW w:w="640" w:type="pct"/>
            <w:vAlign w:val="center"/>
          </w:tcPr>
          <w:p w14:paraId="2B434C0A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-52.0009±0.9390</w:t>
            </w:r>
          </w:p>
        </w:tc>
        <w:tc>
          <w:tcPr>
            <w:tcW w:w="613" w:type="pct"/>
            <w:vAlign w:val="center"/>
          </w:tcPr>
          <w:p w14:paraId="4FC8DB8C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8.1570±0.5238</w:t>
            </w:r>
          </w:p>
        </w:tc>
        <w:tc>
          <w:tcPr>
            <w:tcW w:w="640" w:type="pct"/>
            <w:vAlign w:val="center"/>
          </w:tcPr>
          <w:p w14:paraId="679B6160" w14:textId="77777777" w:rsidR="005B51C2" w:rsidRPr="000C4F29" w:rsidRDefault="005B51C2" w:rsidP="00574F88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0C4F29">
              <w:rPr>
                <w:rFonts w:ascii="Times New Roman" w:eastAsia="宋体" w:hAnsi="Times New Roman" w:cs="Times New Roman"/>
                <w:sz w:val="21"/>
                <w:szCs w:val="21"/>
              </w:rPr>
              <w:t>-43.8438±0.5239</w:t>
            </w:r>
          </w:p>
        </w:tc>
      </w:tr>
    </w:tbl>
    <w:p w14:paraId="6E7728CE" w14:textId="77777777" w:rsidR="005B51C2" w:rsidRDefault="005B51C2" w:rsidP="005B51C2">
      <w:pPr>
        <w:rPr>
          <w:rFonts w:ascii="Times New Roman" w:hAnsi="Times New Roman" w:cs="Times New Roman"/>
        </w:rPr>
      </w:pPr>
    </w:p>
    <w:p w14:paraId="6C654FCF" w14:textId="77777777" w:rsidR="005B51C2" w:rsidRPr="000C4F29" w:rsidRDefault="005B51C2" w:rsidP="005B51C2">
      <w:pPr>
        <w:rPr>
          <w:rFonts w:ascii="Times New Roman" w:hAnsi="Times New Roman" w:cs="Times New Roman"/>
        </w:rPr>
      </w:pPr>
      <w:r w:rsidRPr="007C0A62">
        <w:rPr>
          <w:rFonts w:ascii="Times New Roman" w:hAnsi="Times New Roman" w:cs="Times New Roman"/>
        </w:rPr>
        <w:t>The term VDWAALS denotes the van der Waals energy, EEL corresponds to the electrostatic energy, and EGB signifies the polar solvation energy. Furthermore, ESURF is used to describe the non-polar solvation energy. The total gas phase free energy is indicated by DELTA G gas, while DELTA G solv refers to the total solvation free energy.</w:t>
      </w:r>
    </w:p>
    <w:p w14:paraId="05B3A479" w14:textId="77777777" w:rsidR="005B51C2" w:rsidRPr="005B51C2" w:rsidRDefault="005B51C2"/>
    <w:p w14:paraId="57B97B90" w14:textId="77777777" w:rsidR="005B51C2" w:rsidRDefault="005B51C2"/>
    <w:p w14:paraId="01C639B4" w14:textId="77777777" w:rsidR="005B51C2" w:rsidRDefault="005B51C2"/>
    <w:p w14:paraId="2CA06191" w14:textId="77777777" w:rsidR="005B51C2" w:rsidRDefault="005B51C2"/>
    <w:p w14:paraId="1FCBD3D8" w14:textId="77777777" w:rsidR="005B51C2" w:rsidRDefault="005B51C2">
      <w:pPr>
        <w:sectPr w:rsidR="005B51C2" w:rsidSect="005B51C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98AB99E" w14:textId="77777777" w:rsidR="005B51C2" w:rsidRPr="005B51C2" w:rsidRDefault="005B51C2"/>
    <w:sectPr w:rsidR="005B51C2" w:rsidRPr="005B5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D347F" w14:textId="77777777" w:rsidR="00A257F0" w:rsidRDefault="00A257F0" w:rsidP="004B1C5D">
      <w:r>
        <w:separator/>
      </w:r>
    </w:p>
  </w:endnote>
  <w:endnote w:type="continuationSeparator" w:id="0">
    <w:p w14:paraId="4819D858" w14:textId="77777777" w:rsidR="00A257F0" w:rsidRDefault="00A257F0" w:rsidP="004B1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49327" w14:textId="77777777" w:rsidR="00A257F0" w:rsidRDefault="00A257F0" w:rsidP="004B1C5D">
      <w:r>
        <w:separator/>
      </w:r>
    </w:p>
  </w:footnote>
  <w:footnote w:type="continuationSeparator" w:id="0">
    <w:p w14:paraId="11F858D1" w14:textId="77777777" w:rsidR="00A257F0" w:rsidRDefault="00A257F0" w:rsidP="004B1C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1C2"/>
    <w:rsid w:val="004B1C5D"/>
    <w:rsid w:val="00537EE0"/>
    <w:rsid w:val="005B51C2"/>
    <w:rsid w:val="009971D3"/>
    <w:rsid w:val="00A257F0"/>
    <w:rsid w:val="00A7172E"/>
    <w:rsid w:val="00D4435B"/>
    <w:rsid w:val="00FE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EBDF91"/>
  <w15:chartTrackingRefBased/>
  <w15:docId w15:val="{7DC45D33-6A31-4745-80A8-233B4B81C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1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51C2"/>
    <w:rPr>
      <w:rFonts w:ascii="Liberation Serif" w:hAnsi="Liberation Serif" w:cs="Noto Sans CJK SC"/>
      <w:sz w:val="24"/>
      <w:szCs w:val="24"/>
      <w:lang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1C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1C5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1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1C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B1CDC-A603-4799-9FF3-794AB145C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衡</dc:creator>
  <cp:keywords/>
  <dc:description/>
  <cp:lastModifiedBy>张 衡</cp:lastModifiedBy>
  <cp:revision>6</cp:revision>
  <dcterms:created xsi:type="dcterms:W3CDTF">2023-06-18T06:13:00Z</dcterms:created>
  <dcterms:modified xsi:type="dcterms:W3CDTF">2023-07-30T07:37:00Z</dcterms:modified>
</cp:coreProperties>
</file>