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rPr>
          <w:rFonts w:ascii="Times New Roman" w:hAnsi="Times New Roman" w:eastAsia="黑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Appendix</w:t>
      </w:r>
      <w:r>
        <w:rPr>
          <w:rFonts w:ascii="Times New Roman" w:hAnsi="Times New Roman" w:eastAsia="黑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黑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A</w:t>
      </w:r>
      <w:r>
        <w:rPr>
          <w:rFonts w:ascii="Times New Roman" w:hAnsi="Times New Roman" w:eastAsia="黑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黑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Supplementary</w:t>
      </w:r>
      <w:r>
        <w:rPr>
          <w:rFonts w:ascii="Times New Roman" w:hAnsi="Times New Roman" w:eastAsia="黑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黑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date</w:t>
      </w:r>
      <w:r>
        <w:rPr>
          <w:rFonts w:ascii="Times New Roman" w:hAnsi="Times New Roman" w:eastAsia="黑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</w:p>
    <w:p>
      <w:pPr>
        <w:autoSpaceDE w:val="0"/>
        <w:autoSpaceDN w:val="0"/>
        <w:adjustRightInd w:val="0"/>
        <w:rPr>
          <w:rFonts w:ascii="Times New Roman" w:hAnsi="Times New Roman" w:eastAsia="黑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Times New Roman" w:hAnsi="Times New Roman" w:eastAsia="黑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Efficient Fluoride Removal Using Nano MgO: Synthesis, Mechanisms, and Performance Evaluation</w:t>
      </w:r>
    </w:p>
    <w:p>
      <w:pPr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BoWen Liu</w:t>
      </w:r>
      <w:r>
        <w:rPr>
          <w:rFonts w:ascii="Times New Roman" w:hAnsi="Times New Roman" w:cs="Times New Roman"/>
          <w:b/>
          <w:bCs/>
          <w:sz w:val="24"/>
          <w:vertAlign w:val="superscript"/>
        </w:rPr>
        <w:t>a</w:t>
      </w:r>
      <w:r>
        <w:rPr>
          <w:rFonts w:hint="eastAsia" w:ascii="Times New Roman" w:hAnsi="Times New Roman" w:cs="Times New Roman"/>
          <w:b/>
          <w:bCs/>
          <w:sz w:val="24"/>
        </w:rPr>
        <w:t>,</w:t>
      </w:r>
      <w:r>
        <w:rPr>
          <w:rFonts w:ascii="Times New Roman" w:hAnsi="Times New Roman" w:cs="Times New Roman"/>
          <w:b/>
          <w:bCs/>
          <w:sz w:val="24"/>
        </w:rPr>
        <w:t xml:space="preserve"> Li Ai </w:t>
      </w:r>
      <w:r>
        <w:rPr>
          <w:rFonts w:ascii="Times New Roman" w:hAnsi="Times New Roman" w:cs="Times New Roman"/>
          <w:b/>
          <w:bCs/>
          <w:sz w:val="24"/>
          <w:vertAlign w:val="superscript"/>
        </w:rPr>
        <w:t>a</w:t>
      </w:r>
      <w:r>
        <w:rPr>
          <w:rFonts w:hint="eastAsia" w:ascii="Times New Roman" w:hAnsi="Times New Roman" w:cs="Times New Roman"/>
          <w:b/>
          <w:bCs/>
          <w:sz w:val="24"/>
        </w:rPr>
        <w:t>,</w:t>
      </w:r>
      <w:r>
        <w:rPr>
          <w:rFonts w:ascii="Times New Roman" w:hAnsi="Times New Roman" w:cs="Times New Roman"/>
          <w:b/>
          <w:bCs/>
          <w:sz w:val="24"/>
        </w:rPr>
        <w:t xml:space="preserve"> Ming Lei</w:t>
      </w:r>
      <w:r>
        <w:rPr>
          <w:rFonts w:ascii="Times New Roman" w:hAnsi="Times New Roman" w:cs="Times New Roman"/>
          <w:b/>
          <w:bCs/>
          <w:sz w:val="24"/>
          <w:vertAlign w:val="superscript"/>
        </w:rPr>
        <w:t>a</w:t>
      </w:r>
      <w:r>
        <w:rPr>
          <w:rFonts w:ascii="Times New Roman" w:hAnsi="Times New Roman" w:cs="Times New Roman"/>
          <w:b/>
          <w:bCs/>
          <w:sz w:val="24"/>
        </w:rPr>
        <w:t>*</w:t>
      </w:r>
      <w:r>
        <w:rPr>
          <w:rFonts w:hint="eastAsia" w:ascii="Times New Roman" w:hAnsi="Times New Roman" w:cs="Times New Roman"/>
          <w:b/>
          <w:bCs/>
          <w:sz w:val="24"/>
        </w:rPr>
        <w:t>,</w:t>
      </w:r>
      <w:r>
        <w:rPr>
          <w:rFonts w:ascii="Times New Roman" w:hAnsi="Times New Roman" w:cs="Times New Roman"/>
          <w:b/>
          <w:bCs/>
          <w:sz w:val="24"/>
        </w:rPr>
        <w:t xml:space="preserve"> Hongfei Lin</w:t>
      </w:r>
      <w:r>
        <w:rPr>
          <w:rFonts w:hint="eastAsia" w:ascii="Times New Roman" w:hAnsi="Times New Roman" w:cs="Times New Roman"/>
          <w:b/>
          <w:bCs/>
          <w:sz w:val="24"/>
          <w:vertAlign w:val="superscript"/>
        </w:rPr>
        <w:t>b</w:t>
      </w:r>
      <w:r>
        <w:rPr>
          <w:rFonts w:ascii="Times New Roman" w:hAnsi="Times New Roman" w:cs="Times New Roman"/>
          <w:b/>
          <w:bCs/>
          <w:sz w:val="24"/>
          <w:vertAlign w:val="superscript"/>
        </w:rPr>
        <w:t>,c</w:t>
      </w:r>
      <w:r>
        <w:rPr>
          <w:rFonts w:ascii="Times New Roman" w:hAnsi="Times New Roman" w:cs="Times New Roman"/>
          <w:b/>
          <w:bCs/>
          <w:sz w:val="24"/>
        </w:rPr>
        <w:t>*</w:t>
      </w:r>
    </w:p>
    <w:p>
      <w:pPr>
        <w:spacing w:before="156" w:beforeLines="50" w:line="480" w:lineRule="auto"/>
        <w:ind w:left="210" w:hanging="210" w:hangingChars="100"/>
        <w:jc w:val="left"/>
        <w:rPr>
          <w:rFonts w:ascii="Times New Roman" w:hAnsi="Times New Roman" w:cs="Times New Roman"/>
          <w:bCs/>
          <w:iCs/>
          <w:szCs w:val="21"/>
        </w:rPr>
      </w:pPr>
      <w:r>
        <w:rPr>
          <w:rFonts w:ascii="Times New Roman" w:hAnsi="Times New Roman" w:cs="Times New Roman"/>
          <w:bCs/>
          <w:iCs/>
          <w:szCs w:val="21"/>
          <w:vertAlign w:val="superscript"/>
        </w:rPr>
        <w:t>a</w:t>
      </w:r>
      <w:r>
        <w:rPr>
          <w:rFonts w:ascii="Times New Roman" w:hAnsi="Times New Roman" w:cs="Times New Roman"/>
          <w:bCs/>
          <w:iCs/>
          <w:szCs w:val="21"/>
        </w:rPr>
        <w:t xml:space="preserve"> Guangxi Key Laboratory of Chemistry &amp; Engineering of Forest Products, School of Chemistry and Chemical Engineering, Guangxi </w:t>
      </w:r>
      <w:r>
        <w:rPr>
          <w:rFonts w:hint="eastAsia" w:ascii="Times New Roman" w:hAnsi="Times New Roman" w:cs="Times New Roman"/>
          <w:bCs/>
          <w:iCs/>
          <w:szCs w:val="21"/>
        </w:rPr>
        <w:t>Minzu</w:t>
      </w:r>
      <w:r>
        <w:rPr>
          <w:rFonts w:ascii="Times New Roman" w:hAnsi="Times New Roman" w:cs="Times New Roman"/>
          <w:bCs/>
          <w:iCs/>
          <w:szCs w:val="21"/>
        </w:rPr>
        <w:t xml:space="preserve"> University, Nanning 530006, China</w:t>
      </w:r>
    </w:p>
    <w:p>
      <w:pPr>
        <w:spacing w:before="156" w:beforeLines="50" w:line="480" w:lineRule="auto"/>
        <w:jc w:val="left"/>
        <w:rPr>
          <w:rFonts w:ascii="Times New Roman" w:hAnsi="Times New Roman" w:cs="Times New Roman"/>
          <w:bCs/>
          <w:iCs/>
          <w:szCs w:val="21"/>
        </w:rPr>
      </w:pPr>
      <w:r>
        <w:rPr>
          <w:rFonts w:hint="eastAsia" w:ascii="Times New Roman" w:hAnsi="Times New Roman" w:cs="Times New Roman"/>
          <w:bCs/>
          <w:iCs/>
          <w:szCs w:val="21"/>
          <w:vertAlign w:val="superscript"/>
        </w:rPr>
        <w:t>b</w:t>
      </w:r>
      <w:r>
        <w:rPr>
          <w:rFonts w:cs="Times New Roman"/>
          <w:bCs/>
          <w:iCs/>
          <w:szCs w:val="21"/>
        </w:rPr>
        <w:t xml:space="preserve"> </w:t>
      </w:r>
      <w:r>
        <w:rPr>
          <w:rFonts w:ascii="Times New Roman" w:hAnsi="Times New Roman" w:cs="Times New Roman"/>
          <w:bCs/>
          <w:iCs/>
          <w:szCs w:val="21"/>
        </w:rPr>
        <w:t xml:space="preserve">Guangxi Bossco Environmental Protection Technology Co., Ltd, Nanning 530007, China </w:t>
      </w:r>
    </w:p>
    <w:p>
      <w:pPr>
        <w:spacing w:before="156" w:beforeLines="50" w:line="480" w:lineRule="auto"/>
        <w:jc w:val="left"/>
        <w:rPr>
          <w:rFonts w:hint="eastAsia" w:ascii="Times New Roman" w:hAnsi="Times New Roman" w:cs="Times New Roman" w:eastAsiaTheme="minorEastAsia"/>
          <w:bCs/>
          <w:iCs/>
          <w:szCs w:val="21"/>
          <w:lang w:val="en-US" w:eastAsia="zh-CN"/>
        </w:rPr>
      </w:pPr>
      <w:r>
        <w:rPr>
          <w:rFonts w:hint="eastAsia" w:ascii="Times New Roman" w:hAnsi="Times New Roman" w:cs="Times New Roman"/>
          <w:bCs/>
          <w:iCs/>
          <w:szCs w:val="21"/>
          <w:vertAlign w:val="superscript"/>
        </w:rPr>
        <w:t>c</w:t>
      </w:r>
      <w:r>
        <w:rPr>
          <w:rFonts w:ascii="Times New Roman" w:hAnsi="Times New Roman" w:cs="Times New Roman"/>
          <w:bCs/>
          <w:iCs/>
          <w:szCs w:val="21"/>
        </w:rPr>
        <w:t xml:space="preserve"> Guangxi Key Laboratory of Environmental Pollution Control and Ecological Restoration Technology, Nanning 530007, China </w:t>
      </w:r>
    </w:p>
    <w:p>
      <w:pPr>
        <w:spacing w:after="156" w:afterLines="50"/>
        <w:rPr>
          <w:rFonts w:ascii="Times New Roman" w:hAnsi="Times New Roman" w:eastAsia="宋体" w:cs="Times New Roman"/>
          <w:bCs/>
          <w:iCs/>
          <w:kern w:val="0"/>
          <w:szCs w:val="21"/>
          <w:lang w:val="es-CL" w:eastAsia="en-US"/>
        </w:rPr>
      </w:pPr>
      <w:r>
        <w:rPr>
          <w:rFonts w:ascii="Times New Roman" w:hAnsi="Times New Roman" w:eastAsia="宋体" w:cs="Times New Roman"/>
          <w:bCs/>
          <w:iCs/>
          <w:kern w:val="0"/>
          <w:szCs w:val="21"/>
          <w:lang w:val="es-CL" w:eastAsia="en-US"/>
        </w:rPr>
        <w:t xml:space="preserve">Corresponding Author: </w:t>
      </w:r>
      <w:r>
        <w:rPr>
          <w:rFonts w:hint="eastAsia" w:ascii="Times New Roman" w:hAnsi="Times New Roman" w:eastAsia="宋体" w:cs="Times New Roman"/>
          <w:bCs/>
          <w:iCs/>
          <w:kern w:val="0"/>
          <w:szCs w:val="21"/>
          <w:lang w:val="es-CL"/>
        </w:rPr>
        <w:t>Ming</w:t>
      </w:r>
      <w:r>
        <w:rPr>
          <w:rFonts w:ascii="Times New Roman" w:hAnsi="Times New Roman" w:eastAsia="宋体" w:cs="Times New Roman"/>
          <w:bCs/>
          <w:iCs/>
          <w:kern w:val="0"/>
          <w:szCs w:val="21"/>
          <w:lang w:val="es-CL" w:eastAsia="ja-JP"/>
        </w:rPr>
        <w:t xml:space="preserve"> </w:t>
      </w:r>
      <w:r>
        <w:rPr>
          <w:rFonts w:hint="eastAsia" w:ascii="Times New Roman" w:hAnsi="Times New Roman" w:eastAsia="宋体" w:cs="Times New Roman"/>
          <w:bCs/>
          <w:iCs/>
          <w:kern w:val="0"/>
          <w:szCs w:val="21"/>
          <w:lang w:val="es-CL"/>
        </w:rPr>
        <w:t>Lei</w:t>
      </w:r>
      <w:r>
        <w:rPr>
          <w:rFonts w:ascii="Times New Roman" w:hAnsi="Times New Roman" w:eastAsia="宋体" w:cs="Times New Roman"/>
          <w:bCs/>
          <w:iCs/>
          <w:kern w:val="0"/>
          <w:szCs w:val="21"/>
          <w:lang w:val="es-CL" w:eastAsia="en-US"/>
        </w:rPr>
        <w:t xml:space="preserve"> </w:t>
      </w:r>
      <w:r>
        <w:fldChar w:fldCharType="begin"/>
      </w:r>
      <w:r>
        <w:instrText xml:space="preserve"> HYPERLINK "mailto:(leiming801015@yeah.net)" </w:instrText>
      </w:r>
      <w:r>
        <w:fldChar w:fldCharType="separate"/>
      </w:r>
      <w:r>
        <w:rPr>
          <w:rStyle w:val="6"/>
          <w:rFonts w:ascii="Times New Roman" w:hAnsi="Times New Roman" w:eastAsia="宋体" w:cs="Times New Roman"/>
          <w:bCs/>
          <w:iCs/>
          <w:kern w:val="0"/>
          <w:szCs w:val="21"/>
          <w:lang w:val="es-CL" w:eastAsia="en-US"/>
        </w:rPr>
        <w:t>(</w:t>
      </w:r>
      <w:r>
        <w:rPr>
          <w:rStyle w:val="6"/>
          <w:rFonts w:hint="eastAsia" w:ascii="Times New Roman" w:hAnsi="Times New Roman" w:eastAsia="宋体" w:cs="Times New Roman"/>
          <w:bCs/>
          <w:iCs/>
          <w:kern w:val="0"/>
          <w:szCs w:val="21"/>
        </w:rPr>
        <w:t>leiming801015@yeah.net</w:t>
      </w:r>
      <w:r>
        <w:rPr>
          <w:rStyle w:val="6"/>
          <w:rFonts w:ascii="Times New Roman" w:hAnsi="Times New Roman" w:eastAsia="宋体" w:cs="Times New Roman"/>
          <w:bCs/>
          <w:iCs/>
          <w:kern w:val="0"/>
          <w:szCs w:val="21"/>
          <w:lang w:val="es-CL" w:eastAsia="ja-JP"/>
        </w:rPr>
        <w:t>)</w:t>
      </w:r>
      <w:r>
        <w:rPr>
          <w:rStyle w:val="6"/>
          <w:rFonts w:ascii="Times New Roman" w:hAnsi="Times New Roman" w:eastAsia="宋体" w:cs="Times New Roman"/>
          <w:bCs/>
          <w:iCs/>
          <w:kern w:val="0"/>
          <w:szCs w:val="21"/>
          <w:lang w:val="es-CL" w:eastAsia="ja-JP"/>
        </w:rPr>
        <w:fldChar w:fldCharType="end"/>
      </w:r>
      <w:r>
        <w:rPr>
          <w:rStyle w:val="6"/>
          <w:rFonts w:hint="eastAsia" w:ascii="Times New Roman" w:hAnsi="Times New Roman" w:eastAsia="宋体" w:cs="Times New Roman"/>
          <w:bCs/>
          <w:iCs/>
          <w:kern w:val="0"/>
          <w:szCs w:val="21"/>
          <w:lang w:val="es-CL"/>
        </w:rPr>
        <w:t>；linhf@bossco.cc</w:t>
      </w:r>
    </w:p>
    <w:p>
      <w:pPr>
        <w:widowControl/>
        <w:jc w:val="left"/>
        <w:rPr>
          <w:rFonts w:ascii="Times New Roman" w:hAnsi="Times New Roman" w:eastAsia="宋体" w:cs="Times New Roman"/>
          <w:bCs/>
          <w:iCs/>
          <w:kern w:val="0"/>
          <w:szCs w:val="21"/>
          <w:lang w:val="es-CL" w:eastAsia="en-US"/>
        </w:rPr>
      </w:pPr>
      <w:r>
        <w:rPr>
          <w:rFonts w:ascii="Times New Roman" w:hAnsi="Times New Roman" w:eastAsia="宋体" w:cs="Times New Roman"/>
          <w:bCs/>
          <w:iCs/>
          <w:kern w:val="0"/>
          <w:szCs w:val="21"/>
          <w:lang w:val="es-CL" w:eastAsia="en-US"/>
        </w:rPr>
        <w:br w:type="page"/>
      </w:r>
    </w:p>
    <w:p>
      <w:pPr>
        <w:spacing w:before="240"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Langmuir adsorption model is used to calculate the maximum adsorption capacity, which can be expressed in the following form </w:t>
      </w:r>
      <w:r>
        <w:rPr>
          <w:rFonts w:ascii="Times New Roman" w:hAnsi="Times New Roman" w:cs="Times New Roman"/>
          <w:sz w:val="24"/>
          <w:szCs w:val="24"/>
          <w:vertAlign w:val="baseline"/>
        </w:rPr>
        <w:fldChar w:fldCharType="begin"/>
      </w:r>
      <w:r>
        <w:rPr>
          <w:rFonts w:ascii="Times New Roman" w:hAnsi="Times New Roman" w:cs="Times New Roman"/>
          <w:sz w:val="24"/>
          <w:szCs w:val="24"/>
          <w:vertAlign w:val="baseline"/>
        </w:rPr>
        <w:instrText xml:space="preserve"> ADDIN EN.CITE &lt;EndNote&gt;&lt;Cite&gt;&lt;Author&gt;Kang&lt;/Author&gt;&lt;Year&gt;2013&lt;/Year&gt;&lt;RecNum&gt;2298&lt;/RecNum&gt;&lt;DisplayText&gt;[1]&lt;/DisplayText&gt;&lt;record&gt;&lt;rec-number&gt;2298&lt;/rec-number&gt;&lt;foreign-keys&gt;&lt;key app="EN" db-id="e22p0v5v4vx2s0ep2afvd9tixtaa2rzwfzfp"&gt;2298&lt;/key&gt;&lt;/foreign-keys&gt;&lt;ref-type name="Journal Article"&gt;17&lt;/ref-type&gt;&lt;contributors&gt;&lt;authors&gt;&lt;author&gt;Kang, Dongjuan&lt;/author&gt;&lt;author&gt;Yu, Xiaolin&lt;/author&gt;&lt;author&gt;Tong, Shengrui&lt;/author&gt;&lt;author&gt;Ge, Maofa&lt;/author&gt;&lt;author&gt;Zuo, Junchao&lt;/author&gt;&lt;author&gt;Cao, Changyan&lt;/author&gt;&lt;author&gt;Song, Weiguo&lt;/author&gt;&lt;/authors&gt;&lt;/contributors&gt;&lt;titles&gt;&lt;title&gt;Performance and mechanism of Mg/Fe layered double hydroxides for fluoride and arsenate removal from aqueous solution&lt;/title&gt;&lt;secondary-title&gt;Chemical Engineering Journal&lt;/secondary-title&gt;&lt;/titles&gt;&lt;periodical&gt;&lt;full-title&gt;Chemical Engineering Journal&lt;/full-title&gt;&lt;abbr-1&gt;Chem Eng J&lt;/abbr-1&gt;&lt;abbr-2&gt;Chem. Eng. J.&lt;/abbr-2&gt;&lt;/periodical&gt;&lt;pages&gt;731-740&lt;/pages&gt;&lt;volume&gt;228&lt;/volume&gt;&lt;number&gt;0&lt;/number&gt;&lt;keywords&gt;&lt;keyword&gt;Fluoride&lt;/keyword&gt;&lt;keyword&gt;Arsenate&lt;/keyword&gt;&lt;keyword&gt;Layered double hydroxide&lt;/keyword&gt;&lt;keyword&gt;Adsorption mechanism&lt;/keyword&gt;&lt;keyword&gt;Aqueous solution&lt;/keyword&gt;&lt;/keywords&gt;&lt;dates&gt;&lt;year&gt;2013&lt;/year&gt;&lt;pub-dates&gt;&lt;date&gt;7/15/&lt;/date&gt;&lt;/pub-dates&gt;&lt;/dates&gt;&lt;isbn&gt;1385-8947&lt;/isbn&gt;&lt;urls&gt;&lt;related-urls&gt;&lt;url&gt;http://www.sciencedirect.com/science/article/pii/S1385894713006608&lt;/url&gt;&lt;url&gt;http://ac.els-cdn.com/S1385894713006608/1-s2.0-S1385894713006608-main.pdf?_tid=2bf0ee9a-ada9-11e3-ab6c-00000aab0f6b&amp;amp;acdnat=1395042965_0b171ed9cf5a4140ad6266dfa9a3b7a2&lt;/url&gt;&lt;/related-urls&gt;&lt;/urls&gt;&lt;electronic-resource-num&gt;http://dx.doi.org/10.1016/j.cej.2013.05.041&lt;/electronic-resource-num&gt;&lt;/record&gt;&lt;/Cite&gt;&lt;/EndNote&gt;</w:instrText>
      </w:r>
      <w:r>
        <w:rPr>
          <w:rFonts w:ascii="Times New Roman" w:hAnsi="Times New Roman" w:cs="Times New Roman"/>
          <w:sz w:val="24"/>
          <w:szCs w:val="24"/>
          <w:vertAlign w:val="baseline"/>
        </w:rPr>
        <w:fldChar w:fldCharType="separate"/>
      </w:r>
      <w:r>
        <w:rPr>
          <w:rFonts w:ascii="Times New Roman" w:hAnsi="Times New Roman" w:cs="Times New Roman"/>
          <w:sz w:val="24"/>
          <w:szCs w:val="24"/>
          <w:vertAlign w:val="baseline"/>
        </w:rPr>
        <w:t>[</w:t>
      </w:r>
      <w:r>
        <w:rPr>
          <w:color w:val="0070C0"/>
          <w:vertAlign w:val="baseline"/>
        </w:rPr>
        <w:fldChar w:fldCharType="begin"/>
      </w:r>
      <w:r>
        <w:rPr>
          <w:color w:val="0070C0"/>
          <w:vertAlign w:val="baseline"/>
        </w:rPr>
        <w:instrText xml:space="preserve"> HYPERLINK \l "_ENREF_1" \o "Kang, 2013 #2298" </w:instrText>
      </w:r>
      <w:r>
        <w:rPr>
          <w:color w:val="0070C0"/>
          <w:vertAlign w:val="baseline"/>
        </w:rPr>
        <w:fldChar w:fldCharType="separate"/>
      </w:r>
      <w:r>
        <w:rPr>
          <w:rFonts w:ascii="Times New Roman" w:hAnsi="Times New Roman" w:cs="Times New Roman"/>
          <w:color w:val="0070C0"/>
          <w:sz w:val="24"/>
          <w:szCs w:val="24"/>
          <w:vertAlign w:val="baseline"/>
        </w:rPr>
        <w:t>1</w:t>
      </w:r>
      <w:r>
        <w:rPr>
          <w:rFonts w:ascii="Times New Roman" w:hAnsi="Times New Roman" w:cs="Times New Roman"/>
          <w:color w:val="0070C0"/>
          <w:sz w:val="24"/>
          <w:szCs w:val="24"/>
          <w:vertAlign w:val="baseline"/>
        </w:rPr>
        <w:fldChar w:fldCharType="end"/>
      </w:r>
      <w:r>
        <w:rPr>
          <w:rFonts w:ascii="Times New Roman" w:hAnsi="Times New Roman" w:cs="Times New Roman"/>
          <w:sz w:val="24"/>
          <w:szCs w:val="24"/>
          <w:vertAlign w:val="baseline"/>
        </w:rPr>
        <w:t>]</w:t>
      </w:r>
      <w:r>
        <w:rPr>
          <w:rFonts w:ascii="Times New Roman" w:hAnsi="Times New Roman" w:cs="Times New Roman"/>
          <w:sz w:val="24"/>
          <w:szCs w:val="24"/>
          <w:vertAlign w:val="baseline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:</w:t>
      </w:r>
    </w:p>
    <w:p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object>
          <v:shape id="_x0000_i1025" o:spt="75" type="#_x0000_t75" style="height:32.25pt;width:59.25pt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  <w10:wrap type="none"/>
            <w10:anchorlock/>
          </v:shape>
          <o:OLEObject Type="Embed" ProgID="Equation.DSMT4" ShapeID="_x0000_i1025" DrawAspect="Content" ObjectID="_1468075725" r:id="rId4">
            <o:LockedField>false</o:LockedField>
          </o:OLEObject>
        </w:objec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(</w:t>
      </w:r>
      <w:r>
        <w:rPr>
          <w:rFonts w:hint="eastAsia"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)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where C</w:t>
      </w:r>
      <w:r>
        <w:rPr>
          <w:rFonts w:ascii="Times New Roman" w:hAnsi="Times New Roman" w:cs="Times New Roman"/>
          <w:sz w:val="24"/>
          <w:szCs w:val="24"/>
          <w:vertAlign w:val="subscript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is the equilibrium concentration of the anions in solution (mg/L); q</w:t>
      </w:r>
      <w:r>
        <w:rPr>
          <w:rFonts w:ascii="Times New Roman" w:hAnsi="Times New Roman" w:cs="Times New Roman"/>
          <w:sz w:val="24"/>
          <w:szCs w:val="24"/>
          <w:vertAlign w:val="subscript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is the amount of anions adsorbed per unit mass of adsorbent at equilibrium (mg/g); q</w:t>
      </w:r>
      <w:r>
        <w:rPr>
          <w:rFonts w:ascii="Times New Roman" w:hAnsi="Times New Roman" w:cs="Times New Roman"/>
          <w:sz w:val="24"/>
          <w:szCs w:val="24"/>
          <w:vertAlign w:val="subscript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 denotes the theoretical saturated adsorption capacity (mg/g); b is Langmuir constant related to adsorption-desorption energy and affinity of binding sites for anions (L/mg).</w:t>
      </w:r>
    </w:p>
    <w:p>
      <w:pPr>
        <w:spacing w:line="360" w:lineRule="auto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pseudo-second-order model has been widely used to describe the fluoride adsorption from aqueous solution. It can be expressed in the following form</w:t>
      </w:r>
      <w:r>
        <w:rPr>
          <w:rFonts w:ascii="Times New Roman" w:hAnsi="Times New Roman" w:cs="Times New Roman"/>
          <w:sz w:val="24"/>
          <w:szCs w:val="24"/>
          <w:vertAlign w:val="baseline"/>
        </w:rPr>
        <w:fldChar w:fldCharType="begin">
          <w:fldData xml:space="preserve">PEVuZE5vdGU+PENpdGU+PEF1dGhvcj5EaG9ibGU8L0F1dGhvcj48WWVhcj4yMDExPC9ZZWFyPjxS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</w:fldData>
        </w:fldChar>
      </w:r>
      <w:r>
        <w:rPr>
          <w:rFonts w:ascii="Times New Roman" w:hAnsi="Times New Roman" w:cs="Times New Roman"/>
          <w:sz w:val="24"/>
          <w:szCs w:val="24"/>
          <w:vertAlign w:val="baseline"/>
        </w:rPr>
        <w:instrText xml:space="preserve"> ADDIN EN.CITE </w:instrText>
      </w:r>
      <w:r>
        <w:rPr>
          <w:rFonts w:ascii="Times New Roman" w:hAnsi="Times New Roman" w:cs="Times New Roman"/>
          <w:sz w:val="24"/>
          <w:szCs w:val="24"/>
          <w:vertAlign w:val="baseline"/>
        </w:rPr>
        <w:fldChar w:fldCharType="begin">
          <w:fldData xml:space="preserve">PEVuZE5vdGU+PENpdGU+PEF1dGhvcj5EaG9ibGU8L0F1dGhvcj48WWVhcj4yMDExPC9ZZWFyPjxS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</w:fldData>
        </w:fldChar>
      </w:r>
      <w:r>
        <w:rPr>
          <w:rFonts w:ascii="Times New Roman" w:hAnsi="Times New Roman" w:cs="Times New Roman"/>
          <w:sz w:val="24"/>
          <w:szCs w:val="24"/>
          <w:vertAlign w:val="baseline"/>
        </w:rPr>
        <w:instrText xml:space="preserve"> ADDIN EN.CITE.DATA </w:instrText>
      </w:r>
      <w:r>
        <w:rPr>
          <w:rFonts w:ascii="Times New Roman" w:hAnsi="Times New Roman" w:cs="Times New Roman"/>
          <w:sz w:val="24"/>
          <w:szCs w:val="24"/>
          <w:vertAlign w:val="baseline"/>
        </w:rPr>
        <w:fldChar w:fldCharType="end"/>
      </w:r>
      <w:r>
        <w:rPr>
          <w:rFonts w:ascii="Times New Roman" w:hAnsi="Times New Roman" w:cs="Times New Roman"/>
          <w:sz w:val="24"/>
          <w:szCs w:val="24"/>
          <w:vertAlign w:val="baseline"/>
        </w:rPr>
        <w:fldChar w:fldCharType="separate"/>
      </w:r>
      <w:r>
        <w:rPr>
          <w:rFonts w:ascii="Times New Roman" w:hAnsi="Times New Roman" w:cs="Times New Roman"/>
          <w:sz w:val="24"/>
          <w:szCs w:val="24"/>
          <w:vertAlign w:val="baseline"/>
        </w:rPr>
        <w:t>[</w:t>
      </w:r>
      <w:r>
        <w:rPr>
          <w:color w:val="0070C0"/>
          <w:vertAlign w:val="baseline"/>
        </w:rPr>
        <w:fldChar w:fldCharType="begin"/>
      </w:r>
      <w:r>
        <w:rPr>
          <w:color w:val="0070C0"/>
          <w:vertAlign w:val="baseline"/>
        </w:rPr>
        <w:instrText xml:space="preserve"> HYPERLINK \l "_ENREF_2" \o "Dhoble, 2011 #225" </w:instrText>
      </w:r>
      <w:r>
        <w:rPr>
          <w:color w:val="0070C0"/>
          <w:vertAlign w:val="baseline"/>
        </w:rPr>
        <w:fldChar w:fldCharType="separate"/>
      </w:r>
      <w:r>
        <w:rPr>
          <w:rFonts w:ascii="Times New Roman" w:hAnsi="Times New Roman" w:cs="Times New Roman"/>
          <w:color w:val="0070C0"/>
          <w:sz w:val="24"/>
          <w:szCs w:val="24"/>
          <w:vertAlign w:val="baseline"/>
        </w:rPr>
        <w:t>2</w:t>
      </w:r>
      <w:r>
        <w:rPr>
          <w:rFonts w:ascii="Times New Roman" w:hAnsi="Times New Roman" w:cs="Times New Roman"/>
          <w:color w:val="0070C0"/>
          <w:sz w:val="24"/>
          <w:szCs w:val="24"/>
          <w:vertAlign w:val="baseline"/>
        </w:rPr>
        <w:fldChar w:fldCharType="end"/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baseline"/>
          <w14:textFill>
            <w14:solidFill>
              <w14:schemeClr w14:val="tx1"/>
            </w14:solidFill>
          </w14:textFill>
        </w:rPr>
        <w:t>,</w:t>
      </w:r>
      <w:r>
        <w:rPr>
          <w:rFonts w:ascii="Times New Roman" w:hAnsi="Times New Roman" w:cs="Times New Roman"/>
          <w:color w:val="0070C0"/>
          <w:sz w:val="24"/>
          <w:szCs w:val="24"/>
          <w:vertAlign w:val="baseline"/>
        </w:rPr>
        <w:t xml:space="preserve"> </w:t>
      </w:r>
      <w:r>
        <w:rPr>
          <w:color w:val="0070C0"/>
          <w:vertAlign w:val="baseline"/>
        </w:rPr>
        <w:fldChar w:fldCharType="begin"/>
      </w:r>
      <w:r>
        <w:rPr>
          <w:color w:val="0070C0"/>
          <w:vertAlign w:val="baseline"/>
        </w:rPr>
        <w:instrText xml:space="preserve"> HYPERLINK \l "_ENREF_3" \o "Gong, 2011 #979" </w:instrText>
      </w:r>
      <w:r>
        <w:rPr>
          <w:color w:val="0070C0"/>
          <w:vertAlign w:val="baseline"/>
        </w:rPr>
        <w:fldChar w:fldCharType="separate"/>
      </w:r>
      <w:r>
        <w:rPr>
          <w:rFonts w:ascii="Times New Roman" w:hAnsi="Times New Roman" w:cs="Times New Roman"/>
          <w:color w:val="0070C0"/>
          <w:sz w:val="24"/>
          <w:szCs w:val="24"/>
          <w:vertAlign w:val="baseline"/>
        </w:rPr>
        <w:t>3</w:t>
      </w:r>
      <w:r>
        <w:rPr>
          <w:rFonts w:ascii="Times New Roman" w:hAnsi="Times New Roman" w:cs="Times New Roman"/>
          <w:color w:val="0070C0"/>
          <w:sz w:val="24"/>
          <w:szCs w:val="24"/>
          <w:vertAlign w:val="baseline"/>
        </w:rPr>
        <w:fldChar w:fldCharType="end"/>
      </w:r>
      <w:r>
        <w:rPr>
          <w:rFonts w:ascii="Times New Roman" w:hAnsi="Times New Roman" w:cs="Times New Roman"/>
          <w:sz w:val="24"/>
          <w:szCs w:val="24"/>
          <w:vertAlign w:val="baseline"/>
        </w:rPr>
        <w:t>]</w:t>
      </w:r>
      <w:r>
        <w:rPr>
          <w:rFonts w:ascii="Times New Roman" w:hAnsi="Times New Roman" w:cs="Times New Roman"/>
          <w:sz w:val="24"/>
          <w:szCs w:val="24"/>
          <w:vertAlign w:val="baseline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:</w:t>
      </w:r>
    </w:p>
    <w:p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object>
          <v:shape id="_x0000_i1026" o:spt="75" type="#_x0000_t75" style="height:30pt;width:63.75pt;" o:ole="t" filled="f" o:preferrelative="t" stroked="f" coordsize="21600,21600">
            <v:path/>
            <v:fill on="f" focussize="0,0"/>
            <v:stroke on="f"/>
            <v:imagedata r:id="rId7" o:title=""/>
            <o:lock v:ext="edit" aspectratio="t"/>
            <w10:wrap type="none"/>
            <w10:anchorlock/>
          </v:shape>
          <o:OLEObject Type="Embed" ProgID="Equation.DSMT4" ShapeID="_x0000_i1026" DrawAspect="Content" ObjectID="_1468075726" r:id="rId6">
            <o:LockedField>false</o:LockedField>
          </o:OLEObject>
        </w:object>
      </w:r>
      <w:r>
        <w:rPr>
          <w:rFonts w:ascii="Times New Roman" w:hAnsi="Times New Roman" w:cs="Times New Roman"/>
          <w:sz w:val="24"/>
          <w:szCs w:val="24"/>
        </w:rPr>
        <w:t xml:space="preserve">                           (</w:t>
      </w:r>
      <w:r>
        <w:rPr>
          <w:rFonts w:hint="eastAsia"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)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where </w:t>
      </w:r>
      <w:r>
        <w:rPr>
          <w:rFonts w:ascii="Times New Roman" w:hAnsi="Times New Roman" w:cs="Times New Roman"/>
          <w:i/>
          <w:sz w:val="24"/>
          <w:szCs w:val="24"/>
        </w:rPr>
        <w:t>q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sz w:val="24"/>
          <w:szCs w:val="24"/>
        </w:rPr>
        <w:t>q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are the adsorption capacity at time t and equilibrium, respectively; </w:t>
      </w:r>
      <w:r>
        <w:rPr>
          <w:rFonts w:ascii="Times New Roman" w:hAnsi="Times New Roman" w:cs="Times New Roman"/>
          <w:i/>
          <w:sz w:val="24"/>
          <w:szCs w:val="24"/>
        </w:rPr>
        <w:t>k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is pseudo-second-order rate constants. On the basis of the experimental data, the adsorption capacity of </w:t>
      </w:r>
      <w:r>
        <w:rPr>
          <w:rFonts w:ascii="Times New Roman" w:hAnsi="Times New Roman" w:cs="Times New Roman"/>
          <w:i/>
          <w:sz w:val="24"/>
          <w:szCs w:val="24"/>
        </w:rPr>
        <w:t>q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sz w:val="24"/>
          <w:szCs w:val="24"/>
        </w:rPr>
        <w:t>q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sz w:val="24"/>
          <w:szCs w:val="24"/>
        </w:rPr>
        <w:t>k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could be concluded from the slope and intercept respectively.</w:t>
      </w:r>
    </w:p>
    <w:p>
      <w:pPr>
        <w:spacing w:line="360" w:lineRule="auto"/>
        <w:jc w:val="center"/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2520315" cy="2160270"/>
            <wp:effectExtent l="0" t="0" r="13335" b="11430"/>
            <wp:docPr id="1" name="图片 1" descr="Graph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Graph4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Fig.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</w:rPr>
        <w:t>S1</w:t>
      </w:r>
      <w:r>
        <w:rPr>
          <w:rFonts w:ascii="Times New Roman" w:hAnsi="Times New Roman" w:cs="Times New Roman"/>
          <w:szCs w:val="21"/>
        </w:rPr>
        <w:t xml:space="preserve"> Adsorption isotherm of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nano </w:t>
      </w:r>
      <w:r>
        <w:rPr>
          <w:rFonts w:ascii="Times New Roman" w:hAnsi="Times New Roman" w:cs="Times New Roman"/>
          <w:szCs w:val="21"/>
        </w:rPr>
        <w:t>MgO for fluoride adsorption (C</w:t>
      </w:r>
      <w:r>
        <w:rPr>
          <w:rFonts w:ascii="Times New Roman" w:hAnsi="Times New Roman" w:cs="Times New Roman"/>
          <w:szCs w:val="21"/>
          <w:vertAlign w:val="subscript"/>
        </w:rPr>
        <w:t>0</w:t>
      </w:r>
      <w:r>
        <w:rPr>
          <w:rFonts w:hint="eastAsia" w:ascii="Times New Roman" w:hAnsi="Times New Roman" w:cs="Times New Roman"/>
          <w:szCs w:val="21"/>
          <w:vertAlign w:val="subscript"/>
        </w:rPr>
        <w:t xml:space="preserve"> </w:t>
      </w:r>
      <w:r>
        <w:rPr>
          <w:rFonts w:ascii="Times New Roman" w:hAnsi="Times New Roman" w:cs="Times New Roman"/>
          <w:szCs w:val="21"/>
        </w:rPr>
        <w:t>=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10-100 mg/L, pH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=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6.5,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1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g/L, </w:t>
      </w:r>
      <w:r>
        <w:rPr>
          <w:rFonts w:hint="eastAsia" w:ascii="Times New Roman" w:hAnsi="Times New Roman" w:cs="Times New Roman"/>
          <w:szCs w:val="21"/>
          <w:lang w:val="en-US" w:eastAsia="zh-CN"/>
        </w:rPr>
        <w:t>25</w:t>
      </w:r>
      <w:r>
        <w:rPr>
          <w:rFonts w:ascii="Times New Roman" w:hAnsi="Times New Roman" w:cs="Times New Roman"/>
          <w:szCs w:val="21"/>
        </w:rPr>
        <w:t>-</w:t>
      </w:r>
      <w:r>
        <w:rPr>
          <w:rFonts w:hint="eastAsia" w:ascii="Times New Roman" w:hAnsi="Times New Roman" w:cs="Times New Roman"/>
          <w:szCs w:val="21"/>
          <w:lang w:val="en-US" w:eastAsia="zh-CN"/>
        </w:rPr>
        <w:t>4</w:t>
      </w:r>
      <w:r>
        <w:rPr>
          <w:rFonts w:ascii="Times New Roman" w:hAnsi="Times New Roman" w:cs="Times New Roman"/>
          <w:szCs w:val="21"/>
        </w:rPr>
        <w:t>5℃)</w:t>
      </w:r>
    </w:p>
    <w:p>
      <w:pPr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Table </w:t>
      </w:r>
      <w:r>
        <w:rPr>
          <w:rFonts w:hint="eastAsia" w:ascii="Times New Roman" w:hAnsi="Times New Roman" w:cs="Times New Roman"/>
          <w:szCs w:val="21"/>
        </w:rPr>
        <w:t>S</w:t>
      </w:r>
      <w:r>
        <w:rPr>
          <w:rFonts w:ascii="Times New Roman" w:hAnsi="Times New Roman" w:cs="Times New Roman"/>
          <w:szCs w:val="21"/>
        </w:rPr>
        <w:t xml:space="preserve">1 Langmuir adsorption isotherm parameters for fluoride on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nano </w:t>
      </w:r>
      <w:r>
        <w:rPr>
          <w:rFonts w:ascii="Times New Roman" w:hAnsi="Times New Roman" w:cs="Times New Roman"/>
          <w:szCs w:val="21"/>
        </w:rPr>
        <w:t>MgO</w:t>
      </w:r>
    </w:p>
    <w:tbl>
      <w:tblPr>
        <w:tblStyle w:val="4"/>
        <w:tblpPr w:leftFromText="180" w:rightFromText="180" w:vertAnchor="text" w:horzAnchor="page" w:tblpXSpec="center" w:tblpY="79"/>
        <w:tblOverlap w:val="never"/>
        <w:tblW w:w="4540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9"/>
        <w:gridCol w:w="1109"/>
        <w:gridCol w:w="1313"/>
        <w:gridCol w:w="89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219" w:type="dxa"/>
            <w:vMerge w:val="restart"/>
            <w:tcBorders>
              <w:top w:val="single" w:color="auto" w:sz="12" w:space="0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T</w:t>
            </w:r>
            <w:r>
              <w:rPr>
                <w:rFonts w:ascii="Times New Roman" w:hAnsi="Times New Roman" w:cs="Times New Roman"/>
                <w:szCs w:val="21"/>
              </w:rPr>
              <w:t xml:space="preserve"> (℃)</w:t>
            </w:r>
          </w:p>
        </w:tc>
        <w:tc>
          <w:tcPr>
            <w:tcW w:w="3321" w:type="dxa"/>
            <w:gridSpan w:val="3"/>
            <w:tcBorders>
              <w:top w:val="single" w:color="auto" w:sz="12" w:space="0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Langmuir </w:t>
            </w:r>
            <w:r>
              <w:rPr>
                <w:rFonts w:hint="eastAsia" w:ascii="Times New Roman" w:hAnsi="Times New Roman" w:cs="Times New Roman"/>
                <w:szCs w:val="21"/>
              </w:rPr>
              <w:t>parameters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219" w:type="dxa"/>
            <w:vMerge w:val="continue"/>
            <w:tcBorders>
              <w:top w:val="nil"/>
              <w:bottom w:val="single" w:color="auto" w:sz="6" w:space="0"/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09" w:type="dxa"/>
            <w:tcBorders>
              <w:top w:val="nil"/>
              <w:bottom w:val="single" w:color="auto" w:sz="6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Qe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mg/g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313" w:type="dxa"/>
            <w:tcBorders>
              <w:top w:val="nil"/>
              <w:bottom w:val="single" w:color="auto" w:sz="6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K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L</w:t>
            </w:r>
            <w:r>
              <w:rPr>
                <w:rFonts w:hint="eastAsia" w:ascii="Times New Roman" w:hAnsi="Times New Roman" w:cs="Times New Roman"/>
                <w:szCs w:val="21"/>
                <w:vertAlign w:val="subscript"/>
              </w:rPr>
              <w:t xml:space="preserve"> </w:t>
            </w:r>
            <w:r>
              <w:rPr>
                <w:rFonts w:hint="eastAsia"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Lm/mol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899" w:type="dxa"/>
            <w:tcBorders>
              <w:top w:val="nil"/>
              <w:bottom w:val="single" w:color="auto" w:sz="6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19" w:type="dxa"/>
            <w:tcBorders>
              <w:top w:val="single" w:color="auto" w:sz="6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109" w:type="dxa"/>
            <w:tcBorders>
              <w:top w:val="single" w:color="auto" w:sz="6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122.27178</w:t>
            </w:r>
          </w:p>
        </w:tc>
        <w:tc>
          <w:tcPr>
            <w:tcW w:w="1313" w:type="dxa"/>
            <w:tcBorders>
              <w:top w:val="single" w:color="auto" w:sz="6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0.04118</w:t>
            </w:r>
          </w:p>
        </w:tc>
        <w:tc>
          <w:tcPr>
            <w:tcW w:w="899" w:type="dxa"/>
            <w:tcBorders>
              <w:top w:val="single" w:color="auto" w:sz="6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0.97738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1219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109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122.47078</w:t>
            </w:r>
          </w:p>
        </w:tc>
        <w:tc>
          <w:tcPr>
            <w:tcW w:w="1313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0.0202</w:t>
            </w:r>
          </w:p>
        </w:tc>
        <w:tc>
          <w:tcPr>
            <w:tcW w:w="899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0.96312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219" w:type="dxa"/>
            <w:tcBorders>
              <w:bottom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</w:t>
            </w:r>
            <w:bookmarkStart w:id="3" w:name="_GoBack"/>
            <w:bookmarkEnd w:id="3"/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109" w:type="dxa"/>
            <w:tcBorders>
              <w:bottom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122.0839</w:t>
            </w:r>
          </w:p>
        </w:tc>
        <w:tc>
          <w:tcPr>
            <w:tcW w:w="1313" w:type="dxa"/>
            <w:tcBorders>
              <w:bottom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0.07839</w:t>
            </w:r>
          </w:p>
        </w:tc>
        <w:tc>
          <w:tcPr>
            <w:tcW w:w="899" w:type="dxa"/>
            <w:tcBorders>
              <w:bottom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0.95376</w:t>
            </w:r>
          </w:p>
        </w:tc>
      </w:tr>
    </w:tbl>
    <w:p/>
    <w:p/>
    <w:p/>
    <w:p/>
    <w:p/>
    <w:p/>
    <w:p/>
    <w:p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Table S2 Langmuir and Freundlich adsorption isotherm parameters for fluoride on nano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</w:rPr>
        <w:t>MgO</w:t>
      </w:r>
      <w:r>
        <w:rPr>
          <w:rFonts w:ascii="Times New Roman" w:hAnsi="Times New Roman" w:cs="Times New Roman"/>
          <w:szCs w:val="21"/>
        </w:rPr>
        <w:t>.</w:t>
      </w:r>
    </w:p>
    <w:tbl>
      <w:tblPr>
        <w:tblStyle w:val="4"/>
        <w:tblpPr w:leftFromText="180" w:rightFromText="180" w:vertAnchor="text" w:horzAnchor="page" w:tblpXSpec="center" w:tblpY="100"/>
        <w:tblOverlap w:val="never"/>
        <w:tblW w:w="7307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3"/>
        <w:gridCol w:w="1109"/>
        <w:gridCol w:w="1313"/>
        <w:gridCol w:w="899"/>
        <w:gridCol w:w="1015"/>
        <w:gridCol w:w="899"/>
        <w:gridCol w:w="89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173" w:type="dxa"/>
            <w:vMerge w:val="restart"/>
            <w:tcBorders>
              <w:top w:val="single" w:color="auto" w:sz="12" w:space="0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Adsorbents</w:t>
            </w:r>
          </w:p>
        </w:tc>
        <w:tc>
          <w:tcPr>
            <w:tcW w:w="3321" w:type="dxa"/>
            <w:gridSpan w:val="3"/>
            <w:tcBorders>
              <w:top w:val="single" w:color="auto" w:sz="12" w:space="0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Langmuir </w:t>
            </w:r>
            <w:r>
              <w:rPr>
                <w:rFonts w:hint="eastAsia" w:ascii="Times New Roman" w:hAnsi="Times New Roman" w:cs="Times New Roman"/>
                <w:szCs w:val="21"/>
              </w:rPr>
              <w:t>parameters</w:t>
            </w:r>
          </w:p>
        </w:tc>
        <w:tc>
          <w:tcPr>
            <w:tcW w:w="2813" w:type="dxa"/>
            <w:gridSpan w:val="3"/>
            <w:tcBorders>
              <w:top w:val="single" w:color="auto" w:sz="12" w:space="0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Freundlich </w:t>
            </w:r>
            <w:r>
              <w:rPr>
                <w:rFonts w:hint="eastAsia" w:ascii="Times New Roman" w:hAnsi="Times New Roman" w:cs="Times New Roman"/>
                <w:szCs w:val="21"/>
              </w:rPr>
              <w:t>parameters</w:t>
            </w:r>
          </w:p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173" w:type="dxa"/>
            <w:vMerge w:val="continue"/>
            <w:tcBorders>
              <w:top w:val="nil"/>
              <w:bottom w:val="single" w:color="auto" w:sz="6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09" w:type="dxa"/>
            <w:tcBorders>
              <w:top w:val="nil"/>
              <w:bottom w:val="single" w:color="auto" w:sz="6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Qe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mg/g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1313" w:type="dxa"/>
            <w:tcBorders>
              <w:top w:val="nil"/>
              <w:bottom w:val="single" w:color="auto" w:sz="6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K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L</w:t>
            </w:r>
            <w:r>
              <w:rPr>
                <w:rFonts w:hint="eastAsia" w:ascii="Times New Roman" w:hAnsi="Times New Roman" w:cs="Times New Roman"/>
                <w:szCs w:val="21"/>
                <w:vertAlign w:val="subscript"/>
              </w:rPr>
              <w:t xml:space="preserve"> </w:t>
            </w:r>
            <w:r>
              <w:rPr>
                <w:rFonts w:hint="eastAsia"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Lm/mol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899" w:type="dxa"/>
            <w:tcBorders>
              <w:top w:val="nil"/>
              <w:bottom w:val="single" w:color="auto" w:sz="6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</w:p>
        </w:tc>
        <w:tc>
          <w:tcPr>
            <w:tcW w:w="1015" w:type="dxa"/>
            <w:tcBorders>
              <w:top w:val="nil"/>
              <w:bottom w:val="single" w:color="auto" w:sz="6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K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F</w:t>
            </w:r>
            <w:r>
              <w:rPr>
                <w:rFonts w:hint="eastAsia" w:ascii="Times New Roman" w:hAnsi="Times New Roman" w:cs="Times New Roman"/>
                <w:szCs w:val="21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(g/L</w:t>
            </w:r>
            <w:r>
              <w:rPr>
                <w:rFonts w:hint="eastAsia" w:ascii="Times New Roman" w:hAnsi="Times New Roman" w:cs="Times New Roman"/>
                <w:szCs w:val="21"/>
              </w:rPr>
              <w:t>)</w:t>
            </w:r>
          </w:p>
        </w:tc>
        <w:tc>
          <w:tcPr>
            <w:tcW w:w="899" w:type="dxa"/>
            <w:tcBorders>
              <w:top w:val="nil"/>
              <w:bottom w:val="single" w:color="auto" w:sz="6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1/n</w:t>
            </w:r>
          </w:p>
        </w:tc>
        <w:tc>
          <w:tcPr>
            <w:tcW w:w="899" w:type="dxa"/>
            <w:tcBorders>
              <w:top w:val="nil"/>
              <w:bottom w:val="single" w:color="auto" w:sz="6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173" w:type="dxa"/>
            <w:tcBorders>
              <w:top w:val="single" w:color="auto" w:sz="6" w:space="0"/>
              <w:bottom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MgO</w:t>
            </w:r>
          </w:p>
        </w:tc>
        <w:tc>
          <w:tcPr>
            <w:tcW w:w="1109" w:type="dxa"/>
            <w:tcBorders>
              <w:top w:val="single" w:color="auto" w:sz="6" w:space="0"/>
              <w:bottom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122.27178</w:t>
            </w:r>
          </w:p>
        </w:tc>
        <w:tc>
          <w:tcPr>
            <w:tcW w:w="1313" w:type="dxa"/>
            <w:tcBorders>
              <w:top w:val="single" w:color="auto" w:sz="6" w:space="0"/>
              <w:bottom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0.04118</w:t>
            </w:r>
          </w:p>
        </w:tc>
        <w:tc>
          <w:tcPr>
            <w:tcW w:w="899" w:type="dxa"/>
            <w:tcBorders>
              <w:top w:val="single" w:color="auto" w:sz="6" w:space="0"/>
              <w:bottom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0.97738</w:t>
            </w:r>
          </w:p>
        </w:tc>
        <w:tc>
          <w:tcPr>
            <w:tcW w:w="1015" w:type="dxa"/>
            <w:tcBorders>
              <w:top w:val="single" w:color="auto" w:sz="6" w:space="0"/>
              <w:bottom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3.87636</w:t>
            </w:r>
          </w:p>
        </w:tc>
        <w:tc>
          <w:tcPr>
            <w:tcW w:w="899" w:type="dxa"/>
            <w:tcBorders>
              <w:top w:val="single" w:color="auto" w:sz="6" w:space="0"/>
              <w:bottom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0.72185</w:t>
            </w:r>
          </w:p>
        </w:tc>
        <w:tc>
          <w:tcPr>
            <w:tcW w:w="899" w:type="dxa"/>
            <w:tcBorders>
              <w:top w:val="single" w:color="auto" w:sz="6" w:space="0"/>
              <w:bottom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0.96788</w:t>
            </w:r>
          </w:p>
        </w:tc>
      </w:tr>
    </w:tbl>
    <w:p>
      <w:pPr>
        <w:spacing w:line="360" w:lineRule="auto"/>
        <w:rPr>
          <w:rFonts w:ascii="Times New Roman" w:hAnsi="Times New Roman" w:cs="Times New Roman"/>
          <w:szCs w:val="21"/>
        </w:rPr>
      </w:pPr>
    </w:p>
    <w:p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Table </w:t>
      </w:r>
      <w:r>
        <w:rPr>
          <w:rFonts w:hint="eastAsia" w:ascii="Times New Roman" w:hAnsi="Times New Roman" w:cs="Times New Roman"/>
          <w:szCs w:val="21"/>
        </w:rPr>
        <w:t>S</w:t>
      </w:r>
      <w:r>
        <w:rPr>
          <w:rFonts w:ascii="Times New Roman" w:hAnsi="Times New Roman" w:cs="Times New Roman"/>
          <w:szCs w:val="21"/>
        </w:rPr>
        <w:t>3 Kinetic parameters for fluoride adsorption on the nanoMgO.</w:t>
      </w:r>
    </w:p>
    <w:tbl>
      <w:tblPr>
        <w:tblStyle w:val="4"/>
        <w:tblW w:w="87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7"/>
        <w:gridCol w:w="1027"/>
        <w:gridCol w:w="1190"/>
        <w:gridCol w:w="1146"/>
        <w:gridCol w:w="837"/>
        <w:gridCol w:w="122"/>
        <w:gridCol w:w="1279"/>
        <w:gridCol w:w="1138"/>
        <w:gridCol w:w="9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Adsorbents</w:t>
            </w:r>
          </w:p>
        </w:tc>
        <w:tc>
          <w:tcPr>
            <w:tcW w:w="1027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73" w:type="dxa"/>
            <w:gridSpan w:val="3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Pseudo-first-order kinetic model</w:t>
            </w:r>
          </w:p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log (q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e</w:t>
            </w:r>
            <w:r>
              <w:rPr>
                <w:rFonts w:ascii="Times New Roman" w:hAnsi="Times New Roman" w:cs="Times New Roman"/>
                <w:szCs w:val="21"/>
              </w:rPr>
              <w:t>-q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t</w:t>
            </w:r>
            <w:r>
              <w:rPr>
                <w:rFonts w:ascii="Times New Roman" w:hAnsi="Times New Roman" w:cs="Times New Roman"/>
                <w:szCs w:val="21"/>
              </w:rPr>
              <w:t>) = logq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e</w:t>
            </w:r>
            <w:r>
              <w:rPr>
                <w:rFonts w:ascii="Times New Roman" w:hAnsi="Times New Roman" w:cs="Times New Roman"/>
                <w:szCs w:val="21"/>
              </w:rPr>
              <w:t>-k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3483" w:type="dxa"/>
            <w:gridSpan w:val="4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Pseudo-second-order kinetic model</w:t>
            </w:r>
          </w:p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t/q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t</w:t>
            </w:r>
            <w:r>
              <w:rPr>
                <w:rFonts w:ascii="Times New Roman" w:hAnsi="Times New Roman" w:cs="Times New Roman"/>
                <w:szCs w:val="21"/>
              </w:rPr>
              <w:t xml:space="preserve"> = 1/ (k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q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e2</w:t>
            </w:r>
            <w:r>
              <w:rPr>
                <w:rFonts w:ascii="Times New Roman" w:hAnsi="Times New Roman" w:cs="Times New Roman"/>
                <w:szCs w:val="21"/>
              </w:rPr>
              <w:t>)+t/q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e</w:t>
            </w:r>
            <w:r>
              <w:rPr>
                <w:rFonts w:ascii="Times New Roman" w:hAnsi="Times New Roman" w:cs="Times New Roman"/>
                <w:szCs w:val="21"/>
              </w:rPr>
              <w:t>,exp (mg/L)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k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 xml:space="preserve">1 </w:t>
            </w:r>
            <w:r>
              <w:rPr>
                <w:rFonts w:ascii="Times New Roman" w:hAnsi="Times New Roman" w:cs="Times New Roman"/>
                <w:szCs w:val="21"/>
              </w:rPr>
              <w:t>(1/min)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 xml:space="preserve">e1 </w:t>
            </w:r>
            <w:r>
              <w:rPr>
                <w:rFonts w:ascii="Times New Roman" w:hAnsi="Times New Roman" w:cs="Times New Roman"/>
                <w:szCs w:val="21"/>
              </w:rPr>
              <w:t>(mg/L)</w:t>
            </w:r>
          </w:p>
        </w:tc>
        <w:tc>
          <w:tcPr>
            <w:tcW w:w="959" w:type="dxa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k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 xml:space="preserve">2 </w:t>
            </w:r>
            <w:r>
              <w:rPr>
                <w:rFonts w:ascii="Times New Roman" w:hAnsi="Times New Roman" w:cs="Times New Roman"/>
                <w:szCs w:val="21"/>
              </w:rPr>
              <w:t>(g/(mg·min)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q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 xml:space="preserve">e2 </w:t>
            </w:r>
            <w:r>
              <w:rPr>
                <w:rFonts w:ascii="Times New Roman" w:hAnsi="Times New Roman" w:cs="Times New Roman"/>
                <w:szCs w:val="21"/>
              </w:rPr>
              <w:t>(mg/L)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6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  <w:tcBorders>
              <w:top w:val="single" w:color="auto" w:sz="6" w:space="0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MgO</w:t>
            </w:r>
          </w:p>
        </w:tc>
        <w:tc>
          <w:tcPr>
            <w:tcW w:w="1027" w:type="dxa"/>
            <w:tcBorders>
              <w:top w:val="single" w:color="auto" w:sz="6" w:space="0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19.249</w:t>
            </w:r>
          </w:p>
        </w:tc>
        <w:tc>
          <w:tcPr>
            <w:tcW w:w="1190" w:type="dxa"/>
            <w:tcBorders>
              <w:top w:val="single" w:color="auto" w:sz="6" w:space="0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0.0599</w:t>
            </w:r>
          </w:p>
        </w:tc>
        <w:tc>
          <w:tcPr>
            <w:tcW w:w="1146" w:type="dxa"/>
            <w:tcBorders>
              <w:top w:val="single" w:color="auto" w:sz="6" w:space="0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18.0735</w:t>
            </w:r>
          </w:p>
        </w:tc>
        <w:tc>
          <w:tcPr>
            <w:tcW w:w="959" w:type="dxa"/>
            <w:gridSpan w:val="2"/>
            <w:tcBorders>
              <w:top w:val="single" w:color="auto" w:sz="6" w:space="0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0.96438</w:t>
            </w:r>
          </w:p>
        </w:tc>
        <w:tc>
          <w:tcPr>
            <w:tcW w:w="1279" w:type="dxa"/>
            <w:tcBorders>
              <w:top w:val="single" w:color="auto" w:sz="6" w:space="0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0.00404</w:t>
            </w:r>
          </w:p>
        </w:tc>
        <w:tc>
          <w:tcPr>
            <w:tcW w:w="1138" w:type="dxa"/>
            <w:tcBorders>
              <w:top w:val="single" w:color="auto" w:sz="6" w:space="0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19.83744</w:t>
            </w:r>
          </w:p>
        </w:tc>
        <w:tc>
          <w:tcPr>
            <w:tcW w:w="944" w:type="dxa"/>
            <w:tcBorders>
              <w:top w:val="single" w:color="auto" w:sz="6" w:space="0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0.98374</w:t>
            </w:r>
          </w:p>
        </w:tc>
      </w:tr>
    </w:tbl>
    <w:p>
      <w:pPr>
        <w:widowControl/>
        <w:jc w:val="left"/>
      </w:pPr>
      <w:r>
        <w:br w:type="page"/>
      </w:r>
    </w:p>
    <w:p>
      <w:pPr>
        <w:pStyle w:val="2"/>
        <w:ind w:firstLine="0" w:firstLineChars="0"/>
        <w:jc w:val="left"/>
        <w:rPr>
          <w:b/>
        </w:rPr>
      </w:pPr>
      <w:r>
        <w:rPr>
          <w:rFonts w:hint="eastAsia"/>
          <w:b/>
        </w:rPr>
        <w:t>References:</w:t>
      </w:r>
    </w:p>
    <w:p>
      <w:pPr>
        <w:pStyle w:val="2"/>
        <w:ind w:firstLine="0" w:firstLineChars="0"/>
        <w:rPr>
          <w:sz w:val="20"/>
          <w:szCs w:val="20"/>
        </w:rPr>
      </w:pPr>
      <w:bookmarkStart w:id="0" w:name="_ENREF_1"/>
      <w:r>
        <w:rPr>
          <w:sz w:val="20"/>
          <w:szCs w:val="20"/>
        </w:rPr>
        <w:t>[1] D. Kang, X. Yu, S. Tong, M. Ge, J. Zuo, C. Cao, W. Song (2013) Performance and mechanism of Mg/Fe layered double hydroxides for fluoride and arsenate removal from aqueous solution. Chem Eng J 228: 731-740.</w:t>
      </w:r>
      <w:bookmarkEnd w:id="0"/>
      <w:r>
        <w:rPr>
          <w:sz w:val="20"/>
          <w:szCs w:val="20"/>
        </w:rPr>
        <w:t xml:space="preserve"> https://doi.org/10.1016/j.cej.2013.05.041</w:t>
      </w:r>
    </w:p>
    <w:p>
      <w:pPr>
        <w:pStyle w:val="2"/>
        <w:ind w:firstLine="0" w:firstLineChars="0"/>
        <w:rPr>
          <w:sz w:val="20"/>
          <w:szCs w:val="20"/>
        </w:rPr>
      </w:pPr>
      <w:bookmarkStart w:id="1" w:name="_ENREF_2"/>
      <w:r>
        <w:rPr>
          <w:sz w:val="20"/>
          <w:szCs w:val="20"/>
        </w:rPr>
        <w:t>[2] R.M. Dhoble, S. Lunge, A.G. Bhole, S. Rayalu (2011) Magnetic binary oxide particles (MBOP): A promising adsorbent for removal of As (III) in water. Water Res 45: 4769-4781.</w:t>
      </w:r>
      <w:bookmarkEnd w:id="1"/>
      <w:r>
        <w:rPr>
          <w:sz w:val="20"/>
          <w:szCs w:val="20"/>
        </w:rPr>
        <w:t xml:space="preserve"> https://doi.org/10.1016/j.watres.2011.06.016</w:t>
      </w:r>
    </w:p>
    <w:p>
      <w:pPr>
        <w:pStyle w:val="2"/>
        <w:ind w:firstLine="0" w:firstLineChars="0"/>
        <w:rPr>
          <w:sz w:val="20"/>
          <w:szCs w:val="20"/>
        </w:rPr>
      </w:pPr>
      <w:bookmarkStart w:id="2" w:name="_ENREF_3"/>
      <w:r>
        <w:rPr>
          <w:sz w:val="20"/>
          <w:szCs w:val="20"/>
        </w:rPr>
        <w:t>[3] J.M. Gong, T. Liu, X.Q. Wang, X.L. Hu, L.Z. Zhang (2011) Efficient Removal of Heavy Metal Ions from Aqueous Systems with the Assembly of Anisotropic Layered Double Hydroxide Nanocrystals@Carbon Nanosphere, Environ Sci Technol 45: 6181-6187.</w:t>
      </w:r>
      <w:bookmarkEnd w:id="2"/>
      <w:r>
        <w:rPr>
          <w:sz w:val="20"/>
          <w:szCs w:val="20"/>
        </w:rPr>
        <w:t xml:space="preserve"> https://doi.org/10.1021/es200668q</w:t>
      </w:r>
    </w:p>
    <w:p>
      <w:pPr>
        <w:pStyle w:val="2"/>
        <w:spacing w:line="240" w:lineRule="auto"/>
        <w:ind w:firstLine="480"/>
      </w:pPr>
    </w:p>
    <w:p/>
    <w:sectPr>
      <w:pgSz w:w="12240" w:h="15839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yriad Pro Light">
    <w:panose1 w:val="020B0603030403020204"/>
    <w:charset w:val="00"/>
    <w:family w:val="swiss"/>
    <w:pitch w:val="default"/>
    <w:sig w:usb0="20000287" w:usb1="00000001" w:usb2="00000000" w:usb3="00000000" w:csb0="2000019F" w:csb1="00000000"/>
  </w:font>
  <w:font w:name="Arno Pro">
    <w:altName w:val="Times New Roman"/>
    <w:panose1 w:val="00000000000000000000"/>
    <w:charset w:val="00"/>
    <w:family w:val="roman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2ZjA0NWIwNzExMjVmY2U1NGViZTFiNDdhZTBhYTY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Reaction Chemistry &amp;amp; Engineering&lt;/Style&gt;&lt;LeftDelim&gt;{&lt;/LeftDelim&gt;&lt;RightDelim&gt;}&lt;/RightDelim&gt;&lt;FontName&gt;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</w:docVars>
  <w:rsids>
    <w:rsidRoot w:val="00AD5FFC"/>
    <w:rsid w:val="00081AE7"/>
    <w:rsid w:val="00A260F7"/>
    <w:rsid w:val="00AD5FFC"/>
    <w:rsid w:val="00DB468C"/>
    <w:rsid w:val="00F11F6C"/>
    <w:rsid w:val="00F90EDB"/>
    <w:rsid w:val="0144040E"/>
    <w:rsid w:val="02D84414"/>
    <w:rsid w:val="05100159"/>
    <w:rsid w:val="150B2C95"/>
    <w:rsid w:val="1541081A"/>
    <w:rsid w:val="16783AEC"/>
    <w:rsid w:val="17424826"/>
    <w:rsid w:val="17920BDE"/>
    <w:rsid w:val="1F1C307A"/>
    <w:rsid w:val="25DC5445"/>
    <w:rsid w:val="2A570191"/>
    <w:rsid w:val="2CA4272C"/>
    <w:rsid w:val="31883028"/>
    <w:rsid w:val="32B1065A"/>
    <w:rsid w:val="3C0B5C5F"/>
    <w:rsid w:val="3D0221DE"/>
    <w:rsid w:val="4151103E"/>
    <w:rsid w:val="46050649"/>
    <w:rsid w:val="469B2D5C"/>
    <w:rsid w:val="4EE4395D"/>
    <w:rsid w:val="511856D5"/>
    <w:rsid w:val="51606881"/>
    <w:rsid w:val="604C3023"/>
    <w:rsid w:val="61B34FA6"/>
    <w:rsid w:val="642D1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60" w:lineRule="auto"/>
      <w:ind w:firstLine="200" w:firstLineChars="200"/>
    </w:pPr>
    <w:rPr>
      <w:rFonts w:ascii="Times New Roman" w:hAnsi="Times New Roman" w:eastAsia="宋体" w:cs="Times New Roman"/>
      <w:sz w:val="24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7">
    <w:name w:val="BA_Title"/>
    <w:basedOn w:val="1"/>
    <w:next w:val="8"/>
    <w:qFormat/>
    <w:uiPriority w:val="0"/>
    <w:pPr>
      <w:spacing w:before="1400" w:after="180"/>
      <w:jc w:val="left"/>
    </w:pPr>
    <w:rPr>
      <w:rFonts w:ascii="Myriad Pro Light" w:hAnsi="Myriad Pro Light"/>
      <w:b/>
      <w:kern w:val="36"/>
      <w:sz w:val="34"/>
    </w:rPr>
  </w:style>
  <w:style w:type="paragraph" w:customStyle="1" w:styleId="8">
    <w:name w:val="BB_Author_Name"/>
    <w:basedOn w:val="1"/>
    <w:next w:val="9"/>
    <w:qFormat/>
    <w:uiPriority w:val="0"/>
    <w:pPr>
      <w:spacing w:after="180"/>
      <w:jc w:val="left"/>
    </w:pPr>
    <w:rPr>
      <w:rFonts w:ascii="Arno Pro" w:hAnsi="Arno Pro"/>
      <w:kern w:val="26"/>
    </w:rPr>
  </w:style>
  <w:style w:type="paragraph" w:customStyle="1" w:styleId="9">
    <w:name w:val="BC_Author_Address"/>
    <w:basedOn w:val="1"/>
    <w:next w:val="10"/>
    <w:qFormat/>
    <w:uiPriority w:val="0"/>
    <w:pPr>
      <w:spacing w:after="60"/>
      <w:jc w:val="left"/>
    </w:pPr>
    <w:rPr>
      <w:rFonts w:ascii="Arno Pro" w:hAnsi="Arno Pro"/>
      <w:kern w:val="22"/>
      <w:sz w:val="20"/>
    </w:rPr>
  </w:style>
  <w:style w:type="paragraph" w:customStyle="1" w:styleId="10">
    <w:name w:val="BI_Email_Address"/>
    <w:basedOn w:val="1"/>
    <w:next w:val="11"/>
    <w:qFormat/>
    <w:uiPriority w:val="0"/>
    <w:pPr>
      <w:spacing w:after="100"/>
      <w:jc w:val="left"/>
    </w:pPr>
    <w:rPr>
      <w:rFonts w:ascii="Arno Pro" w:hAnsi="Arno Pro"/>
      <w:sz w:val="18"/>
    </w:rPr>
  </w:style>
  <w:style w:type="paragraph" w:customStyle="1" w:styleId="11">
    <w:name w:val="AI_Received_Date"/>
    <w:basedOn w:val="1"/>
    <w:next w:val="1"/>
    <w:qFormat/>
    <w:uiPriority w:val="0"/>
    <w:pPr>
      <w:spacing w:after="100"/>
      <w:jc w:val="left"/>
    </w:pPr>
    <w:rPr>
      <w:rFonts w:ascii="Arno Pro" w:hAnsi="Arno Pro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3.tiff"/><Relationship Id="rId7" Type="http://schemas.openxmlformats.org/officeDocument/2006/relationships/image" Target="media/image2.wmf"/><Relationship Id="rId6" Type="http://schemas.openxmlformats.org/officeDocument/2006/relationships/oleObject" Target="embeddings/oleObject2.bin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460</Words>
  <Characters>2715</Characters>
  <Lines>38</Lines>
  <Paragraphs>10</Paragraphs>
  <TotalTime>0</TotalTime>
  <ScaleCrop>false</ScaleCrop>
  <LinksUpToDate>false</LinksUpToDate>
  <CharactersWithSpaces>3158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2023-03-09T02:38:00Z</dcterms:created>
  <dc:creator>Administrator</dc:creator>
  <cp:lastModifiedBy>英子</cp:lastModifiedBy>
  <dcterms:modified xsi:type="dcterms:W3CDTF">2023-07-30T03:39:23Z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C433406893884571B58B6FF5EEF5B5AA_13</vt:lpwstr>
  </property>
</Properties>
</file>