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CC2D90" w14:textId="564863AF" w:rsidR="00DA7F0A" w:rsidRPr="003805EC" w:rsidRDefault="00DA7F0A" w:rsidP="00DA7F0A">
      <w:pPr>
        <w:rPr>
          <w:rFonts w:ascii="Arial" w:hAnsi="Arial" w:cs="Arial"/>
          <w:b/>
          <w:bCs/>
          <w:sz w:val="24"/>
          <w:szCs w:val="24"/>
        </w:rPr>
      </w:pPr>
      <w:r w:rsidRPr="003805EC">
        <w:rPr>
          <w:rFonts w:ascii="Arial" w:hAnsi="Arial" w:cs="Arial"/>
          <w:b/>
          <w:bCs/>
          <w:sz w:val="24"/>
          <w:szCs w:val="24"/>
        </w:rPr>
        <w:t>Supplementary figures legends</w:t>
      </w:r>
    </w:p>
    <w:p w14:paraId="5F6A001F" w14:textId="77777777" w:rsidR="007A2128" w:rsidRPr="007A2128" w:rsidRDefault="007A2128" w:rsidP="007A2128">
      <w:pPr>
        <w:widowControl/>
        <w:spacing w:line="480" w:lineRule="auto"/>
        <w:rPr>
          <w:rFonts w:ascii="Arial" w:eastAsia="SimSun" w:hAnsi="Arial" w:cs="Arial"/>
          <w:b/>
          <w:bCs/>
          <w:kern w:val="32"/>
          <w:sz w:val="24"/>
          <w:szCs w:val="24"/>
          <w:lang w:eastAsia="en-US"/>
        </w:rPr>
      </w:pPr>
      <w:bookmarkStart w:id="0" w:name="_Hlk136496439"/>
      <w:r w:rsidRPr="007A2128">
        <w:rPr>
          <w:rFonts w:ascii="Arial" w:eastAsia="SimSun" w:hAnsi="Arial" w:cs="Arial"/>
          <w:b/>
          <w:bCs/>
          <w:kern w:val="32"/>
          <w:sz w:val="24"/>
          <w:szCs w:val="24"/>
          <w:lang w:eastAsia="en-US"/>
        </w:rPr>
        <w:t>Figure S1. TOP1 promotes cervical cancer expansion.</w:t>
      </w:r>
    </w:p>
    <w:p w14:paraId="389096D0" w14:textId="2F3B6DDB" w:rsidR="007A2128" w:rsidRPr="007A2128" w:rsidRDefault="007A2128" w:rsidP="007A2128">
      <w:pPr>
        <w:widowControl/>
        <w:spacing w:line="480" w:lineRule="auto"/>
        <w:rPr>
          <w:rFonts w:ascii="Arial" w:eastAsia="SimSun" w:hAnsi="Arial" w:cs="Arial"/>
          <w:kern w:val="32"/>
          <w:sz w:val="24"/>
          <w:szCs w:val="24"/>
          <w:lang w:eastAsia="en-US"/>
        </w:rPr>
      </w:pPr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>(A) Immunoblot of TOP1 protein level</w:t>
      </w:r>
      <w:r w:rsidR="00D54982">
        <w:rPr>
          <w:rFonts w:ascii="Arial" w:eastAsia="SimSun" w:hAnsi="Arial" w:cs="Arial"/>
          <w:kern w:val="32"/>
          <w:sz w:val="24"/>
          <w:szCs w:val="24"/>
          <w:lang w:eastAsia="en-US"/>
        </w:rPr>
        <w:t>s</w:t>
      </w:r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 xml:space="preserve"> in HPV negative (</w:t>
      </w:r>
      <w:proofErr w:type="spellStart"/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>HaCaT</w:t>
      </w:r>
      <w:proofErr w:type="spellEnd"/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>) and HPV positive (</w:t>
      </w:r>
      <w:proofErr w:type="spellStart"/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>CaSki</w:t>
      </w:r>
      <w:proofErr w:type="spellEnd"/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 xml:space="preserve">, </w:t>
      </w:r>
      <w:proofErr w:type="spellStart"/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>SiHa</w:t>
      </w:r>
      <w:proofErr w:type="spellEnd"/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>, HeLa) cells. (B)</w:t>
      </w:r>
      <w:r w:rsidRPr="007A2128">
        <w:rPr>
          <w:rFonts w:ascii="Arial" w:eastAsia="SimSun" w:hAnsi="Arial" w:cs="Arial"/>
          <w:kern w:val="0"/>
          <w:sz w:val="24"/>
          <w:szCs w:val="24"/>
          <w:lang w:eastAsia="en-US"/>
        </w:rPr>
        <w:t xml:space="preserve"> </w:t>
      </w:r>
      <w:r w:rsidR="006E2A81">
        <w:rPr>
          <w:rFonts w:ascii="Arial" w:eastAsia="SimSun" w:hAnsi="Arial" w:cs="Arial"/>
          <w:kern w:val="32"/>
          <w:sz w:val="24"/>
          <w:szCs w:val="24"/>
          <w:lang w:eastAsia="en-US"/>
        </w:rPr>
        <w:t>Detection</w:t>
      </w:r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 xml:space="preserve"> of TOP1 mRNA level</w:t>
      </w:r>
      <w:r w:rsidR="00D54982">
        <w:rPr>
          <w:rFonts w:ascii="Arial" w:eastAsia="SimSun" w:hAnsi="Arial" w:cs="Arial"/>
          <w:kern w:val="32"/>
          <w:sz w:val="24"/>
          <w:szCs w:val="24"/>
          <w:lang w:eastAsia="en-US"/>
        </w:rPr>
        <w:t>s</w:t>
      </w:r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 xml:space="preserve"> </w:t>
      </w:r>
      <w:r w:rsidR="006E2A81">
        <w:rPr>
          <w:rFonts w:ascii="Arial" w:eastAsia="SimSun" w:hAnsi="Arial" w:cs="Arial"/>
          <w:kern w:val="32"/>
          <w:sz w:val="24"/>
          <w:szCs w:val="24"/>
          <w:lang w:eastAsia="en-US"/>
        </w:rPr>
        <w:t>by</w:t>
      </w:r>
      <w:r w:rsidR="006E2A81" w:rsidRPr="006E2A81">
        <w:rPr>
          <w:rFonts w:ascii="Arial" w:eastAsia="SimSun" w:hAnsi="Arial" w:cs="Arial"/>
          <w:kern w:val="32"/>
          <w:sz w:val="24"/>
          <w:szCs w:val="24"/>
          <w:lang w:eastAsia="en-US"/>
        </w:rPr>
        <w:t xml:space="preserve"> </w:t>
      </w:r>
      <w:r w:rsidR="006E2A81"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>RT-qPCR</w:t>
      </w:r>
      <w:r w:rsidR="006E2A81">
        <w:rPr>
          <w:rFonts w:ascii="Arial" w:eastAsia="SimSun" w:hAnsi="Arial" w:cs="Arial"/>
          <w:kern w:val="32"/>
          <w:sz w:val="24"/>
          <w:szCs w:val="24"/>
          <w:lang w:eastAsia="en-US"/>
        </w:rPr>
        <w:t xml:space="preserve"> </w:t>
      </w:r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>i</w:t>
      </w:r>
      <w:bookmarkStart w:id="1" w:name="_Hlk137645620"/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 xml:space="preserve">n HPV negative </w:t>
      </w:r>
      <w:bookmarkEnd w:id="1"/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>(</w:t>
      </w:r>
      <w:proofErr w:type="spellStart"/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>HaCaT</w:t>
      </w:r>
      <w:proofErr w:type="spellEnd"/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>) and HPV positive (</w:t>
      </w:r>
      <w:proofErr w:type="spellStart"/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>CaSki</w:t>
      </w:r>
      <w:proofErr w:type="spellEnd"/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 xml:space="preserve">, </w:t>
      </w:r>
      <w:proofErr w:type="spellStart"/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>SiHa</w:t>
      </w:r>
      <w:proofErr w:type="spellEnd"/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 xml:space="preserve">, HeLa) cells. (C) </w:t>
      </w:r>
      <w:r w:rsidR="006E2A81">
        <w:rPr>
          <w:rFonts w:ascii="Arial" w:eastAsia="SimSun" w:hAnsi="Arial" w:cs="Arial"/>
          <w:kern w:val="32"/>
          <w:sz w:val="24"/>
          <w:szCs w:val="24"/>
          <w:lang w:eastAsia="en-US"/>
        </w:rPr>
        <w:t>Detection</w:t>
      </w:r>
      <w:r w:rsidR="006E2A81"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 xml:space="preserve"> of TOP1 mRNA level</w:t>
      </w:r>
      <w:r w:rsidR="006E2A81">
        <w:rPr>
          <w:rFonts w:ascii="Arial" w:eastAsia="SimSun" w:hAnsi="Arial" w:cs="Arial"/>
          <w:kern w:val="32"/>
          <w:sz w:val="24"/>
          <w:szCs w:val="24"/>
          <w:lang w:eastAsia="en-US"/>
        </w:rPr>
        <w:t>s</w:t>
      </w:r>
      <w:r w:rsidR="006E2A81"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 xml:space="preserve"> </w:t>
      </w:r>
      <w:r w:rsidR="006E2A81">
        <w:rPr>
          <w:rFonts w:ascii="Arial" w:eastAsia="SimSun" w:hAnsi="Arial" w:cs="Arial"/>
          <w:kern w:val="32"/>
          <w:sz w:val="24"/>
          <w:szCs w:val="24"/>
          <w:lang w:eastAsia="en-US"/>
        </w:rPr>
        <w:t>by</w:t>
      </w:r>
      <w:r w:rsidR="006E2A81" w:rsidRPr="006E2A81">
        <w:rPr>
          <w:rFonts w:ascii="Arial" w:eastAsia="SimSun" w:hAnsi="Arial" w:cs="Arial"/>
          <w:kern w:val="32"/>
          <w:sz w:val="24"/>
          <w:szCs w:val="24"/>
          <w:lang w:eastAsia="en-US"/>
        </w:rPr>
        <w:t xml:space="preserve"> </w:t>
      </w:r>
      <w:r w:rsidR="006E2A81"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>RT-qPCR</w:t>
      </w:r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 xml:space="preserve"> in control and TOP1-knockdown (sh-TOP1#</w:t>
      </w:r>
      <w:r w:rsidRPr="007A2128">
        <w:rPr>
          <w:rFonts w:ascii="Arial" w:eastAsia="SimSun" w:hAnsi="Arial" w:cs="Arial"/>
          <w:kern w:val="32"/>
          <w:sz w:val="24"/>
          <w:szCs w:val="24"/>
        </w:rPr>
        <w:t>1</w:t>
      </w:r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 xml:space="preserve">, sh-TOP1#2, sh-TOP1#3) HeLa and </w:t>
      </w:r>
      <w:proofErr w:type="spellStart"/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>SiHa</w:t>
      </w:r>
      <w:proofErr w:type="spellEnd"/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 xml:space="preserve"> cells. (D) RTCA assay illustrating proliferation of the control and TOP1 knockdown cells at five time points (0</w:t>
      </w:r>
      <w:r w:rsidRPr="007A2128">
        <w:rPr>
          <w:rFonts w:ascii="Arial" w:eastAsia="SimSun" w:hAnsi="Arial" w:cs="Arial"/>
          <w:kern w:val="32"/>
          <w:sz w:val="24"/>
          <w:szCs w:val="24"/>
        </w:rPr>
        <w:t>h</w:t>
      </w:r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 xml:space="preserve">, 24h, 48h,72h,96h,120h). (E) Detection of colony formation of TOP1 silencing and control </w:t>
      </w:r>
      <w:proofErr w:type="spellStart"/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>SiHa</w:t>
      </w:r>
      <w:proofErr w:type="spellEnd"/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 xml:space="preserve"> and HeLa cells. (F) The statistical quantification of colony formation assay (Each value was represented as the mean ± SD for triplicate samples (Student t test). **</w:t>
      </w:r>
      <w:r w:rsidRPr="007A2128">
        <w:rPr>
          <w:rFonts w:ascii="Arial" w:eastAsia="SimSun" w:hAnsi="Arial" w:cs="Arial"/>
          <w:i/>
          <w:iCs/>
          <w:kern w:val="32"/>
          <w:sz w:val="24"/>
          <w:szCs w:val="24"/>
          <w:lang w:eastAsia="en-US"/>
        </w:rPr>
        <w:t>P</w:t>
      </w:r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 xml:space="preserve"> &lt; 0.01, ***</w:t>
      </w:r>
      <w:r w:rsidRPr="007A2128">
        <w:rPr>
          <w:rFonts w:ascii="Arial" w:eastAsia="SimSun" w:hAnsi="Arial" w:cs="Arial"/>
          <w:i/>
          <w:iCs/>
          <w:kern w:val="32"/>
          <w:sz w:val="24"/>
          <w:szCs w:val="24"/>
          <w:lang w:eastAsia="en-US"/>
        </w:rPr>
        <w:t>P</w:t>
      </w:r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 xml:space="preserve"> &lt; 0.001, and ****</w:t>
      </w:r>
      <w:r w:rsidRPr="007A2128">
        <w:rPr>
          <w:rFonts w:ascii="Arial" w:eastAsia="SimSun" w:hAnsi="Arial" w:cs="Arial"/>
          <w:i/>
          <w:iCs/>
          <w:kern w:val="32"/>
          <w:sz w:val="24"/>
          <w:szCs w:val="24"/>
          <w:lang w:eastAsia="en-US"/>
        </w:rPr>
        <w:t>P</w:t>
      </w:r>
      <w:r w:rsidRPr="007A2128">
        <w:rPr>
          <w:rFonts w:ascii="Arial" w:eastAsia="SimSun" w:hAnsi="Arial" w:cs="Arial"/>
          <w:kern w:val="32"/>
          <w:sz w:val="24"/>
          <w:szCs w:val="24"/>
          <w:lang w:eastAsia="en-US"/>
        </w:rPr>
        <w:t xml:space="preserve"> &lt; 0.0001.</w:t>
      </w:r>
      <w:bookmarkEnd w:id="0"/>
    </w:p>
    <w:p w14:paraId="1DF67671" w14:textId="77777777" w:rsidR="007A2128" w:rsidRPr="007A2128" w:rsidRDefault="007A2128" w:rsidP="007A2128">
      <w:pPr>
        <w:spacing w:line="480" w:lineRule="auto"/>
        <w:rPr>
          <w:rFonts w:ascii="Arial" w:eastAsia="DengXian" w:hAnsi="Arial" w:cs="Arial"/>
          <w:b/>
          <w:bCs/>
          <w:sz w:val="24"/>
          <w:szCs w:val="24"/>
          <w:lang w:eastAsia="en-US"/>
        </w:rPr>
      </w:pPr>
      <w:bookmarkStart w:id="2" w:name="_Hlk136496513"/>
      <w:bookmarkStart w:id="3" w:name="_Hlk132560347"/>
      <w:r w:rsidRPr="007A2128">
        <w:rPr>
          <w:rFonts w:ascii="Arial" w:eastAsia="DengXian" w:hAnsi="Arial" w:cs="Arial"/>
          <w:b/>
          <w:bCs/>
          <w:sz w:val="24"/>
          <w:szCs w:val="24"/>
          <w:lang w:eastAsia="en-US"/>
        </w:rPr>
        <w:t>Figure S</w:t>
      </w:r>
      <w:r w:rsidRPr="007A2128">
        <w:rPr>
          <w:rFonts w:ascii="Arial" w:eastAsia="DengXian" w:hAnsi="Arial" w:cs="Arial"/>
          <w:b/>
          <w:bCs/>
          <w:sz w:val="24"/>
          <w:szCs w:val="24"/>
        </w:rPr>
        <w:t>2</w:t>
      </w:r>
      <w:r w:rsidRPr="007A2128">
        <w:rPr>
          <w:rFonts w:ascii="Arial" w:eastAsia="DengXian" w:hAnsi="Arial" w:cs="Arial"/>
          <w:b/>
          <w:bCs/>
          <w:sz w:val="24"/>
          <w:szCs w:val="24"/>
          <w:lang w:eastAsia="en-US"/>
        </w:rPr>
        <w:t>. TOP1 depletion significantly inhibited Homologous recombination (HR) repair.</w:t>
      </w:r>
    </w:p>
    <w:p w14:paraId="646000DF" w14:textId="37BCC0F3" w:rsidR="007A2128" w:rsidRPr="007A2128" w:rsidRDefault="007A2128" w:rsidP="007A2128">
      <w:pPr>
        <w:spacing w:line="480" w:lineRule="auto"/>
        <w:rPr>
          <w:rFonts w:ascii="Arial" w:eastAsia="DengXian" w:hAnsi="Arial" w:cs="Arial"/>
          <w:sz w:val="24"/>
          <w:szCs w:val="24"/>
          <w:lang w:eastAsia="en-US"/>
        </w:rPr>
      </w:pPr>
      <w:r w:rsidRPr="007A2128">
        <w:rPr>
          <w:rFonts w:ascii="Arial" w:eastAsia="DengXian" w:hAnsi="Arial" w:cs="Arial"/>
          <w:sz w:val="24"/>
          <w:szCs w:val="24"/>
          <w:lang w:eastAsia="en-US"/>
        </w:rPr>
        <w:t>(A) Heat map</w:t>
      </w:r>
      <w:r w:rsidRPr="007A2128">
        <w:rPr>
          <w:rFonts w:ascii="Arial" w:eastAsia="DengXian" w:hAnsi="Arial" w:cs="Arial"/>
          <w:sz w:val="24"/>
          <w:szCs w:val="24"/>
        </w:rPr>
        <w:t xml:space="preserve"> of </w:t>
      </w:r>
      <w:r w:rsidRPr="007A2128">
        <w:rPr>
          <w:rFonts w:ascii="Arial" w:eastAsia="DengXian" w:hAnsi="Arial" w:cs="Arial"/>
          <w:sz w:val="24"/>
          <w:szCs w:val="24"/>
          <w:lang w:eastAsia="en-US"/>
        </w:rPr>
        <w:t>specific DDR genes in CC cells transfected with</w:t>
      </w:r>
      <w:r w:rsidR="003805EC">
        <w:rPr>
          <w:rFonts w:ascii="Arial" w:eastAsia="DengXian" w:hAnsi="Arial" w:cs="Arial"/>
          <w:sz w:val="24"/>
          <w:szCs w:val="24"/>
          <w:lang w:eastAsia="en-US"/>
        </w:rPr>
        <w:t xml:space="preserve"> </w:t>
      </w:r>
      <w:proofErr w:type="spellStart"/>
      <w:r w:rsidRPr="007A2128">
        <w:rPr>
          <w:rFonts w:ascii="Arial" w:eastAsia="DengXian" w:hAnsi="Arial" w:cs="Arial"/>
          <w:sz w:val="24"/>
          <w:szCs w:val="24"/>
          <w:lang w:eastAsia="en-US"/>
        </w:rPr>
        <w:t>sh</w:t>
      </w:r>
      <w:proofErr w:type="spellEnd"/>
      <w:r w:rsidRPr="007A2128">
        <w:rPr>
          <w:rFonts w:ascii="Arial" w:eastAsia="DengXian" w:hAnsi="Arial" w:cs="Arial"/>
          <w:sz w:val="24"/>
          <w:szCs w:val="24"/>
          <w:lang w:eastAsia="en-US"/>
        </w:rPr>
        <w:t>-NC and sh-TOP1#2, sh-TOP1#3. (B)</w:t>
      </w:r>
      <w:r w:rsidRPr="007A2128">
        <w:rPr>
          <w:rFonts w:ascii="Arial" w:eastAsia="DengXian" w:hAnsi="Arial" w:cs="Arial"/>
          <w:sz w:val="24"/>
          <w:szCs w:val="24"/>
        </w:rPr>
        <w:t xml:space="preserve"> Representative</w:t>
      </w:r>
      <w:r w:rsidRPr="007A2128">
        <w:rPr>
          <w:rFonts w:ascii="Arial" w:eastAsia="DengXian" w:hAnsi="Arial" w:cs="Arial"/>
          <w:sz w:val="24"/>
          <w:szCs w:val="24"/>
          <w:lang w:eastAsia="en-US"/>
        </w:rPr>
        <w:t xml:space="preserve"> </w:t>
      </w:r>
      <w:r w:rsidRPr="007A2128">
        <w:rPr>
          <w:rFonts w:ascii="Arial" w:eastAsia="DengXian" w:hAnsi="Arial" w:cs="Arial"/>
          <w:sz w:val="24"/>
          <w:szCs w:val="24"/>
        </w:rPr>
        <w:t>DNA double-strand break (DSB)</w:t>
      </w:r>
      <w:r w:rsidRPr="007A2128">
        <w:rPr>
          <w:rFonts w:ascii="Arial" w:eastAsia="DengXian" w:hAnsi="Arial" w:cs="Arial"/>
          <w:sz w:val="24"/>
          <w:szCs w:val="24"/>
          <w:lang w:eastAsia="en-US"/>
        </w:rPr>
        <w:t xml:space="preserve"> and HR repair protein expression in the TOP1 knockdown and control CC cells.</w:t>
      </w:r>
      <w:r w:rsidRPr="007A2128">
        <w:rPr>
          <w:rFonts w:ascii="Arial" w:eastAsia="DengXian" w:hAnsi="Arial" w:cs="Arial"/>
          <w:sz w:val="24"/>
          <w:szCs w:val="24"/>
        </w:rPr>
        <w:t xml:space="preserve"> </w:t>
      </w:r>
      <w:r w:rsidRPr="007A2128">
        <w:rPr>
          <w:rFonts w:ascii="Arial" w:eastAsia="DengXian" w:hAnsi="Arial" w:cs="Arial"/>
          <w:sz w:val="24"/>
          <w:szCs w:val="24"/>
          <w:lang w:eastAsia="en-US"/>
        </w:rPr>
        <w:t>β-actin was used as endogenous control.</w:t>
      </w:r>
      <w:bookmarkEnd w:id="2"/>
    </w:p>
    <w:p w14:paraId="520E5ACE" w14:textId="77777777" w:rsidR="007A2128" w:rsidRPr="007A2128" w:rsidRDefault="007A2128" w:rsidP="007A2128">
      <w:pPr>
        <w:spacing w:line="480" w:lineRule="auto"/>
        <w:rPr>
          <w:rFonts w:ascii="Arial" w:eastAsia="DengXian" w:hAnsi="Arial" w:cs="Arial"/>
          <w:b/>
          <w:bCs/>
          <w:sz w:val="24"/>
          <w:szCs w:val="24"/>
          <w:lang w:eastAsia="en-US"/>
        </w:rPr>
      </w:pPr>
      <w:bookmarkStart w:id="4" w:name="_Hlk133332777"/>
      <w:bookmarkEnd w:id="3"/>
      <w:r w:rsidRPr="007A2128">
        <w:rPr>
          <w:rFonts w:ascii="Arial" w:eastAsia="DengXian" w:hAnsi="Arial" w:cs="Arial"/>
          <w:b/>
          <w:bCs/>
          <w:sz w:val="24"/>
          <w:szCs w:val="24"/>
          <w:lang w:eastAsia="en-US"/>
        </w:rPr>
        <w:t>Figure S</w:t>
      </w:r>
      <w:r w:rsidRPr="007A2128">
        <w:rPr>
          <w:rFonts w:ascii="Arial" w:eastAsia="DengXian" w:hAnsi="Arial" w:cs="Arial"/>
          <w:b/>
          <w:bCs/>
          <w:sz w:val="24"/>
          <w:szCs w:val="24"/>
        </w:rPr>
        <w:t>3</w:t>
      </w:r>
      <w:r w:rsidRPr="007A2128">
        <w:rPr>
          <w:rFonts w:ascii="Arial" w:eastAsia="DengXian" w:hAnsi="Arial" w:cs="Arial"/>
          <w:b/>
          <w:bCs/>
          <w:sz w:val="24"/>
          <w:szCs w:val="24"/>
          <w:lang w:eastAsia="en-US"/>
        </w:rPr>
        <w:t xml:space="preserve">. The expression and correlation between </w:t>
      </w:r>
      <w:proofErr w:type="spellStart"/>
      <w:r w:rsidRPr="007A2128">
        <w:rPr>
          <w:rFonts w:ascii="Arial" w:eastAsia="DengXian" w:hAnsi="Arial" w:cs="Arial"/>
          <w:b/>
          <w:bCs/>
          <w:sz w:val="24"/>
          <w:szCs w:val="24"/>
          <w:lang w:eastAsia="en-US"/>
        </w:rPr>
        <w:t>cGAS</w:t>
      </w:r>
      <w:proofErr w:type="spellEnd"/>
      <w:r w:rsidRPr="007A2128">
        <w:rPr>
          <w:rFonts w:ascii="Arial" w:eastAsia="DengXian" w:hAnsi="Arial" w:cs="Arial"/>
          <w:b/>
          <w:bCs/>
          <w:sz w:val="24"/>
          <w:szCs w:val="24"/>
          <w:lang w:eastAsia="en-US"/>
        </w:rPr>
        <w:t xml:space="preserve"> and CD274 in CC.</w:t>
      </w:r>
    </w:p>
    <w:p w14:paraId="150D3250" w14:textId="0AF25FB9" w:rsidR="007A2128" w:rsidRPr="003805EC" w:rsidRDefault="007A2128" w:rsidP="00DA0F55">
      <w:pPr>
        <w:spacing w:line="480" w:lineRule="auto"/>
        <w:rPr>
          <w:rFonts w:ascii="Arial" w:eastAsia="DengXian" w:hAnsi="Arial" w:cs="Arial"/>
          <w:sz w:val="24"/>
          <w:szCs w:val="24"/>
        </w:rPr>
      </w:pPr>
      <w:r w:rsidRPr="007A2128">
        <w:rPr>
          <w:rFonts w:ascii="Arial" w:eastAsia="DengXian" w:hAnsi="Arial" w:cs="Arial"/>
          <w:sz w:val="24"/>
          <w:szCs w:val="24"/>
          <w:lang w:eastAsia="en-US"/>
        </w:rPr>
        <w:t>(A</w:t>
      </w:r>
      <w:r w:rsidRPr="007A2128">
        <w:rPr>
          <w:rFonts w:ascii="Arial" w:eastAsia="DengXian" w:hAnsi="Arial" w:cs="Arial"/>
          <w:sz w:val="24"/>
          <w:szCs w:val="24"/>
        </w:rPr>
        <w:t>-B</w:t>
      </w:r>
      <w:r w:rsidRPr="007A2128">
        <w:rPr>
          <w:rFonts w:ascii="Arial" w:eastAsia="DengXian" w:hAnsi="Arial" w:cs="Arial"/>
          <w:sz w:val="24"/>
          <w:szCs w:val="24"/>
          <w:lang w:eastAsia="en-US"/>
        </w:rPr>
        <w:t>) The mRNA expression levels of</w:t>
      </w:r>
      <w:r w:rsidRPr="007A2128">
        <w:rPr>
          <w:rFonts w:ascii="Arial" w:eastAsia="DengXian" w:hAnsi="Arial" w:cs="Arial"/>
          <w:sz w:val="24"/>
          <w:szCs w:val="24"/>
        </w:rPr>
        <w:t xml:space="preserve"> </w:t>
      </w:r>
      <w:proofErr w:type="spellStart"/>
      <w:r w:rsidRPr="007A2128">
        <w:rPr>
          <w:rFonts w:ascii="Arial" w:eastAsia="DengXian" w:hAnsi="Arial" w:cs="Arial"/>
          <w:sz w:val="24"/>
          <w:szCs w:val="24"/>
        </w:rPr>
        <w:t>cGAS</w:t>
      </w:r>
      <w:proofErr w:type="spellEnd"/>
      <w:r w:rsidRPr="007A2128">
        <w:rPr>
          <w:rFonts w:ascii="Arial" w:eastAsia="DengXian" w:hAnsi="Arial" w:cs="Arial"/>
          <w:sz w:val="24"/>
          <w:szCs w:val="24"/>
        </w:rPr>
        <w:t xml:space="preserve"> </w:t>
      </w:r>
      <w:r w:rsidRPr="007A2128">
        <w:rPr>
          <w:rFonts w:ascii="Arial" w:eastAsia="DengXian" w:hAnsi="Arial" w:cs="Arial"/>
          <w:sz w:val="24"/>
          <w:szCs w:val="24"/>
          <w:lang w:eastAsia="en-US"/>
        </w:rPr>
        <w:t>and CD274 in control (n=13) and cervical cancer (n=306) tissues were analyzed using GEPIA database. (C)</w:t>
      </w:r>
      <w:r w:rsidRPr="007A2128">
        <w:rPr>
          <w:rFonts w:ascii="Arial" w:eastAsia="DengXian" w:hAnsi="Arial" w:cs="Arial"/>
          <w:sz w:val="24"/>
          <w:szCs w:val="24"/>
        </w:rPr>
        <w:t xml:space="preserve"> The </w:t>
      </w:r>
      <w:r w:rsidRPr="007A2128">
        <w:rPr>
          <w:rFonts w:ascii="Arial" w:eastAsia="DengXian" w:hAnsi="Arial" w:cs="Arial"/>
          <w:sz w:val="24"/>
          <w:szCs w:val="24"/>
        </w:rPr>
        <w:lastRenderedPageBreak/>
        <w:t xml:space="preserve">expression scatterplots was generated to show the correlation between </w:t>
      </w:r>
      <w:proofErr w:type="spellStart"/>
      <w:r w:rsidRPr="007A2128">
        <w:rPr>
          <w:rFonts w:ascii="Arial" w:eastAsia="DengXian" w:hAnsi="Arial" w:cs="Arial"/>
          <w:sz w:val="24"/>
          <w:szCs w:val="24"/>
        </w:rPr>
        <w:t>cGAS</w:t>
      </w:r>
      <w:proofErr w:type="spellEnd"/>
      <w:r w:rsidRPr="007A2128">
        <w:rPr>
          <w:rFonts w:ascii="Arial" w:eastAsia="DengXian" w:hAnsi="Arial" w:cs="Arial"/>
          <w:sz w:val="24"/>
          <w:szCs w:val="24"/>
        </w:rPr>
        <w:t xml:space="preserve"> and CD274 in CC, with the Spearman’s rho value and estimated statistical significance.</w:t>
      </w:r>
      <w:bookmarkEnd w:id="4"/>
    </w:p>
    <w:p w14:paraId="5BB908CA" w14:textId="77777777" w:rsidR="003805EC" w:rsidRPr="003805EC" w:rsidRDefault="003805EC" w:rsidP="00DA0F55">
      <w:pPr>
        <w:spacing w:line="480" w:lineRule="auto"/>
        <w:rPr>
          <w:rFonts w:ascii="Arial" w:eastAsia="DengXian" w:hAnsi="Arial" w:cs="Arial"/>
          <w:b/>
          <w:bCs/>
          <w:sz w:val="24"/>
          <w:szCs w:val="24"/>
          <w:lang w:eastAsia="en-US"/>
        </w:rPr>
      </w:pPr>
      <w:r w:rsidRPr="003805EC">
        <w:rPr>
          <w:rFonts w:ascii="Arial" w:eastAsia="DengXian" w:hAnsi="Arial" w:cs="Arial"/>
          <w:b/>
          <w:bCs/>
          <w:sz w:val="24"/>
          <w:szCs w:val="24"/>
          <w:lang w:eastAsia="en-US"/>
        </w:rPr>
        <w:t>Table S1. Basic clinical information of normal, CIN, and cervical cancer patients.</w:t>
      </w:r>
    </w:p>
    <w:p w14:paraId="7DFAC750" w14:textId="77777777" w:rsidR="003805EC" w:rsidRPr="003805EC" w:rsidRDefault="003805EC" w:rsidP="003805EC">
      <w:pPr>
        <w:spacing w:line="480" w:lineRule="auto"/>
        <w:rPr>
          <w:rFonts w:ascii="Arial" w:eastAsia="DengXian" w:hAnsi="Arial" w:cs="Arial"/>
          <w:b/>
          <w:bCs/>
          <w:sz w:val="24"/>
          <w:szCs w:val="24"/>
          <w:lang w:eastAsia="en-US"/>
        </w:rPr>
      </w:pPr>
      <w:r w:rsidRPr="003805EC">
        <w:rPr>
          <w:rFonts w:ascii="Arial" w:eastAsia="DengXian" w:hAnsi="Arial" w:cs="Arial"/>
          <w:b/>
          <w:bCs/>
          <w:sz w:val="24"/>
          <w:szCs w:val="24"/>
          <w:lang w:eastAsia="en-US"/>
        </w:rPr>
        <w:t>Table S2. List of primary and secondary antibodies.</w:t>
      </w:r>
    </w:p>
    <w:p w14:paraId="4D685C44" w14:textId="37A86BE7" w:rsidR="003805EC" w:rsidRPr="003805EC" w:rsidRDefault="003805EC" w:rsidP="003805EC">
      <w:pPr>
        <w:spacing w:line="480" w:lineRule="auto"/>
        <w:rPr>
          <w:rFonts w:ascii="Arial" w:eastAsia="DengXian" w:hAnsi="Arial" w:cs="Arial"/>
          <w:b/>
          <w:bCs/>
          <w:sz w:val="24"/>
          <w:szCs w:val="24"/>
          <w:lang w:eastAsia="en-US"/>
        </w:rPr>
      </w:pPr>
      <w:r w:rsidRPr="003805EC">
        <w:rPr>
          <w:rFonts w:ascii="Arial" w:eastAsia="DengXian" w:hAnsi="Arial" w:cs="Arial"/>
          <w:b/>
          <w:bCs/>
          <w:sz w:val="24"/>
          <w:szCs w:val="24"/>
          <w:lang w:eastAsia="en-US"/>
        </w:rPr>
        <w:t>Table S3. List of chemical drugs and kits.</w:t>
      </w:r>
    </w:p>
    <w:p w14:paraId="34DCD776" w14:textId="77777777" w:rsidR="003805EC" w:rsidRPr="003805EC" w:rsidRDefault="003805EC" w:rsidP="003805EC">
      <w:pPr>
        <w:spacing w:line="480" w:lineRule="auto"/>
        <w:rPr>
          <w:rFonts w:ascii="Arial" w:eastAsia="DengXian" w:hAnsi="Arial" w:cs="Arial"/>
          <w:b/>
          <w:bCs/>
          <w:sz w:val="24"/>
          <w:szCs w:val="24"/>
          <w:lang w:eastAsia="en-US"/>
        </w:rPr>
      </w:pPr>
      <w:r w:rsidRPr="003805EC">
        <w:rPr>
          <w:rFonts w:ascii="Arial" w:eastAsia="DengXian" w:hAnsi="Arial" w:cs="Arial"/>
          <w:b/>
          <w:bCs/>
          <w:sz w:val="24"/>
          <w:szCs w:val="24"/>
          <w:lang w:eastAsia="en-US"/>
        </w:rPr>
        <w:t>Table S4. Primers sequences list.</w:t>
      </w:r>
    </w:p>
    <w:p w14:paraId="2975B96B" w14:textId="7ECFF743" w:rsidR="003805EC" w:rsidRPr="003805EC" w:rsidRDefault="003805EC" w:rsidP="003805EC">
      <w:pPr>
        <w:spacing w:line="480" w:lineRule="auto"/>
        <w:rPr>
          <w:rFonts w:ascii="Arial" w:eastAsia="DengXian" w:hAnsi="Arial" w:cs="Arial"/>
          <w:b/>
          <w:bCs/>
          <w:sz w:val="24"/>
          <w:szCs w:val="24"/>
          <w:lang w:eastAsia="en-US"/>
        </w:rPr>
      </w:pPr>
      <w:r w:rsidRPr="003805EC">
        <w:rPr>
          <w:rFonts w:ascii="Arial" w:eastAsia="DengXian" w:hAnsi="Arial" w:cs="Arial"/>
          <w:b/>
          <w:bCs/>
          <w:sz w:val="24"/>
          <w:szCs w:val="24"/>
          <w:lang w:eastAsia="en-US"/>
        </w:rPr>
        <w:t xml:space="preserve">Table S5. The sequences of </w:t>
      </w:r>
      <w:proofErr w:type="spellStart"/>
      <w:r w:rsidRPr="003805EC">
        <w:rPr>
          <w:rFonts w:ascii="Arial" w:eastAsia="DengXian" w:hAnsi="Arial" w:cs="Arial"/>
          <w:b/>
          <w:bCs/>
          <w:sz w:val="24"/>
          <w:szCs w:val="24"/>
          <w:lang w:eastAsia="en-US"/>
        </w:rPr>
        <w:t>shRNAs</w:t>
      </w:r>
      <w:proofErr w:type="spellEnd"/>
      <w:r w:rsidRPr="003805EC">
        <w:rPr>
          <w:rFonts w:ascii="Arial" w:eastAsia="DengXian" w:hAnsi="Arial" w:cs="Arial"/>
          <w:b/>
          <w:bCs/>
          <w:sz w:val="24"/>
          <w:szCs w:val="24"/>
          <w:lang w:eastAsia="en-US"/>
        </w:rPr>
        <w:t>.</w:t>
      </w:r>
    </w:p>
    <w:p w14:paraId="21B00B60" w14:textId="77777777" w:rsidR="003805EC" w:rsidRPr="003805EC" w:rsidRDefault="003805EC" w:rsidP="00DA0F55">
      <w:pPr>
        <w:spacing w:line="480" w:lineRule="auto"/>
        <w:rPr>
          <w:rFonts w:ascii="Arial" w:eastAsia="DengXian" w:hAnsi="Arial" w:cs="Arial"/>
          <w:sz w:val="24"/>
          <w:szCs w:val="24"/>
          <w:lang w:eastAsia="en-US"/>
        </w:rPr>
      </w:pPr>
    </w:p>
    <w:sectPr w:rsidR="003805EC" w:rsidRPr="003805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F0A"/>
    <w:rsid w:val="003805EC"/>
    <w:rsid w:val="006E2A81"/>
    <w:rsid w:val="007A2128"/>
    <w:rsid w:val="00D54982"/>
    <w:rsid w:val="00DA0F55"/>
    <w:rsid w:val="00DA7F0A"/>
    <w:rsid w:val="00F92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0957B"/>
  <w15:chartTrackingRefBased/>
  <w15:docId w15:val="{0E0412B1-4B7E-49A9-82EA-B83B8D795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莹</dc:creator>
  <cp:keywords/>
  <dc:description/>
  <cp:lastModifiedBy>Microsoft Office User</cp:lastModifiedBy>
  <cp:revision>2</cp:revision>
  <dcterms:created xsi:type="dcterms:W3CDTF">2023-07-23T11:54:00Z</dcterms:created>
  <dcterms:modified xsi:type="dcterms:W3CDTF">2023-07-28T13:22:00Z</dcterms:modified>
</cp:coreProperties>
</file>