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FE9D2" w14:textId="77777777" w:rsidR="00F84960" w:rsidRPr="00863EE4" w:rsidRDefault="00F84960">
      <w:pPr>
        <w:jc w:val="center"/>
        <w:rPr>
          <w:rFonts w:ascii="Times New Roman" w:hAnsi="Times New Roman" w:cs="Times New Roman"/>
          <w:b/>
          <w:bCs/>
          <w:color w:val="000000" w:themeColor="text1"/>
          <w:sz w:val="32"/>
          <w:szCs w:val="40"/>
        </w:rPr>
      </w:pPr>
    </w:p>
    <w:p w14:paraId="5C29E96A" w14:textId="77777777" w:rsidR="00F84960" w:rsidRPr="00863EE4" w:rsidRDefault="00F84960">
      <w:pPr>
        <w:jc w:val="center"/>
        <w:rPr>
          <w:rFonts w:ascii="Times New Roman" w:hAnsi="Times New Roman" w:cs="Times New Roman"/>
          <w:b/>
          <w:bCs/>
          <w:color w:val="000000" w:themeColor="text1"/>
          <w:sz w:val="32"/>
          <w:szCs w:val="40"/>
          <w:lang w:val="en-GB"/>
        </w:rPr>
      </w:pPr>
    </w:p>
    <w:p w14:paraId="4EEC7653" w14:textId="369DFCA2" w:rsidR="00F84960" w:rsidRPr="00863EE4" w:rsidRDefault="00000000">
      <w:pPr>
        <w:jc w:val="center"/>
        <w:rPr>
          <w:rFonts w:ascii="Times New Roman" w:hAnsi="Times New Roman" w:cs="Times New Roman"/>
          <w:b/>
          <w:bCs/>
          <w:color w:val="000000" w:themeColor="text1"/>
          <w:sz w:val="32"/>
          <w:szCs w:val="40"/>
          <w:lang w:val="en-GB"/>
        </w:rPr>
      </w:pPr>
      <w:r w:rsidRPr="00863EE4">
        <w:rPr>
          <w:rFonts w:ascii="Times New Roman" w:hAnsi="Times New Roman" w:cs="Times New Roman"/>
          <w:b/>
          <w:bCs/>
          <w:color w:val="000000" w:themeColor="text1"/>
          <w:sz w:val="32"/>
          <w:szCs w:val="40"/>
          <w:lang w:val="en-GB"/>
        </w:rPr>
        <w:t>Supplementary file</w:t>
      </w:r>
    </w:p>
    <w:p w14:paraId="608440CA" w14:textId="43738712" w:rsidR="00F84960" w:rsidRPr="00863EE4" w:rsidRDefault="00000000" w:rsidP="00004BD0">
      <w:pPr>
        <w:spacing w:line="480" w:lineRule="auto"/>
        <w:rPr>
          <w:rFonts w:ascii="Times New Roman" w:hAnsi="Times New Roman" w:cs="Times New Roman"/>
          <w:b/>
          <w:color w:val="000000" w:themeColor="text1"/>
        </w:rPr>
      </w:pPr>
      <w:r w:rsidRPr="00863EE4">
        <w:rPr>
          <w:rFonts w:ascii="Times New Roman" w:hAnsi="Times New Roman" w:cs="Times New Roman"/>
          <w:b/>
          <w:bCs/>
          <w:color w:val="000000" w:themeColor="text1"/>
          <w:lang w:val="en-GB"/>
        </w:rPr>
        <w:t>Title:</w:t>
      </w:r>
      <w:bookmarkStart w:id="0" w:name="_Hlk54634325"/>
      <w:r w:rsidRPr="00863EE4">
        <w:rPr>
          <w:rFonts w:ascii="Times New Roman" w:hAnsi="Times New Roman" w:cs="Times New Roman"/>
          <w:b/>
          <w:bCs/>
          <w:color w:val="000000" w:themeColor="text1"/>
          <w:lang w:val="en-GB"/>
        </w:rPr>
        <w:t xml:space="preserve"> </w:t>
      </w:r>
      <w:bookmarkEnd w:id="0"/>
      <w:r w:rsidR="007D2288" w:rsidRPr="00863EE4">
        <w:rPr>
          <w:rFonts w:ascii="Times New Roman" w:hAnsi="Times New Roman" w:cs="Times New Roman"/>
          <w:b/>
          <w:bCs/>
          <w:color w:val="000000" w:themeColor="text1"/>
          <w:lang w:val="en-GB"/>
        </w:rPr>
        <w:t>External Validation of Updated Prediction Model</w:t>
      </w:r>
      <w:r w:rsidR="00863EE4" w:rsidRPr="00863EE4">
        <w:rPr>
          <w:rFonts w:ascii="Times New Roman" w:hAnsi="Times New Roman" w:cs="Times New Roman"/>
          <w:b/>
          <w:bCs/>
          <w:color w:val="000000" w:themeColor="text1"/>
          <w:lang w:val="en-GB"/>
        </w:rPr>
        <w:t>s</w:t>
      </w:r>
      <w:r w:rsidR="007D2288" w:rsidRPr="00863EE4">
        <w:rPr>
          <w:rFonts w:ascii="Times New Roman" w:hAnsi="Times New Roman" w:cs="Times New Roman"/>
          <w:b/>
          <w:bCs/>
          <w:color w:val="000000" w:themeColor="text1"/>
          <w:lang w:val="en-GB"/>
        </w:rPr>
        <w:t xml:space="preserve"> for Neurological Outcomes at 90 Days in </w:t>
      </w:r>
      <w:r w:rsidR="00DF0E52" w:rsidRPr="00863EE4">
        <w:rPr>
          <w:rFonts w:ascii="Times New Roman" w:hAnsi="Times New Roman" w:cs="Times New Roman"/>
          <w:b/>
          <w:bCs/>
          <w:color w:val="000000" w:themeColor="text1"/>
          <w:lang w:val="en-GB"/>
        </w:rPr>
        <w:t xml:space="preserve">patients with </w:t>
      </w:r>
      <w:r w:rsidR="007D2288" w:rsidRPr="00863EE4">
        <w:rPr>
          <w:rFonts w:ascii="Times New Roman" w:hAnsi="Times New Roman" w:cs="Times New Roman"/>
          <w:b/>
          <w:bCs/>
          <w:color w:val="000000" w:themeColor="text1"/>
          <w:lang w:val="en-GB"/>
        </w:rPr>
        <w:t>Out-of-Hospital Cardiac Arrest</w:t>
      </w:r>
    </w:p>
    <w:p w14:paraId="4CB68223" w14:textId="77777777" w:rsidR="00F84960" w:rsidRPr="00863EE4" w:rsidRDefault="00F84960">
      <w:pPr>
        <w:spacing w:line="276" w:lineRule="auto"/>
        <w:rPr>
          <w:rFonts w:ascii="Times New Roman" w:hAnsi="Times New Roman" w:cs="Times New Roman"/>
          <w:bCs/>
          <w:color w:val="000000" w:themeColor="text1"/>
          <w:lang w:val="en-GB"/>
        </w:rPr>
      </w:pPr>
    </w:p>
    <w:p w14:paraId="10AB631E" w14:textId="77777777" w:rsidR="00F84960" w:rsidRPr="00863EE4" w:rsidRDefault="00F84960">
      <w:pPr>
        <w:spacing w:line="276" w:lineRule="auto"/>
        <w:rPr>
          <w:rFonts w:ascii="Times New Roman" w:hAnsi="Times New Roman" w:cs="Times New Roman"/>
          <w:b/>
          <w:color w:val="000000" w:themeColor="text1"/>
          <w:lang w:val="en-GB"/>
        </w:rPr>
      </w:pPr>
    </w:p>
    <w:p w14:paraId="1A0626AE" w14:textId="77777777" w:rsidR="00F84960" w:rsidRPr="00863EE4" w:rsidRDefault="00F84960">
      <w:pPr>
        <w:rPr>
          <w:rFonts w:ascii="Times New Roman" w:hAnsi="Times New Roman" w:cs="Times New Roman"/>
          <w:b/>
          <w:bCs/>
          <w:color w:val="000000" w:themeColor="text1"/>
          <w:sz w:val="32"/>
          <w:szCs w:val="40"/>
          <w:lang w:val="en-GB"/>
        </w:rPr>
      </w:pPr>
    </w:p>
    <w:p w14:paraId="79069E33" w14:textId="77777777" w:rsidR="00F84960" w:rsidRPr="00863EE4" w:rsidRDefault="00000000">
      <w:pPr>
        <w:rPr>
          <w:rFonts w:ascii="Times New Roman" w:hAnsi="Times New Roman" w:cs="Times New Roman"/>
          <w:b/>
          <w:bCs/>
          <w:color w:val="000000" w:themeColor="text1"/>
          <w:sz w:val="32"/>
          <w:szCs w:val="40"/>
          <w:lang w:val="en-GB"/>
        </w:rPr>
      </w:pPr>
      <w:r w:rsidRPr="00863EE4">
        <w:rPr>
          <w:rFonts w:ascii="Times New Roman" w:hAnsi="Times New Roman" w:cs="Times New Roman"/>
          <w:b/>
          <w:bCs/>
          <w:color w:val="000000" w:themeColor="text1"/>
          <w:sz w:val="32"/>
          <w:szCs w:val="40"/>
          <w:lang w:val="en-GB"/>
        </w:rPr>
        <w:t>Contents</w:t>
      </w:r>
    </w:p>
    <w:tbl>
      <w:tblPr>
        <w:tblStyle w:val="af"/>
        <w:tblW w:w="106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7248"/>
      </w:tblGrid>
      <w:tr w:rsidR="00863EE4" w:rsidRPr="00863EE4" w14:paraId="47664CA9" w14:textId="77777777">
        <w:trPr>
          <w:trHeight w:val="554"/>
        </w:trPr>
        <w:tc>
          <w:tcPr>
            <w:tcW w:w="3402" w:type="dxa"/>
            <w:vAlign w:val="center"/>
          </w:tcPr>
          <w:p w14:paraId="0DF00530" w14:textId="77777777" w:rsidR="00F84960" w:rsidRPr="00863EE4" w:rsidRDefault="00000000">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Supplementary Appendix 1.</w:t>
            </w:r>
          </w:p>
        </w:tc>
        <w:tc>
          <w:tcPr>
            <w:tcW w:w="7248" w:type="dxa"/>
            <w:vAlign w:val="center"/>
          </w:tcPr>
          <w:p w14:paraId="4C03C340" w14:textId="77777777" w:rsidR="00F84960" w:rsidRPr="00863EE4" w:rsidRDefault="00000000">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Description of the </w:t>
            </w:r>
            <w:r w:rsidR="00A4264C" w:rsidRPr="00863EE4">
              <w:rPr>
                <w:rFonts w:ascii="Times New Roman" w:hAnsi="Times New Roman" w:cs="Times New Roman"/>
                <w:b/>
                <w:bCs/>
                <w:color w:val="000000" w:themeColor="text1"/>
                <w:lang w:val="en-GB"/>
              </w:rPr>
              <w:t xml:space="preserve">JAAM-OHCA </w:t>
            </w:r>
            <w:r w:rsidRPr="00863EE4">
              <w:rPr>
                <w:rFonts w:ascii="Times New Roman" w:hAnsi="Times New Roman" w:cs="Times New Roman"/>
                <w:b/>
                <w:bCs/>
                <w:color w:val="000000" w:themeColor="text1"/>
                <w:lang w:val="en-GB"/>
              </w:rPr>
              <w:t>registry</w:t>
            </w:r>
          </w:p>
        </w:tc>
      </w:tr>
      <w:tr w:rsidR="00863EE4" w:rsidRPr="00863EE4" w14:paraId="6BA2B86A" w14:textId="77777777">
        <w:trPr>
          <w:trHeight w:val="554"/>
        </w:trPr>
        <w:tc>
          <w:tcPr>
            <w:tcW w:w="3402" w:type="dxa"/>
            <w:vAlign w:val="center"/>
          </w:tcPr>
          <w:p w14:paraId="3A97C424"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Supplementary Appendix </w:t>
            </w:r>
            <w:r w:rsidRPr="00863EE4">
              <w:rPr>
                <w:rFonts w:ascii="Times New Roman" w:hAnsi="Times New Roman" w:cs="Times New Roman"/>
                <w:b/>
                <w:bCs/>
                <w:color w:val="000000" w:themeColor="text1"/>
              </w:rPr>
              <w:t>2</w:t>
            </w:r>
            <w:r w:rsidRPr="00863EE4">
              <w:rPr>
                <w:rFonts w:ascii="Times New Roman" w:hAnsi="Times New Roman" w:cs="Times New Roman"/>
                <w:b/>
                <w:bCs/>
                <w:color w:val="000000" w:themeColor="text1"/>
                <w:lang w:val="en-GB"/>
              </w:rPr>
              <w:t>.</w:t>
            </w:r>
          </w:p>
        </w:tc>
        <w:tc>
          <w:tcPr>
            <w:tcW w:w="7248" w:type="dxa"/>
            <w:vAlign w:val="center"/>
          </w:tcPr>
          <w:p w14:paraId="6B4C5D43"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The relatedness between the development and validation samples</w:t>
            </w:r>
          </w:p>
        </w:tc>
      </w:tr>
      <w:tr w:rsidR="00863EE4" w:rsidRPr="00863EE4" w14:paraId="4990D5AD" w14:textId="77777777">
        <w:trPr>
          <w:trHeight w:val="554"/>
        </w:trPr>
        <w:tc>
          <w:tcPr>
            <w:tcW w:w="3402" w:type="dxa"/>
            <w:vAlign w:val="center"/>
          </w:tcPr>
          <w:p w14:paraId="5C89BC0F" w14:textId="77777777" w:rsidR="004843BB" w:rsidRPr="00863EE4" w:rsidRDefault="00000000" w:rsidP="004843BB">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Supplementary Figure 1. </w:t>
            </w:r>
          </w:p>
        </w:tc>
        <w:tc>
          <w:tcPr>
            <w:tcW w:w="7248" w:type="dxa"/>
            <w:vAlign w:val="center"/>
          </w:tcPr>
          <w:p w14:paraId="2B00678A"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Tuning parameter (λ) selection in the LASSO model used 10-fold cross-validation via minimum criteria</w:t>
            </w:r>
          </w:p>
        </w:tc>
      </w:tr>
      <w:tr w:rsidR="00863EE4" w:rsidRPr="00863EE4" w14:paraId="6981032E" w14:textId="77777777">
        <w:trPr>
          <w:trHeight w:val="554"/>
        </w:trPr>
        <w:tc>
          <w:tcPr>
            <w:tcW w:w="3402" w:type="dxa"/>
            <w:vAlign w:val="center"/>
          </w:tcPr>
          <w:p w14:paraId="54621EB2" w14:textId="77777777" w:rsidR="004843BB" w:rsidRPr="00863EE4" w:rsidRDefault="00000000" w:rsidP="004843BB">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Supplementary Table 1. </w:t>
            </w:r>
          </w:p>
        </w:tc>
        <w:tc>
          <w:tcPr>
            <w:tcW w:w="7248" w:type="dxa"/>
            <w:vAlign w:val="center"/>
          </w:tcPr>
          <w:p w14:paraId="53406C21" w14:textId="77777777" w:rsidR="004843BB" w:rsidRPr="00863EE4" w:rsidRDefault="00000000" w:rsidP="004843BB">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Candidate predictive variables</w:t>
            </w:r>
          </w:p>
        </w:tc>
      </w:tr>
      <w:tr w:rsidR="00863EE4" w:rsidRPr="00863EE4" w14:paraId="4B10962B" w14:textId="77777777">
        <w:trPr>
          <w:trHeight w:val="554"/>
        </w:trPr>
        <w:tc>
          <w:tcPr>
            <w:tcW w:w="3402" w:type="dxa"/>
            <w:vAlign w:val="center"/>
          </w:tcPr>
          <w:p w14:paraId="1563E9B5"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Supplementary Table 2.</w:t>
            </w:r>
          </w:p>
        </w:tc>
        <w:tc>
          <w:tcPr>
            <w:tcW w:w="7248" w:type="dxa"/>
            <w:vAlign w:val="center"/>
          </w:tcPr>
          <w:p w14:paraId="3509911B" w14:textId="77777777" w:rsidR="004843BB" w:rsidRPr="00863EE4" w:rsidRDefault="00000000" w:rsidP="004843BB">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Patient characteristics</w:t>
            </w:r>
            <w:r w:rsidR="005A237E" w:rsidRPr="00863EE4">
              <w:rPr>
                <w:rFonts w:ascii="Times New Roman" w:hAnsi="Times New Roman" w:cs="Times New Roman"/>
                <w:b/>
                <w:bCs/>
                <w:color w:val="000000" w:themeColor="text1"/>
                <w:lang w:val="en-GB"/>
              </w:rPr>
              <w:t>,</w:t>
            </w:r>
            <w:r w:rsidRPr="00863EE4">
              <w:rPr>
                <w:rFonts w:ascii="Times New Roman" w:hAnsi="Times New Roman" w:cs="Times New Roman"/>
                <w:b/>
                <w:bCs/>
                <w:color w:val="000000" w:themeColor="text1"/>
                <w:lang w:val="en-GB"/>
              </w:rPr>
              <w:t xml:space="preserve"> including missing values</w:t>
            </w:r>
            <w:r w:rsidR="005A237E" w:rsidRPr="00863EE4">
              <w:rPr>
                <w:rFonts w:ascii="Times New Roman" w:hAnsi="Times New Roman" w:cs="Times New Roman"/>
                <w:b/>
                <w:bCs/>
                <w:color w:val="000000" w:themeColor="text1"/>
                <w:lang w:val="en-GB"/>
              </w:rPr>
              <w:t>,</w:t>
            </w:r>
            <w:r w:rsidRPr="00863EE4">
              <w:rPr>
                <w:rFonts w:ascii="Times New Roman" w:hAnsi="Times New Roman" w:cs="Times New Roman"/>
                <w:b/>
                <w:bCs/>
                <w:color w:val="000000" w:themeColor="text1"/>
                <w:lang w:val="en-GB"/>
              </w:rPr>
              <w:t xml:space="preserve"> by datasets</w:t>
            </w:r>
          </w:p>
        </w:tc>
      </w:tr>
      <w:tr w:rsidR="00863EE4" w:rsidRPr="00863EE4" w14:paraId="01E68260" w14:textId="77777777">
        <w:trPr>
          <w:trHeight w:val="554"/>
        </w:trPr>
        <w:tc>
          <w:tcPr>
            <w:tcW w:w="3402" w:type="dxa"/>
            <w:vAlign w:val="center"/>
          </w:tcPr>
          <w:p w14:paraId="565DD5E6"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Supplementary Table </w:t>
            </w:r>
            <w:r w:rsidR="005F10E8" w:rsidRPr="00863EE4">
              <w:rPr>
                <w:rFonts w:ascii="Times New Roman" w:hAnsi="Times New Roman" w:cs="Times New Roman"/>
                <w:b/>
                <w:bCs/>
                <w:color w:val="000000" w:themeColor="text1"/>
                <w:lang w:val="en-GB"/>
              </w:rPr>
              <w:t>3</w:t>
            </w:r>
            <w:r w:rsidRPr="00863EE4">
              <w:rPr>
                <w:rFonts w:ascii="Times New Roman" w:hAnsi="Times New Roman" w:cs="Times New Roman"/>
                <w:b/>
                <w:bCs/>
                <w:color w:val="000000" w:themeColor="text1"/>
                <w:lang w:val="en-GB"/>
              </w:rPr>
              <w:t>.</w:t>
            </w:r>
          </w:p>
        </w:tc>
        <w:tc>
          <w:tcPr>
            <w:tcW w:w="7248" w:type="dxa"/>
            <w:vAlign w:val="center"/>
          </w:tcPr>
          <w:p w14:paraId="68E3B012"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Prognostic ability of </w:t>
            </w:r>
            <w:r w:rsidR="000872D6" w:rsidRPr="00863EE4">
              <w:rPr>
                <w:rFonts w:ascii="Times New Roman" w:hAnsi="Times New Roman" w:cs="Times New Roman"/>
                <w:b/>
                <w:bCs/>
                <w:color w:val="000000" w:themeColor="text1"/>
                <w:lang w:val="en-GB"/>
              </w:rPr>
              <w:t>M</w:t>
            </w:r>
            <w:r w:rsidRPr="00863EE4">
              <w:rPr>
                <w:rFonts w:ascii="Times New Roman" w:hAnsi="Times New Roman" w:cs="Times New Roman"/>
                <w:b/>
                <w:bCs/>
                <w:color w:val="000000" w:themeColor="text1"/>
                <w:lang w:val="en-GB"/>
              </w:rPr>
              <w:t>odel 1 in the validation set</w:t>
            </w:r>
          </w:p>
        </w:tc>
      </w:tr>
      <w:tr w:rsidR="00863EE4" w:rsidRPr="00863EE4" w14:paraId="08A598B8" w14:textId="77777777">
        <w:trPr>
          <w:trHeight w:val="554"/>
        </w:trPr>
        <w:tc>
          <w:tcPr>
            <w:tcW w:w="3402" w:type="dxa"/>
          </w:tcPr>
          <w:p w14:paraId="03245C91"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Supplementary Table </w:t>
            </w:r>
            <w:r w:rsidR="005F10E8" w:rsidRPr="00863EE4">
              <w:rPr>
                <w:rFonts w:ascii="Times New Roman" w:hAnsi="Times New Roman" w:cs="Times New Roman"/>
                <w:b/>
                <w:bCs/>
                <w:color w:val="000000" w:themeColor="text1"/>
                <w:lang w:val="en-GB"/>
              </w:rPr>
              <w:t>4</w:t>
            </w:r>
            <w:r w:rsidRPr="00863EE4">
              <w:rPr>
                <w:rFonts w:ascii="Times New Roman" w:hAnsi="Times New Roman" w:cs="Times New Roman"/>
                <w:b/>
                <w:bCs/>
                <w:color w:val="000000" w:themeColor="text1"/>
                <w:lang w:val="en-GB"/>
              </w:rPr>
              <w:t>.</w:t>
            </w:r>
          </w:p>
        </w:tc>
        <w:tc>
          <w:tcPr>
            <w:tcW w:w="7248" w:type="dxa"/>
          </w:tcPr>
          <w:p w14:paraId="24FFE94B"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 xml:space="preserve">Prognostic ability of </w:t>
            </w:r>
            <w:r w:rsidR="000872D6" w:rsidRPr="00863EE4">
              <w:rPr>
                <w:rFonts w:ascii="Times New Roman" w:hAnsi="Times New Roman" w:cs="Times New Roman"/>
                <w:b/>
                <w:bCs/>
                <w:color w:val="000000" w:themeColor="text1"/>
                <w:lang w:val="en-GB"/>
              </w:rPr>
              <w:t>M</w:t>
            </w:r>
            <w:r w:rsidRPr="00863EE4">
              <w:rPr>
                <w:rFonts w:ascii="Times New Roman" w:hAnsi="Times New Roman" w:cs="Times New Roman"/>
                <w:b/>
                <w:bCs/>
                <w:color w:val="000000" w:themeColor="text1"/>
                <w:lang w:val="en-GB"/>
              </w:rPr>
              <w:t>odel 2 in the validation set</w:t>
            </w:r>
          </w:p>
        </w:tc>
      </w:tr>
    </w:tbl>
    <w:p w14:paraId="53E078B3" w14:textId="77777777" w:rsidR="00F84960" w:rsidRPr="00863EE4" w:rsidRDefault="00F84960" w:rsidP="004843BB">
      <w:pPr>
        <w:rPr>
          <w:rFonts w:ascii="Times New Roman" w:hAnsi="Times New Roman" w:cs="Times New Roman"/>
          <w:b/>
          <w:bCs/>
          <w:color w:val="000000" w:themeColor="text1"/>
          <w:sz w:val="32"/>
          <w:szCs w:val="40"/>
          <w:lang w:val="en-GB"/>
        </w:rPr>
        <w:sectPr w:rsidR="00F84960" w:rsidRPr="00863EE4">
          <w:pgSz w:w="11906" w:h="16838"/>
          <w:pgMar w:top="720" w:right="720" w:bottom="720" w:left="720" w:header="851" w:footer="992" w:gutter="0"/>
          <w:cols w:space="425"/>
          <w:docGrid w:type="lines" w:linePitch="360"/>
        </w:sectPr>
      </w:pPr>
    </w:p>
    <w:p w14:paraId="65834B29" w14:textId="77777777" w:rsidR="00A3779F" w:rsidRPr="00863EE4" w:rsidRDefault="00000000" w:rsidP="00A3779F">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Supplementary Appendix 1. Description of the JAAM-OHCA registry</w:t>
      </w:r>
    </w:p>
    <w:p w14:paraId="78E73F74" w14:textId="77777777" w:rsidR="00A3779F" w:rsidRPr="00863EE4" w:rsidRDefault="00000000" w:rsidP="00A3779F">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Herein, we provide an additional explanation of the </w:t>
      </w:r>
      <w:r w:rsidRPr="00863EE4">
        <w:rPr>
          <w:rFonts w:ascii="Times New Roman" w:hAnsi="Times New Roman"/>
          <w:color w:val="000000" w:themeColor="text1"/>
        </w:rPr>
        <w:t>JAAM-OHCA registry</w:t>
      </w:r>
      <w:r w:rsidRPr="00863EE4">
        <w:rPr>
          <w:rFonts w:ascii="Times New Roman" w:hAnsi="Times New Roman" w:cs="Times New Roman"/>
          <w:color w:val="000000" w:themeColor="text1"/>
          <w:lang w:val="en-GB"/>
        </w:rPr>
        <w:t xml:space="preserve"> and other data based on the previous literature. </w:t>
      </w:r>
    </w:p>
    <w:p w14:paraId="5A7A43FE" w14:textId="77777777" w:rsidR="00A3779F" w:rsidRPr="00863EE4" w:rsidRDefault="00A3779F" w:rsidP="00A3779F">
      <w:pPr>
        <w:jc w:val="both"/>
        <w:rPr>
          <w:rFonts w:ascii="Times New Roman" w:hAnsi="Times New Roman" w:cs="Times New Roman"/>
          <w:color w:val="000000" w:themeColor="text1"/>
          <w:lang w:val="en-GB"/>
        </w:rPr>
      </w:pPr>
    </w:p>
    <w:p w14:paraId="1F8F550C" w14:textId="662F2CF9" w:rsidR="00A3779F" w:rsidRPr="00863EE4" w:rsidRDefault="00000000" w:rsidP="001A4B29">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The Japanese Association of Acute Medicine established the JAAM-OHCA registry as a nationwide </w:t>
      </w:r>
      <w:r w:rsidR="006B26E9" w:rsidRPr="00863EE4">
        <w:rPr>
          <w:rFonts w:ascii="Times New Roman" w:hAnsi="Times New Roman" w:cs="Times New Roman"/>
          <w:color w:val="000000" w:themeColor="text1"/>
          <w:lang w:val="en-GB"/>
        </w:rPr>
        <w:t>multicentre</w:t>
      </w:r>
      <w:r w:rsidRPr="00863EE4">
        <w:rPr>
          <w:rFonts w:ascii="Times New Roman" w:hAnsi="Times New Roman" w:cs="Times New Roman"/>
          <w:color w:val="000000" w:themeColor="text1"/>
          <w:lang w:val="en-GB"/>
        </w:rPr>
        <w:t xml:space="preserve"> prospective database. Details of the registry </w:t>
      </w:r>
      <w:r w:rsidR="001A4B29" w:rsidRPr="00863EE4">
        <w:rPr>
          <w:rFonts w:ascii="Times New Roman" w:hAnsi="Times New Roman" w:cs="Times New Roman"/>
          <w:color w:val="000000" w:themeColor="text1"/>
          <w:lang w:val="en-GB"/>
        </w:rPr>
        <w:t>have been</w:t>
      </w:r>
      <w:r w:rsidRPr="00863EE4">
        <w:rPr>
          <w:rFonts w:ascii="Times New Roman" w:hAnsi="Times New Roman" w:cs="Times New Roman"/>
          <w:color w:val="000000" w:themeColor="text1"/>
          <w:lang w:val="en-GB"/>
        </w:rPr>
        <w:t xml:space="preserve"> previously published.</w:t>
      </w:r>
      <w:r w:rsidRPr="00863EE4">
        <w:rPr>
          <w:rFonts w:ascii="Times New Roman" w:hAnsi="Times New Roman" w:cs="Times New Roman"/>
          <w:color w:val="000000" w:themeColor="text1"/>
          <w:vertAlign w:val="superscript"/>
          <w:lang w:val="en-GB"/>
        </w:rPr>
        <w:t>1</w:t>
      </w:r>
      <w:r w:rsidRPr="00863EE4">
        <w:rPr>
          <w:rFonts w:ascii="Times New Roman" w:hAnsi="Times New Roman" w:cs="Times New Roman"/>
          <w:color w:val="000000" w:themeColor="text1"/>
          <w:lang w:val="en-GB"/>
        </w:rPr>
        <w:t xml:space="preserve"> This registry contained comprehensive pre- and in-hospital information as well as outcomes for </w:t>
      </w:r>
      <w:r w:rsidR="001A4B29" w:rsidRPr="00863EE4">
        <w:rPr>
          <w:rFonts w:ascii="Times New Roman" w:hAnsi="Times New Roman" w:cs="Times New Roman"/>
          <w:color w:val="000000" w:themeColor="text1"/>
          <w:lang w:val="en-GB"/>
        </w:rPr>
        <w:t>patients with out of hospital cardiac arrest (</w:t>
      </w:r>
      <w:r w:rsidRPr="00863EE4">
        <w:rPr>
          <w:rFonts w:ascii="Times New Roman" w:hAnsi="Times New Roman" w:cs="Times New Roman"/>
          <w:color w:val="000000" w:themeColor="text1"/>
          <w:lang w:val="en-GB"/>
        </w:rPr>
        <w:t>OHCA</w:t>
      </w:r>
      <w:r w:rsidR="001A4B29"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transported to emergency departments in 93 institutions. Among these, 69 were university hospitals and/or tertiary critical care </w:t>
      </w:r>
      <w:r w:rsidR="006B26E9" w:rsidRPr="00863EE4">
        <w:rPr>
          <w:rFonts w:ascii="Times New Roman" w:hAnsi="Times New Roman" w:cs="Times New Roman"/>
          <w:color w:val="000000" w:themeColor="text1"/>
          <w:lang w:val="en-GB"/>
        </w:rPr>
        <w:t>centres</w:t>
      </w:r>
      <w:r w:rsidRPr="00863EE4">
        <w:rPr>
          <w:rFonts w:ascii="Times New Roman" w:hAnsi="Times New Roman" w:cs="Times New Roman"/>
          <w:color w:val="000000" w:themeColor="text1"/>
          <w:lang w:val="en-GB"/>
        </w:rPr>
        <w:t xml:space="preserve"> certified by the Ministry of Health, </w:t>
      </w:r>
      <w:r w:rsidR="006B26E9" w:rsidRPr="00863EE4">
        <w:rPr>
          <w:rFonts w:ascii="Times New Roman" w:hAnsi="Times New Roman" w:cs="Times New Roman"/>
          <w:color w:val="000000" w:themeColor="text1"/>
          <w:lang w:val="en-GB"/>
        </w:rPr>
        <w:t>Labor</w:t>
      </w:r>
      <w:r w:rsidRPr="00863EE4">
        <w:rPr>
          <w:rFonts w:ascii="Times New Roman" w:hAnsi="Times New Roman" w:cs="Times New Roman"/>
          <w:color w:val="000000" w:themeColor="text1"/>
          <w:lang w:val="en-GB"/>
        </w:rPr>
        <w:t xml:space="preserve">, and Welfare in Japan. These </w:t>
      </w:r>
      <w:r w:rsidR="006B26E9" w:rsidRPr="00863EE4">
        <w:rPr>
          <w:rFonts w:ascii="Times New Roman" w:hAnsi="Times New Roman" w:cs="Times New Roman"/>
          <w:color w:val="000000" w:themeColor="text1"/>
          <w:lang w:val="en-GB"/>
        </w:rPr>
        <w:t>centres</w:t>
      </w:r>
      <w:r w:rsidRPr="00863EE4">
        <w:rPr>
          <w:rFonts w:ascii="Times New Roman" w:hAnsi="Times New Roman" w:cs="Times New Roman"/>
          <w:color w:val="000000" w:themeColor="text1"/>
          <w:lang w:val="en-GB"/>
        </w:rPr>
        <w:t xml:space="preserve"> are mandated to offer specialised treatments, such as percutaneous coronary intervention, extracorporeal membrane oxygenation, or intensive care services around the clock. The remaining 24 hospitals, which were not critical care or university hospitals, provided emergency medical services to the community. The </w:t>
      </w:r>
      <w:r w:rsidRPr="00863EE4">
        <w:rPr>
          <w:rFonts w:ascii="Times New Roman" w:hAnsi="Times New Roman" w:cs="Times New Roman"/>
          <w:color w:val="000000" w:themeColor="text1"/>
        </w:rPr>
        <w:t>JAAM-OHCA registry</w:t>
      </w:r>
      <w:r w:rsidRPr="00863EE4">
        <w:rPr>
          <w:rFonts w:ascii="Times New Roman" w:hAnsi="Times New Roman" w:cs="Times New Roman"/>
          <w:color w:val="000000" w:themeColor="text1"/>
          <w:lang w:val="en-GB"/>
        </w:rPr>
        <w:t xml:space="preserve"> register</w:t>
      </w:r>
      <w:r w:rsidR="001A4B29" w:rsidRPr="00863EE4">
        <w:rPr>
          <w:rFonts w:ascii="Times New Roman" w:hAnsi="Times New Roman" w:cs="Times New Roman"/>
          <w:color w:val="000000" w:themeColor="text1"/>
          <w:lang w:val="en-GB"/>
        </w:rPr>
        <w:t>ed</w:t>
      </w:r>
      <w:r w:rsidRPr="00863EE4">
        <w:rPr>
          <w:rFonts w:ascii="Times New Roman" w:hAnsi="Times New Roman" w:cs="Times New Roman"/>
          <w:color w:val="000000" w:themeColor="text1"/>
          <w:lang w:val="en-GB"/>
        </w:rPr>
        <w:t xml:space="preserve"> consecutive </w:t>
      </w:r>
      <w:r w:rsidR="001A4B29" w:rsidRPr="00863EE4">
        <w:rPr>
          <w:rFonts w:ascii="Times New Roman" w:hAnsi="Times New Roman" w:cs="Times New Roman"/>
          <w:color w:val="000000" w:themeColor="text1"/>
          <w:lang w:val="en-GB"/>
        </w:rPr>
        <w:t xml:space="preserve">patients with </w:t>
      </w:r>
      <w:r w:rsidRPr="00863EE4">
        <w:rPr>
          <w:rFonts w:ascii="Times New Roman" w:hAnsi="Times New Roman" w:cs="Times New Roman"/>
          <w:color w:val="000000" w:themeColor="text1"/>
          <w:lang w:val="en-GB"/>
        </w:rPr>
        <w:t>OHCA who were resuscitated by emergency medical services (EMS) and transported to participating hospitals. This registry excluded patients with OHCA in whom cardiopulmonary resuscitation</w:t>
      </w:r>
      <w:r w:rsidR="001A4B29" w:rsidRPr="00863EE4">
        <w:rPr>
          <w:rFonts w:ascii="Times New Roman" w:hAnsi="Times New Roman" w:cs="Times New Roman"/>
          <w:color w:val="000000" w:themeColor="text1"/>
          <w:lang w:val="en-GB"/>
        </w:rPr>
        <w:t xml:space="preserve"> (CPR)</w:t>
      </w:r>
      <w:r w:rsidRPr="00863EE4">
        <w:rPr>
          <w:rFonts w:ascii="Times New Roman" w:hAnsi="Times New Roman" w:cs="Times New Roman"/>
          <w:color w:val="000000" w:themeColor="text1"/>
          <w:lang w:val="en-GB"/>
        </w:rPr>
        <w:t xml:space="preserve"> was not performed by </w:t>
      </w:r>
      <w:r w:rsidR="002B3348" w:rsidRPr="00863EE4">
        <w:rPr>
          <w:rFonts w:ascii="Times New Roman" w:hAnsi="Times New Roman" w:cs="Times New Roman"/>
          <w:color w:val="000000" w:themeColor="text1"/>
          <w:lang w:val="en-GB"/>
        </w:rPr>
        <w:t>e</w:t>
      </w:r>
      <w:r w:rsidR="002B3348" w:rsidRPr="00863EE4">
        <w:rPr>
          <w:rFonts w:ascii="Times New Roman" w:hAnsi="Times New Roman" w:cs="Times New Roman"/>
          <w:color w:val="000000" w:themeColor="text1"/>
          <w:lang w:val="en-GB"/>
        </w:rPr>
        <w:t>mergency medical services</w:t>
      </w:r>
      <w:r w:rsidR="002B3348"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EMS</w:t>
      </w:r>
      <w:r w:rsidR="002B3348"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personnel, patients with OHCA who were transported to the participating institutions after receiving any treatment at other hospitals, and patients or family members who refused to participate.</w:t>
      </w:r>
      <w:r w:rsidRPr="00863EE4">
        <w:rPr>
          <w:rFonts w:ascii="Times New Roman" w:hAnsi="Times New Roman" w:cs="Times New Roman" w:hint="eastAsia"/>
          <w:color w:val="000000" w:themeColor="text1"/>
          <w:lang w:val="en-GB"/>
        </w:rPr>
        <w:t xml:space="preserve"> </w:t>
      </w:r>
      <w:r w:rsidRPr="00863EE4">
        <w:rPr>
          <w:rFonts w:ascii="Times New Roman" w:hAnsi="Times New Roman" w:cs="Times New Roman"/>
          <w:color w:val="000000" w:themeColor="text1"/>
          <w:lang w:val="en-GB"/>
        </w:rPr>
        <w:t xml:space="preserve">Prehospital data </w:t>
      </w:r>
      <w:r w:rsidR="001A4B29" w:rsidRPr="00863EE4">
        <w:rPr>
          <w:rFonts w:ascii="Times New Roman" w:hAnsi="Times New Roman" w:cs="Times New Roman"/>
          <w:color w:val="000000" w:themeColor="text1"/>
          <w:lang w:val="en-GB"/>
        </w:rPr>
        <w:t xml:space="preserve">was </w:t>
      </w:r>
      <w:r w:rsidRPr="00863EE4">
        <w:rPr>
          <w:rFonts w:ascii="Times New Roman" w:hAnsi="Times New Roman" w:cs="Times New Roman"/>
          <w:color w:val="000000" w:themeColor="text1"/>
          <w:lang w:val="en-GB"/>
        </w:rPr>
        <w:t>obtained from the All-Japan Utstein Registry of the Fire and Disaster Management Agency (FDMA)</w:t>
      </w:r>
      <w:r w:rsidRPr="00863EE4">
        <w:rPr>
          <w:rFonts w:ascii="Times New Roman" w:hAnsi="Times New Roman" w:cs="Times New Roman" w:hint="eastAsia"/>
          <w:color w:val="000000" w:themeColor="text1"/>
          <w:lang w:val="en-GB"/>
        </w:rPr>
        <w:t>.</w:t>
      </w:r>
      <w:r w:rsidRPr="00863EE4">
        <w:rPr>
          <w:rFonts w:ascii="Times New Roman" w:hAnsi="Times New Roman" w:cs="Times New Roman"/>
          <w:color w:val="000000" w:themeColor="text1"/>
          <w:lang w:val="en-GB"/>
        </w:rPr>
        <w:t xml:space="preserve"> In-hospital information, such as treatment in the emergency department and after admission to the </w:t>
      </w:r>
      <w:r w:rsidR="001A4B29" w:rsidRPr="00863EE4">
        <w:rPr>
          <w:rFonts w:ascii="Times New Roman" w:hAnsi="Times New Roman" w:cs="Times New Roman"/>
          <w:color w:val="000000" w:themeColor="text1"/>
          <w:lang w:val="en-GB"/>
        </w:rPr>
        <w:t>intensive care unit (</w:t>
      </w:r>
      <w:r w:rsidRPr="00863EE4">
        <w:rPr>
          <w:rFonts w:ascii="Times New Roman" w:hAnsi="Times New Roman" w:cs="Times New Roman"/>
          <w:color w:val="000000" w:themeColor="text1"/>
          <w:lang w:val="en-GB"/>
        </w:rPr>
        <w:t>ICU</w:t>
      </w:r>
      <w:r w:rsidR="001A4B29"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w:t>
      </w:r>
      <w:r w:rsidR="001A4B29" w:rsidRPr="00863EE4">
        <w:rPr>
          <w:rFonts w:ascii="Times New Roman" w:hAnsi="Times New Roman" w:cs="Times New Roman"/>
          <w:color w:val="000000" w:themeColor="text1"/>
          <w:lang w:val="en-GB"/>
        </w:rPr>
        <w:t>wa</w:t>
      </w:r>
      <w:r w:rsidRPr="00863EE4">
        <w:rPr>
          <w:rFonts w:ascii="Times New Roman" w:hAnsi="Times New Roman" w:cs="Times New Roman"/>
          <w:color w:val="000000" w:themeColor="text1"/>
          <w:lang w:val="en-GB"/>
        </w:rPr>
        <w:t>s registered by clinicians or clinical data administrators using an electrical data-capturing system with a standardised reporting form. The JAAM-OHCA registry committee logically checked the quality of the data, and anonymised data w</w:t>
      </w:r>
      <w:r w:rsidR="001A4B29" w:rsidRPr="00863EE4">
        <w:rPr>
          <w:rFonts w:ascii="Times New Roman" w:hAnsi="Times New Roman" w:cs="Times New Roman"/>
          <w:color w:val="000000" w:themeColor="text1"/>
          <w:lang w:val="en-GB"/>
        </w:rPr>
        <w:t>as</w:t>
      </w:r>
      <w:r w:rsidRPr="00863EE4">
        <w:rPr>
          <w:rFonts w:ascii="Times New Roman" w:hAnsi="Times New Roman" w:cs="Times New Roman"/>
          <w:color w:val="000000" w:themeColor="text1"/>
          <w:lang w:val="en-GB"/>
        </w:rPr>
        <w:t xml:space="preserve"> provided to the researchers from the committee.</w:t>
      </w:r>
    </w:p>
    <w:p w14:paraId="58BE64CE" w14:textId="77777777" w:rsidR="00A3779F" w:rsidRPr="00863EE4" w:rsidRDefault="00A3779F" w:rsidP="00A3779F">
      <w:pPr>
        <w:jc w:val="both"/>
        <w:rPr>
          <w:rFonts w:ascii="Times New Roman" w:hAnsi="Times New Roman" w:cs="Times New Roman"/>
          <w:color w:val="000000" w:themeColor="text1"/>
          <w:lang w:val="en-GB"/>
        </w:rPr>
      </w:pPr>
    </w:p>
    <w:p w14:paraId="1B2E1C90" w14:textId="77777777" w:rsidR="00A3779F" w:rsidRPr="00863EE4" w:rsidRDefault="00000000" w:rsidP="00A3779F">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The EMS system in Japan</w:t>
      </w:r>
    </w:p>
    <w:p w14:paraId="530A7F1A" w14:textId="3DB130A2" w:rsidR="00A3779F" w:rsidRPr="00863EE4" w:rsidRDefault="00000000" w:rsidP="001A4B29">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Details of the EMS system in Japan have been described previously.</w:t>
      </w:r>
      <w:r w:rsidR="006929FB" w:rsidRPr="00863EE4">
        <w:rPr>
          <w:rFonts w:ascii="Times New Roman" w:hAnsi="Times New Roman" w:cs="Times New Roman"/>
          <w:color w:val="000000" w:themeColor="text1"/>
          <w:vertAlign w:val="superscript"/>
          <w:lang w:val="en-GB"/>
        </w:rPr>
        <w:t>2</w:t>
      </w:r>
      <w:r w:rsidRPr="00863EE4">
        <w:rPr>
          <w:rFonts w:ascii="Times New Roman" w:hAnsi="Times New Roman" w:cs="Times New Roman"/>
          <w:color w:val="000000" w:themeColor="text1"/>
          <w:vertAlign w:val="superscript"/>
          <w:lang w:val="en-GB"/>
        </w:rPr>
        <w:t xml:space="preserve">, </w:t>
      </w:r>
      <w:r w:rsidR="006929FB" w:rsidRPr="00863EE4">
        <w:rPr>
          <w:rFonts w:ascii="Times New Roman" w:hAnsi="Times New Roman" w:cs="Times New Roman"/>
          <w:color w:val="000000" w:themeColor="text1"/>
          <w:vertAlign w:val="superscript"/>
          <w:lang w:val="en-GB"/>
        </w:rPr>
        <w:t>3</w:t>
      </w:r>
      <w:r w:rsidRPr="00863EE4">
        <w:rPr>
          <w:rFonts w:ascii="Times New Roman" w:hAnsi="Times New Roman" w:cs="Times New Roman"/>
          <w:color w:val="000000" w:themeColor="text1"/>
          <w:lang w:val="en-GB"/>
        </w:rPr>
        <w:t xml:space="preserve"> The emergency telephone number (119) is accessible anywhere in Japan, and upon receiving a call, an emergency dispatch centre sends the nearest available ambulance to the address of the caller. Emergency services are available 24 hours a day. Each ambulance included a three-person unit that provided life support. The most highly trained EMS personnel are emergency lifesaving technicians. They are allowed to insert an intravenous line and an adjunct airway, and use a semi-automated external defibrillator for </w:t>
      </w:r>
      <w:r w:rsidR="001A4B29" w:rsidRPr="00863EE4">
        <w:rPr>
          <w:rFonts w:ascii="Times New Roman" w:hAnsi="Times New Roman" w:cs="Times New Roman"/>
          <w:color w:val="000000" w:themeColor="text1"/>
          <w:lang w:val="en-GB"/>
        </w:rPr>
        <w:t xml:space="preserve">patients with </w:t>
      </w:r>
      <w:r w:rsidRPr="00863EE4">
        <w:rPr>
          <w:rFonts w:ascii="Times New Roman" w:hAnsi="Times New Roman" w:cs="Times New Roman"/>
          <w:color w:val="000000" w:themeColor="text1"/>
          <w:lang w:val="en-GB"/>
        </w:rPr>
        <w:t>OHCA. Emergency lifesaving technicians are permitted to provide electric shocks, and specially trained emergency lifesaving technicians are allowed to perform tracheal intubation to administer adrenaline for patients with OHCA. All EMS providers performed CPR according to the Japanese CPR guidelines.</w:t>
      </w:r>
      <w:r w:rsidR="006929FB" w:rsidRPr="00863EE4">
        <w:rPr>
          <w:rFonts w:ascii="Times New Roman" w:hAnsi="Times New Roman" w:cs="Times New Roman"/>
          <w:color w:val="000000" w:themeColor="text1"/>
          <w:vertAlign w:val="superscript"/>
          <w:lang w:val="en-GB"/>
        </w:rPr>
        <w:t>4</w:t>
      </w:r>
    </w:p>
    <w:p w14:paraId="54BAEA87" w14:textId="77777777" w:rsidR="00A3779F" w:rsidRPr="00863EE4" w:rsidRDefault="00A3779F" w:rsidP="00A3779F">
      <w:pPr>
        <w:jc w:val="both"/>
        <w:rPr>
          <w:rFonts w:ascii="Times New Roman" w:hAnsi="Times New Roman" w:cs="Times New Roman"/>
          <w:color w:val="000000" w:themeColor="text1"/>
          <w:lang w:val="en-GB"/>
        </w:rPr>
      </w:pPr>
    </w:p>
    <w:p w14:paraId="21C40DF8" w14:textId="77777777" w:rsidR="00A3779F" w:rsidRPr="00863EE4" w:rsidRDefault="00000000" w:rsidP="00A3779F">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t>Data collection and quality control</w:t>
      </w:r>
    </w:p>
    <w:p w14:paraId="79589D29" w14:textId="32EE1E52" w:rsidR="00A3779F" w:rsidRPr="00863EE4" w:rsidRDefault="00000000" w:rsidP="00EB55D1">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We obtained anonymised prehospital resuscitation data from the All-Japan Utstein Registry of the Fire and Disaster Management Agency (FDMA). Details of the registry have been described previously.</w:t>
      </w:r>
      <w:r w:rsidR="006929FB" w:rsidRPr="00863EE4">
        <w:rPr>
          <w:rFonts w:ascii="Times New Roman" w:hAnsi="Times New Roman" w:cs="Times New Roman"/>
          <w:color w:val="000000" w:themeColor="text1"/>
          <w:vertAlign w:val="superscript"/>
          <w:lang w:val="en-GB"/>
        </w:rPr>
        <w:t>5</w:t>
      </w:r>
      <w:r w:rsidRPr="00863EE4">
        <w:rPr>
          <w:rFonts w:ascii="Times New Roman" w:hAnsi="Times New Roman" w:cs="Times New Roman"/>
          <w:color w:val="000000" w:themeColor="text1"/>
          <w:vertAlign w:val="superscript"/>
          <w:lang w:val="en-GB"/>
        </w:rPr>
        <w:t xml:space="preserve">, </w:t>
      </w:r>
      <w:r w:rsidR="006929FB" w:rsidRPr="00863EE4">
        <w:rPr>
          <w:rFonts w:ascii="Times New Roman" w:hAnsi="Times New Roman" w:cs="Times New Roman"/>
          <w:color w:val="000000" w:themeColor="text1"/>
          <w:vertAlign w:val="superscript"/>
          <w:lang w:val="en-GB"/>
        </w:rPr>
        <w:t>6</w:t>
      </w:r>
      <w:r w:rsidRPr="00863EE4">
        <w:rPr>
          <w:rFonts w:ascii="Times New Roman" w:hAnsi="Times New Roman" w:cs="Times New Roman"/>
          <w:color w:val="000000" w:themeColor="text1"/>
          <w:vertAlign w:val="superscript"/>
          <w:lang w:val="en-GB"/>
        </w:rPr>
        <w:t xml:space="preserve"> </w:t>
      </w:r>
      <w:r w:rsidRPr="00863EE4">
        <w:rPr>
          <w:rFonts w:ascii="Times New Roman" w:hAnsi="Times New Roman" w:cs="Times New Roman"/>
          <w:color w:val="000000" w:themeColor="text1"/>
          <w:lang w:val="en-GB"/>
        </w:rPr>
        <w:t xml:space="preserve">Data </w:t>
      </w:r>
      <w:r w:rsidR="00EB55D1" w:rsidRPr="00863EE4">
        <w:rPr>
          <w:rFonts w:ascii="Times New Roman" w:hAnsi="Times New Roman" w:cs="Times New Roman"/>
          <w:color w:val="000000" w:themeColor="text1"/>
          <w:lang w:val="en-GB"/>
        </w:rPr>
        <w:t xml:space="preserve">was </w:t>
      </w:r>
      <w:r w:rsidRPr="00863EE4">
        <w:rPr>
          <w:rFonts w:ascii="Times New Roman" w:hAnsi="Times New Roman" w:cs="Times New Roman"/>
          <w:color w:val="000000" w:themeColor="text1"/>
          <w:lang w:val="en-GB"/>
        </w:rPr>
        <w:t>collected prospectively using the data form of the Utstein-style international guidelines for reporting OHCA.</w:t>
      </w:r>
      <w:r w:rsidR="006929FB" w:rsidRPr="00863EE4">
        <w:rPr>
          <w:rFonts w:ascii="Times New Roman" w:hAnsi="Times New Roman" w:cs="Times New Roman"/>
          <w:color w:val="000000" w:themeColor="text1"/>
          <w:vertAlign w:val="superscript"/>
          <w:lang w:val="en-GB"/>
        </w:rPr>
        <w:t>7</w:t>
      </w:r>
    </w:p>
    <w:p w14:paraId="57922554" w14:textId="2525C6C6" w:rsidR="00A3779F" w:rsidRPr="00863EE4" w:rsidRDefault="00000000" w:rsidP="00EB55D1">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In this registry, detailed data </w:t>
      </w:r>
      <w:r w:rsidR="00EB55D1" w:rsidRPr="00863EE4">
        <w:rPr>
          <w:rFonts w:ascii="Times New Roman" w:hAnsi="Times New Roman" w:cs="Times New Roman"/>
          <w:color w:val="000000" w:themeColor="text1"/>
          <w:lang w:val="en-GB"/>
        </w:rPr>
        <w:t xml:space="preserve">was </w:t>
      </w:r>
      <w:r w:rsidRPr="00863EE4">
        <w:rPr>
          <w:rFonts w:ascii="Times New Roman" w:hAnsi="Times New Roman" w:cs="Times New Roman"/>
          <w:color w:val="000000" w:themeColor="text1"/>
          <w:lang w:val="en-GB"/>
        </w:rPr>
        <w:t xml:space="preserve">prospectively collected from consecutive </w:t>
      </w:r>
      <w:r w:rsidR="00EB55D1" w:rsidRPr="00863EE4">
        <w:rPr>
          <w:rFonts w:ascii="Times New Roman" w:hAnsi="Times New Roman" w:cs="Times New Roman"/>
          <w:color w:val="000000" w:themeColor="text1"/>
          <w:lang w:val="en-GB"/>
        </w:rPr>
        <w:t xml:space="preserve">patients with </w:t>
      </w:r>
      <w:r w:rsidRPr="00863EE4">
        <w:rPr>
          <w:rFonts w:ascii="Times New Roman" w:hAnsi="Times New Roman" w:cs="Times New Roman"/>
          <w:color w:val="000000" w:themeColor="text1"/>
          <w:lang w:val="en-GB"/>
        </w:rPr>
        <w:t>OHCA after</w:t>
      </w:r>
      <w:r w:rsidR="00EB55D1" w:rsidRPr="00863EE4">
        <w:rPr>
          <w:rFonts w:ascii="Times New Roman" w:hAnsi="Times New Roman" w:cs="Times New Roman"/>
          <w:color w:val="000000" w:themeColor="text1"/>
          <w:lang w:val="en-GB"/>
        </w:rPr>
        <w:t xml:space="preserve"> their</w:t>
      </w:r>
      <w:r w:rsidRPr="00863EE4">
        <w:rPr>
          <w:rFonts w:ascii="Times New Roman" w:hAnsi="Times New Roman" w:cs="Times New Roman"/>
          <w:color w:val="000000" w:themeColor="text1"/>
          <w:lang w:val="en-GB"/>
        </w:rPr>
        <w:t xml:space="preserve"> arrival </w:t>
      </w:r>
      <w:r w:rsidR="00EB55D1" w:rsidRPr="00863EE4">
        <w:rPr>
          <w:rFonts w:ascii="Times New Roman" w:hAnsi="Times New Roman" w:cs="Times New Roman"/>
          <w:color w:val="000000" w:themeColor="text1"/>
          <w:lang w:val="en-GB"/>
        </w:rPr>
        <w:t xml:space="preserve">to </w:t>
      </w:r>
      <w:r w:rsidRPr="00863EE4">
        <w:rPr>
          <w:rFonts w:ascii="Times New Roman" w:hAnsi="Times New Roman" w:cs="Times New Roman"/>
          <w:color w:val="000000" w:themeColor="text1"/>
          <w:lang w:val="en-GB"/>
        </w:rPr>
        <w:t xml:space="preserve">the hospital. Anonymised data </w:t>
      </w:r>
      <w:r w:rsidR="00EB55D1" w:rsidRPr="00863EE4">
        <w:rPr>
          <w:rFonts w:ascii="Times New Roman" w:hAnsi="Times New Roman" w:cs="Times New Roman"/>
          <w:color w:val="000000" w:themeColor="text1"/>
          <w:lang w:val="en-GB"/>
        </w:rPr>
        <w:t xml:space="preserve">was </w:t>
      </w:r>
      <w:r w:rsidRPr="00863EE4">
        <w:rPr>
          <w:rFonts w:ascii="Times New Roman" w:hAnsi="Times New Roman" w:cs="Times New Roman"/>
          <w:color w:val="000000" w:themeColor="text1"/>
          <w:lang w:val="en-GB"/>
        </w:rPr>
        <w:t xml:space="preserve">entered into a web form by the physician or medical staff, in cooperation with the physician in charge of the patient, using the original report form. The CRITICAL study </w:t>
      </w:r>
      <w:r w:rsidRPr="00863EE4">
        <w:rPr>
          <w:rFonts w:ascii="Times New Roman" w:hAnsi="Times New Roman" w:cs="Times New Roman"/>
          <w:color w:val="000000" w:themeColor="text1"/>
          <w:lang w:val="en-GB"/>
        </w:rPr>
        <w:lastRenderedPageBreak/>
        <w:t>working group ensured the quality of the in-hospital and prehospital data. The working group combined the detailed in-hospital data and the Utstein-style data from the FDMA on the web based on five key variables of the emergency call: date, time, age, sex, and the Glasgow-Pittsburgh cerebral performance category (CPC) present in both datasets.</w:t>
      </w:r>
    </w:p>
    <w:p w14:paraId="1CAEF60A" w14:textId="77777777" w:rsidR="00A3779F" w:rsidRPr="00863EE4" w:rsidRDefault="00A3779F" w:rsidP="00A3779F">
      <w:pPr>
        <w:jc w:val="both"/>
        <w:rPr>
          <w:rFonts w:ascii="Times New Roman" w:hAnsi="Times New Roman" w:cs="Times New Roman"/>
          <w:color w:val="000000" w:themeColor="text1"/>
          <w:lang w:val="en-GB"/>
        </w:rPr>
      </w:pPr>
    </w:p>
    <w:p w14:paraId="7F218E08" w14:textId="4CDF9E14" w:rsidR="00A3779F" w:rsidRPr="00863EE4" w:rsidRDefault="00000000" w:rsidP="00EB55D1">
      <w:pPr>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The following in-hospital data of patients with OHCA after </w:t>
      </w:r>
      <w:r w:rsidR="00EB55D1" w:rsidRPr="00863EE4">
        <w:rPr>
          <w:rFonts w:ascii="Times New Roman" w:hAnsi="Times New Roman" w:cs="Times New Roman"/>
          <w:color w:val="000000" w:themeColor="text1"/>
          <w:lang w:val="en-GB"/>
        </w:rPr>
        <w:t xml:space="preserve">their </w:t>
      </w:r>
      <w:r w:rsidRPr="00863EE4">
        <w:rPr>
          <w:rFonts w:ascii="Times New Roman" w:hAnsi="Times New Roman" w:cs="Times New Roman"/>
          <w:color w:val="000000" w:themeColor="text1"/>
          <w:lang w:val="en-GB"/>
        </w:rPr>
        <w:t>arrival at the participating institution w</w:t>
      </w:r>
      <w:r w:rsidR="00EB55D1" w:rsidRPr="00863EE4">
        <w:rPr>
          <w:rFonts w:ascii="Times New Roman" w:hAnsi="Times New Roman" w:cs="Times New Roman"/>
          <w:color w:val="000000" w:themeColor="text1"/>
          <w:lang w:val="en-GB"/>
        </w:rPr>
        <w:t>as</w:t>
      </w:r>
      <w:r w:rsidRPr="00863EE4">
        <w:rPr>
          <w:rFonts w:ascii="Times New Roman" w:hAnsi="Times New Roman" w:cs="Times New Roman"/>
          <w:color w:val="000000" w:themeColor="text1"/>
          <w:lang w:val="en-GB"/>
        </w:rPr>
        <w:t xml:space="preserve"> prospectively collected: return of spontaneous circulation (ROSC), first documented rhythm, actual detailed treatment of the patient with OHCA, cause of arrest, and outcome. The causes of cardiac arrest were divided into cardiac and noncardiac. Furthermore, the diagnosis of cardiac or noncardiac causes was clinically determined by physicians at the hospital where the patient was transported for treatment. However, the presumed cause of cardiac arrest was excluded from this study. All patients who achieved ROSC were followed up for 90 days after the OHCA. Survival and neurological status at 30 and 90 days </w:t>
      </w:r>
      <w:r w:rsidR="00EB55D1" w:rsidRPr="00863EE4">
        <w:rPr>
          <w:rFonts w:ascii="Times New Roman" w:hAnsi="Times New Roman" w:cs="Times New Roman"/>
          <w:color w:val="000000" w:themeColor="text1"/>
          <w:lang w:val="en-GB"/>
        </w:rPr>
        <w:t xml:space="preserve">was </w:t>
      </w:r>
      <w:r w:rsidRPr="00863EE4">
        <w:rPr>
          <w:rFonts w:ascii="Times New Roman" w:hAnsi="Times New Roman" w:cs="Times New Roman"/>
          <w:color w:val="000000" w:themeColor="text1"/>
          <w:lang w:val="en-GB"/>
        </w:rPr>
        <w:t>collected as outcome data. The neurological status was evaluated by the physician responsible for treating the patient using the CPC score by considering the following categories: category 1, good cerebral performance; category 2, moderate cerebral disability; category 3, severe cerebral disability; category 4, comatose or vegetative state; and category 5, death or brain death.</w:t>
      </w:r>
    </w:p>
    <w:p w14:paraId="4552D625" w14:textId="77777777" w:rsidR="00A3779F" w:rsidRPr="00863EE4" w:rsidRDefault="00000000">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br w:type="page"/>
      </w:r>
    </w:p>
    <w:p w14:paraId="15EE326B" w14:textId="77777777" w:rsidR="004843BB" w:rsidRPr="00863EE4" w:rsidRDefault="00000000" w:rsidP="004843BB">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 xml:space="preserve">Supplementary Appendix </w:t>
      </w:r>
      <w:r w:rsidRPr="00863EE4">
        <w:rPr>
          <w:rFonts w:ascii="Times New Roman" w:hAnsi="Times New Roman" w:cs="Times New Roman"/>
          <w:b/>
          <w:bCs/>
          <w:color w:val="000000" w:themeColor="text1"/>
        </w:rPr>
        <w:t>2</w:t>
      </w:r>
      <w:r w:rsidRPr="00863EE4">
        <w:rPr>
          <w:rFonts w:ascii="Times New Roman" w:hAnsi="Times New Roman" w:cs="Times New Roman"/>
          <w:b/>
          <w:bCs/>
          <w:color w:val="000000" w:themeColor="text1"/>
          <w:lang w:val="en-GB"/>
        </w:rPr>
        <w:t xml:space="preserve">. </w:t>
      </w:r>
      <w:r w:rsidR="002D27BE" w:rsidRPr="00863EE4">
        <w:rPr>
          <w:rFonts w:ascii="Times New Roman" w:hAnsi="Times New Roman" w:cs="Times New Roman"/>
          <w:b/>
          <w:bCs/>
          <w:color w:val="000000" w:themeColor="text1"/>
          <w:lang w:val="en-GB"/>
        </w:rPr>
        <w:t>The relatedness between the development and validation samples</w:t>
      </w:r>
    </w:p>
    <w:p w14:paraId="6E10F8B4" w14:textId="77777777" w:rsidR="001261C4" w:rsidRPr="00863EE4" w:rsidRDefault="001261C4">
      <w:pPr>
        <w:rPr>
          <w:rFonts w:ascii="Times New Roman" w:hAnsi="Times New Roman" w:cs="Times New Roman"/>
          <w:color w:val="000000" w:themeColor="text1"/>
          <w:lang w:val="en-GB"/>
        </w:rPr>
      </w:pPr>
    </w:p>
    <w:p w14:paraId="1C21F652" w14:textId="3AE823EA" w:rsidR="004843BB" w:rsidRPr="00863EE4" w:rsidRDefault="00000000">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The level of relatedness in the case mix of the development and validation cohorts was assessed. Specifically, we created a binary logistic regression model, known as a membership model, to predict the likelihood of an individual belonging to either the development or the validation cohort. The discriminatory ability of the model was evaluated using the C-statistic. We then compared the distribution of the predicted risks in the development and validation cohorts by computing the ratio of the standard deviation of the linear predictor (LP) as a measure of discriminatory ability and the difference in mean LP as an indicator of the difference for each cohort.</w:t>
      </w:r>
    </w:p>
    <w:p w14:paraId="5DF3750A" w14:textId="77777777" w:rsidR="001261C4" w:rsidRPr="00863EE4" w:rsidRDefault="001261C4">
      <w:pPr>
        <w:rPr>
          <w:rFonts w:ascii="Times New Roman" w:hAnsi="Times New Roman" w:cs="Times New Roman"/>
          <w:color w:val="000000" w:themeColor="text1"/>
          <w:lang w:val="en-GB"/>
        </w:rPr>
      </w:pPr>
    </w:p>
    <w:p w14:paraId="5FDDE4E3" w14:textId="44DA8CAF" w:rsidR="001261C4" w:rsidRPr="00863EE4" w:rsidRDefault="00000000">
      <w:pPr>
        <w:rPr>
          <w:rFonts w:ascii="Times New Roman" w:hAnsi="Times New Roman" w:cs="Times New Roman"/>
          <w:color w:val="000000" w:themeColor="text1"/>
        </w:rPr>
      </w:pPr>
      <w:r w:rsidRPr="00863EE4">
        <w:rPr>
          <w:rFonts w:ascii="Times New Roman" w:hAnsi="Times New Roman" w:cs="Times New Roman"/>
          <w:color w:val="000000" w:themeColor="text1"/>
          <w:lang w:val="en-GB"/>
        </w:rPr>
        <w:t xml:space="preserve">The extent of relatedness between the development and validation cohorts, as measured by the C-statistics in the membership model, was 0.533 (95% </w:t>
      </w:r>
      <w:r w:rsidR="00DF0E52" w:rsidRPr="00863EE4">
        <w:rPr>
          <w:rFonts w:ascii="Times New Roman" w:hAnsi="Times New Roman" w:cs="Times New Roman"/>
          <w:color w:val="000000" w:themeColor="text1"/>
          <w:lang w:val="en-GB"/>
        </w:rPr>
        <w:t>confidence interval (</w:t>
      </w:r>
      <w:r w:rsidRPr="00863EE4">
        <w:rPr>
          <w:rFonts w:ascii="Times New Roman" w:hAnsi="Times New Roman" w:cs="Times New Roman"/>
          <w:color w:val="000000" w:themeColor="text1"/>
          <w:lang w:val="en-GB"/>
        </w:rPr>
        <w:t>CI</w:t>
      </w:r>
      <w:r w:rsidR="00DF0E52"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0.520-0.546) for </w:t>
      </w:r>
      <w:r w:rsidR="00DF0E52" w:rsidRPr="00863EE4">
        <w:rPr>
          <w:rFonts w:ascii="Times New Roman" w:hAnsi="Times New Roman" w:cs="Times New Roman"/>
          <w:color w:val="000000" w:themeColor="text1"/>
          <w:lang w:val="en-GB"/>
        </w:rPr>
        <w:t>M</w:t>
      </w:r>
      <w:r w:rsidRPr="00863EE4">
        <w:rPr>
          <w:rFonts w:ascii="Times New Roman" w:hAnsi="Times New Roman" w:cs="Times New Roman"/>
          <w:color w:val="000000" w:themeColor="text1"/>
          <w:lang w:val="en-GB"/>
        </w:rPr>
        <w:t>odel</w:t>
      </w:r>
      <w:r w:rsidR="00DF0E52"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1 and 0.538 (95% CI</w:t>
      </w:r>
      <w:r w:rsidR="00DF0E52"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0.525-0.551) for </w:t>
      </w:r>
      <w:r w:rsidR="00DF0E52" w:rsidRPr="00863EE4">
        <w:rPr>
          <w:rFonts w:ascii="Times New Roman" w:hAnsi="Times New Roman" w:cs="Times New Roman"/>
          <w:color w:val="000000" w:themeColor="text1"/>
          <w:lang w:val="en-GB"/>
        </w:rPr>
        <w:t>M</w:t>
      </w:r>
      <w:r w:rsidRPr="00863EE4">
        <w:rPr>
          <w:rFonts w:ascii="Times New Roman" w:hAnsi="Times New Roman" w:cs="Times New Roman"/>
          <w:color w:val="000000" w:themeColor="text1"/>
          <w:lang w:val="en-GB"/>
        </w:rPr>
        <w:t>odel</w:t>
      </w:r>
      <w:r w:rsidR="00DF0E52"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 xml:space="preserve">2. The ratio of the </w:t>
      </w:r>
      <w:r w:rsidR="00DF0E52" w:rsidRPr="00863EE4">
        <w:rPr>
          <w:rFonts w:ascii="Times New Roman" w:hAnsi="Times New Roman" w:cs="Times New Roman"/>
          <w:color w:val="000000" w:themeColor="text1"/>
          <w:lang w:val="en-GB"/>
        </w:rPr>
        <w:t>standard deviation (</w:t>
      </w:r>
      <w:r w:rsidRPr="00863EE4">
        <w:rPr>
          <w:rFonts w:ascii="Times New Roman" w:hAnsi="Times New Roman" w:cs="Times New Roman"/>
          <w:color w:val="000000" w:themeColor="text1"/>
          <w:lang w:val="en-GB"/>
        </w:rPr>
        <w:t>SD</w:t>
      </w:r>
      <w:r w:rsidR="00DF0E52"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of the mean LP between the validation and development cohorts was 0.974 in </w:t>
      </w:r>
      <w:r w:rsidR="00DF0E52" w:rsidRPr="00863EE4">
        <w:rPr>
          <w:rFonts w:ascii="Times New Roman" w:hAnsi="Times New Roman" w:cs="Times New Roman"/>
          <w:color w:val="000000" w:themeColor="text1"/>
          <w:lang w:val="en-GB"/>
        </w:rPr>
        <w:t>M</w:t>
      </w:r>
      <w:r w:rsidRPr="00863EE4">
        <w:rPr>
          <w:rFonts w:ascii="Times New Roman" w:hAnsi="Times New Roman" w:cs="Times New Roman"/>
          <w:color w:val="000000" w:themeColor="text1"/>
          <w:lang w:val="en-GB"/>
        </w:rPr>
        <w:t>odel</w:t>
      </w:r>
      <w:r w:rsidR="00DF0E52"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 xml:space="preserve">1 and 1.025 in </w:t>
      </w:r>
      <w:r w:rsidR="00DF0E52" w:rsidRPr="00863EE4">
        <w:rPr>
          <w:rFonts w:ascii="Times New Roman" w:hAnsi="Times New Roman" w:cs="Times New Roman"/>
          <w:color w:val="000000" w:themeColor="text1"/>
          <w:lang w:val="en-GB"/>
        </w:rPr>
        <w:t>M</w:t>
      </w:r>
      <w:r w:rsidRPr="00863EE4">
        <w:rPr>
          <w:rFonts w:ascii="Times New Roman" w:hAnsi="Times New Roman" w:cs="Times New Roman"/>
          <w:color w:val="000000" w:themeColor="text1"/>
          <w:lang w:val="en-GB"/>
        </w:rPr>
        <w:t>odel</w:t>
      </w:r>
      <w:r w:rsidR="00DF0E52"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2. Furthermore, the difference in mean LP between the validation and development cohorts was 0.225 for Model 1 and 0.248 for Model 2.</w:t>
      </w:r>
    </w:p>
    <w:p w14:paraId="5EA2B3A7" w14:textId="77777777" w:rsidR="004843BB" w:rsidRPr="00863EE4" w:rsidRDefault="004843BB">
      <w:pPr>
        <w:rPr>
          <w:rFonts w:ascii="Times New Roman" w:hAnsi="Times New Roman" w:cs="Times New Roman"/>
          <w:b/>
          <w:bCs/>
          <w:color w:val="000000" w:themeColor="text1"/>
          <w:lang w:val="en-GB"/>
        </w:rPr>
      </w:pPr>
    </w:p>
    <w:p w14:paraId="22D2E9AF" w14:textId="77777777" w:rsidR="00F84960"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br w:type="page"/>
      </w:r>
      <w:r w:rsidR="00D5257F" w:rsidRPr="00863EE4">
        <w:rPr>
          <w:rFonts w:ascii="Times New Roman" w:hAnsi="Times New Roman" w:cs="Times New Roman"/>
          <w:b/>
          <w:bCs/>
          <w:color w:val="000000" w:themeColor="text1"/>
          <w:lang w:val="en-GB"/>
        </w:rPr>
        <w:lastRenderedPageBreak/>
        <w:t>Supplementary Figure 1. Tuning parameter (</w:t>
      </w:r>
      <w:bookmarkStart w:id="1" w:name="_Hlk81395050"/>
      <w:r w:rsidR="00D5257F" w:rsidRPr="00863EE4">
        <w:rPr>
          <w:rFonts w:ascii="Times New Roman" w:hAnsi="Times New Roman" w:cs="Times New Roman"/>
          <w:b/>
          <w:bCs/>
          <w:color w:val="000000" w:themeColor="text1"/>
          <w:lang w:val="en-GB"/>
        </w:rPr>
        <w:t>λ</w:t>
      </w:r>
      <w:bookmarkEnd w:id="1"/>
      <w:r w:rsidR="00D5257F" w:rsidRPr="00863EE4">
        <w:rPr>
          <w:rFonts w:ascii="Times New Roman" w:hAnsi="Times New Roman" w:cs="Times New Roman"/>
          <w:b/>
          <w:bCs/>
          <w:color w:val="000000" w:themeColor="text1"/>
          <w:lang w:val="en-GB"/>
        </w:rPr>
        <w:t>) selection in the LASSO model using 10-fold cross-validation via minimum criteria</w:t>
      </w:r>
    </w:p>
    <w:p w14:paraId="105B9427" w14:textId="22050944" w:rsidR="00F84960" w:rsidRPr="00863EE4" w:rsidRDefault="00000000">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The binomial deviance curve was plotted against log</w:t>
      </w:r>
      <w:r w:rsidR="00794D1B" w:rsidRPr="00863EE4">
        <w:rPr>
          <w:rFonts w:ascii="Times New Roman" w:hAnsi="Times New Roman" w:cs="Times New Roman"/>
          <w:color w:val="000000" w:themeColor="text1"/>
          <w:lang w:val="en-GB"/>
        </w:rPr>
        <w:t xml:space="preserve"> </w:t>
      </w:r>
      <w:r w:rsidRPr="00863EE4">
        <w:rPr>
          <w:rFonts w:ascii="Times New Roman" w:hAnsi="Times New Roman" w:cs="Times New Roman"/>
          <w:color w:val="000000" w:themeColor="text1"/>
          <w:lang w:val="en-GB"/>
        </w:rPr>
        <w:t>(</w:t>
      </w:r>
      <w:r w:rsidR="00794D1B" w:rsidRPr="00863EE4">
        <w:rPr>
          <w:rFonts w:ascii="Times New Roman" w:hAnsi="Times New Roman" w:cs="Times New Roman"/>
          <w:color w:val="000000" w:themeColor="text1"/>
          <w:lang w:val="en-GB"/>
        </w:rPr>
        <w:t>λ</w:t>
      </w:r>
      <w:r w:rsidRPr="00863EE4">
        <w:rPr>
          <w:rFonts w:ascii="Times New Roman" w:hAnsi="Times New Roman" w:cs="Times New Roman"/>
          <w:color w:val="000000" w:themeColor="text1"/>
          <w:lang w:val="en-GB"/>
        </w:rPr>
        <w:t xml:space="preserve">). </w:t>
      </w:r>
      <w:r w:rsidR="00C65B31" w:rsidRPr="00863EE4">
        <w:rPr>
          <w:rFonts w:ascii="Times New Roman" w:hAnsi="Times New Roman" w:cs="Times New Roman"/>
          <w:color w:val="000000" w:themeColor="text1"/>
          <w:lang w:val="en-GB"/>
        </w:rPr>
        <w:t xml:space="preserve">The vertical dotted line located on the left-hand side denotes the minimum value of λ, whereas the vertical dotted line located on the right-hand side corresponds to the λ value located at one standard error away from the minimum λ. </w:t>
      </w:r>
      <w:r w:rsidR="0091339A" w:rsidRPr="00863EE4">
        <w:rPr>
          <w:rFonts w:ascii="Times New Roman" w:hAnsi="Times New Roman" w:cs="Times New Roman"/>
          <w:color w:val="000000" w:themeColor="text1"/>
          <w:lang w:val="en-GB"/>
        </w:rPr>
        <w:t>The minimum value of λ produced the lowest misclassification error for the model that utilised the minimum criteria. We selected the one-standard-error rule (1 SE rule) to select the optimal lambda.</w:t>
      </w:r>
      <w:r w:rsidR="006929FB" w:rsidRPr="00863EE4">
        <w:rPr>
          <w:rFonts w:ascii="Times New Roman" w:hAnsi="Times New Roman" w:cs="Times New Roman"/>
          <w:color w:val="000000" w:themeColor="text1"/>
          <w:vertAlign w:val="superscript"/>
          <w:lang w:val="en-GB"/>
        </w:rPr>
        <w:t>8</w:t>
      </w:r>
      <w:r w:rsidR="0091339A" w:rsidRPr="00863EE4">
        <w:rPr>
          <w:rFonts w:ascii="Times New Roman" w:hAnsi="Times New Roman" w:cs="Times New Roman"/>
          <w:color w:val="000000" w:themeColor="text1"/>
          <w:lang w:val="en-GB"/>
        </w:rPr>
        <w:t xml:space="preserve"> The 1 SE rule selects the most parsimonious model whose error is no more than one standard error above the error of the best model</w:t>
      </w:r>
      <w:r w:rsidRPr="00863EE4">
        <w:rPr>
          <w:rFonts w:ascii="Times New Roman" w:hAnsi="Times New Roman" w:cs="Times New Roman"/>
          <w:color w:val="000000" w:themeColor="text1"/>
          <w:lang w:val="en-GB"/>
        </w:rPr>
        <w:t xml:space="preserve">, and </w:t>
      </w:r>
      <w:r w:rsidR="0091339A" w:rsidRPr="00863EE4">
        <w:rPr>
          <w:rFonts w:ascii="Times New Roman" w:hAnsi="Times New Roman" w:cs="Times New Roman"/>
          <w:color w:val="000000" w:themeColor="text1"/>
          <w:lang w:val="en-GB"/>
        </w:rPr>
        <w:t xml:space="preserve">the simplest model whose accuracy is comparable to that of the best model. </w:t>
      </w:r>
      <w:r w:rsidRPr="00863EE4">
        <w:rPr>
          <w:rFonts w:ascii="Times New Roman" w:hAnsi="Times New Roman" w:cs="Times New Roman"/>
          <w:color w:val="000000" w:themeColor="text1"/>
          <w:lang w:val="en-GB"/>
        </w:rPr>
        <w:t>(</w:t>
      </w:r>
      <w:r w:rsidR="00E522E6" w:rsidRPr="00863EE4">
        <w:rPr>
          <w:rFonts w:ascii="Times New Roman" w:hAnsi="Times New Roman" w:cs="Times New Roman"/>
          <w:color w:val="000000" w:themeColor="text1"/>
          <w:lang w:val="en-GB"/>
        </w:rPr>
        <w:t>a</w:t>
      </w:r>
      <w:r w:rsidRPr="00863EE4">
        <w:rPr>
          <w:rFonts w:ascii="Times New Roman" w:hAnsi="Times New Roman" w:cs="Times New Roman"/>
          <w:color w:val="000000" w:themeColor="text1"/>
          <w:lang w:val="en-GB"/>
        </w:rPr>
        <w:t xml:space="preserve">) Model </w:t>
      </w:r>
      <w:r w:rsidR="004472E2" w:rsidRPr="00863EE4">
        <w:rPr>
          <w:rFonts w:ascii="Times New Roman" w:hAnsi="Times New Roman" w:cs="Times New Roman"/>
          <w:color w:val="000000" w:themeColor="text1"/>
        </w:rPr>
        <w:t>1</w:t>
      </w:r>
      <w:r w:rsidRPr="00863EE4">
        <w:rPr>
          <w:rFonts w:ascii="Times New Roman" w:hAnsi="Times New Roman" w:cs="Times New Roman"/>
          <w:color w:val="000000" w:themeColor="text1"/>
          <w:lang w:val="en-GB"/>
        </w:rPr>
        <w:t xml:space="preserve">: A λ value of </w:t>
      </w:r>
      <w:r w:rsidR="004472E2" w:rsidRPr="00863EE4">
        <w:rPr>
          <w:rFonts w:ascii="Times New Roman" w:hAnsi="Times New Roman" w:cs="Times New Roman"/>
          <w:color w:val="000000" w:themeColor="text1"/>
          <w:lang w:val="en-GB"/>
        </w:rPr>
        <w:t>0.01063661</w:t>
      </w:r>
      <w:r w:rsidRPr="00863EE4">
        <w:rPr>
          <w:rFonts w:ascii="Times New Roman" w:hAnsi="Times New Roman" w:cs="Times New Roman"/>
          <w:color w:val="000000" w:themeColor="text1"/>
          <w:lang w:val="en-GB"/>
        </w:rPr>
        <w:t xml:space="preserve"> was selected, and</w:t>
      </w:r>
      <w:r w:rsidR="005A237E" w:rsidRPr="00863EE4">
        <w:rPr>
          <w:rFonts w:ascii="Times New Roman" w:hAnsi="Times New Roman" w:cs="Times New Roman"/>
          <w:color w:val="000000" w:themeColor="text1"/>
          <w:lang w:val="en-GB"/>
        </w:rPr>
        <w:t xml:space="preserve"> for</w:t>
      </w:r>
      <w:r w:rsidRPr="00863EE4">
        <w:rPr>
          <w:rFonts w:ascii="Times New Roman" w:hAnsi="Times New Roman" w:cs="Times New Roman"/>
          <w:color w:val="000000" w:themeColor="text1"/>
          <w:lang w:val="en-GB"/>
        </w:rPr>
        <w:t xml:space="preserve"> (</w:t>
      </w:r>
      <w:r w:rsidR="00E522E6" w:rsidRPr="00863EE4">
        <w:rPr>
          <w:rFonts w:ascii="Times New Roman" w:hAnsi="Times New Roman" w:cs="Times New Roman"/>
          <w:color w:val="000000" w:themeColor="text1"/>
          <w:lang w:val="en-GB"/>
        </w:rPr>
        <w:t>b</w:t>
      </w:r>
      <w:r w:rsidRPr="00863EE4">
        <w:rPr>
          <w:rFonts w:ascii="Times New Roman" w:hAnsi="Times New Roman" w:cs="Times New Roman"/>
          <w:color w:val="000000" w:themeColor="text1"/>
          <w:lang w:val="en-GB"/>
        </w:rPr>
        <w:t xml:space="preserve">) Model </w:t>
      </w:r>
      <w:r w:rsidR="004472E2" w:rsidRPr="00863EE4">
        <w:rPr>
          <w:rFonts w:ascii="Times New Roman" w:hAnsi="Times New Roman" w:cs="Times New Roman"/>
          <w:color w:val="000000" w:themeColor="text1"/>
          <w:lang w:val="en-GB"/>
        </w:rPr>
        <w:t>2</w:t>
      </w:r>
      <w:r w:rsidR="005A237E"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a λ value of</w:t>
      </w:r>
      <w:r w:rsidR="00405826" w:rsidRPr="00863EE4">
        <w:rPr>
          <w:rFonts w:ascii="Times New Roman" w:hAnsi="Times New Roman" w:cs="Times New Roman"/>
          <w:color w:val="000000" w:themeColor="text1"/>
          <w:lang w:val="en-GB"/>
        </w:rPr>
        <w:t xml:space="preserve"> </w:t>
      </w:r>
      <w:r w:rsidR="004472E2" w:rsidRPr="00863EE4">
        <w:rPr>
          <w:rFonts w:ascii="Times New Roman" w:hAnsi="Times New Roman" w:cs="Times New Roman"/>
          <w:color w:val="000000" w:themeColor="text1"/>
          <w:lang w:val="en-GB"/>
        </w:rPr>
        <w:t>0.009691678</w:t>
      </w:r>
      <w:r w:rsidR="004472E2" w:rsidRPr="00863EE4">
        <w:rPr>
          <w:rFonts w:ascii="Times New Roman" w:hAnsi="Times New Roman" w:cs="Times New Roman" w:hint="eastAsia"/>
          <w:color w:val="000000" w:themeColor="text1"/>
          <w:lang w:val="en-GB"/>
        </w:rPr>
        <w:t xml:space="preserve"> </w:t>
      </w:r>
      <w:r w:rsidRPr="00863EE4">
        <w:rPr>
          <w:rFonts w:ascii="Times New Roman" w:hAnsi="Times New Roman" w:cs="Times New Roman"/>
          <w:color w:val="000000" w:themeColor="text1"/>
          <w:lang w:val="en-GB"/>
        </w:rPr>
        <w:t>was selected.</w:t>
      </w:r>
    </w:p>
    <w:p w14:paraId="244F4AC6" w14:textId="77777777" w:rsidR="006929FB" w:rsidRPr="00863EE4" w:rsidRDefault="006929FB">
      <w:pPr>
        <w:rPr>
          <w:rFonts w:ascii="Times New Roman" w:hAnsi="Times New Roman" w:cs="Times New Roman"/>
          <w:b/>
          <w:bCs/>
          <w:color w:val="000000" w:themeColor="text1"/>
          <w:lang w:val="en-GB"/>
        </w:rPr>
      </w:pPr>
    </w:p>
    <w:p w14:paraId="10F46706" w14:textId="77777777" w:rsidR="006929FB" w:rsidRPr="00863EE4" w:rsidRDefault="00000000">
      <w:pPr>
        <w:rPr>
          <w:rFonts w:ascii="Times New Roman" w:hAnsi="Times New Roman" w:cs="Times New Roman"/>
          <w:color w:val="000000" w:themeColor="text1"/>
          <w:lang w:val="en-GB"/>
        </w:rPr>
      </w:pPr>
      <w:r w:rsidRPr="00863EE4">
        <w:rPr>
          <w:rFonts w:ascii="Times New Roman" w:hAnsi="Times New Roman" w:cs="Times New Roman" w:hint="eastAsia"/>
          <w:color w:val="000000" w:themeColor="text1"/>
          <w:lang w:val="en-GB"/>
        </w:rPr>
        <w:t>(</w:t>
      </w:r>
      <w:r w:rsidRPr="00863EE4">
        <w:rPr>
          <w:rFonts w:ascii="Times New Roman" w:hAnsi="Times New Roman" w:cs="Times New Roman"/>
          <w:color w:val="000000" w:themeColor="text1"/>
          <w:lang w:val="en-GB"/>
        </w:rPr>
        <w:t>a)</w:t>
      </w:r>
    </w:p>
    <w:p w14:paraId="0B210389" w14:textId="77777777" w:rsidR="00544797"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noProof/>
          <w:color w:val="000000" w:themeColor="text1"/>
          <w:lang w:eastAsia="zh-CN"/>
        </w:rPr>
        <w:drawing>
          <wp:inline distT="0" distB="0" distL="0" distR="0" wp14:anchorId="7B9786E6" wp14:editId="7F1F22C2">
            <wp:extent cx="2946400" cy="2946400"/>
            <wp:effectExtent l="0" t="0" r="0" b="0"/>
            <wp:docPr id="15" name="コンテンツ プレースホルダー 14">
              <a:extLst xmlns:a="http://schemas.openxmlformats.org/drawingml/2006/main">
                <a:ext uri="{FF2B5EF4-FFF2-40B4-BE49-F238E27FC236}">
                  <a16:creationId xmlns:a16="http://schemas.microsoft.com/office/drawing/2014/main" id="{4E47F3DE-C4B7-2C8E-10E5-0EB22836B81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 name="コンテンツ プレースホルダー 14">
                      <a:extLst>
                        <a:ext uri="{FF2B5EF4-FFF2-40B4-BE49-F238E27FC236}">
                          <a16:creationId xmlns:a16="http://schemas.microsoft.com/office/drawing/2014/main" id="{4E47F3DE-C4B7-2C8E-10E5-0EB22836B817}"/>
                        </a:ext>
                      </a:extLst>
                    </pic:cNvPr>
                    <pic:cNvPicPr>
                      <a:picLocks noGrp="1" noChangeAspect="1"/>
                    </pic:cNvPicPr>
                  </pic:nvPicPr>
                  <pic:blipFill>
                    <a:blip r:embed="rId7"/>
                    <a:stretch>
                      <a:fillRect/>
                    </a:stretch>
                  </pic:blipFill>
                  <pic:spPr>
                    <a:xfrm>
                      <a:off x="0" y="0"/>
                      <a:ext cx="2951881" cy="2951881"/>
                    </a:xfrm>
                    <a:prstGeom prst="rect">
                      <a:avLst/>
                    </a:prstGeom>
                  </pic:spPr>
                </pic:pic>
              </a:graphicData>
            </a:graphic>
          </wp:inline>
        </w:drawing>
      </w:r>
    </w:p>
    <w:p w14:paraId="0C9154A5" w14:textId="77777777" w:rsidR="006929FB" w:rsidRPr="00863EE4" w:rsidRDefault="006929FB">
      <w:pPr>
        <w:rPr>
          <w:rFonts w:ascii="Times New Roman" w:hAnsi="Times New Roman" w:cs="Times New Roman"/>
          <w:b/>
          <w:bCs/>
          <w:color w:val="000000" w:themeColor="text1"/>
          <w:lang w:val="en-GB"/>
        </w:rPr>
      </w:pPr>
    </w:p>
    <w:p w14:paraId="3E69086C" w14:textId="77777777" w:rsidR="006929FB" w:rsidRPr="00863EE4" w:rsidRDefault="00000000">
      <w:pPr>
        <w:rPr>
          <w:rFonts w:ascii="Times New Roman" w:hAnsi="Times New Roman" w:cs="Times New Roman"/>
          <w:color w:val="000000" w:themeColor="text1"/>
          <w:lang w:val="en-GB"/>
        </w:rPr>
      </w:pPr>
      <w:r w:rsidRPr="00863EE4">
        <w:rPr>
          <w:rFonts w:ascii="Times New Roman" w:hAnsi="Times New Roman" w:cs="Times New Roman" w:hint="eastAsia"/>
          <w:color w:val="000000" w:themeColor="text1"/>
          <w:lang w:val="en-GB"/>
        </w:rPr>
        <w:t>(</w:t>
      </w:r>
      <w:r w:rsidRPr="00863EE4">
        <w:rPr>
          <w:rFonts w:ascii="Times New Roman" w:hAnsi="Times New Roman" w:cs="Times New Roman"/>
          <w:color w:val="000000" w:themeColor="text1"/>
          <w:lang w:val="en-GB"/>
        </w:rPr>
        <w:t>b)</w:t>
      </w:r>
    </w:p>
    <w:p w14:paraId="5E74DFD7" w14:textId="77777777" w:rsidR="00544797"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noProof/>
          <w:color w:val="000000" w:themeColor="text1"/>
          <w:lang w:eastAsia="zh-CN"/>
        </w:rPr>
        <w:drawing>
          <wp:inline distT="0" distB="0" distL="0" distR="0" wp14:anchorId="68855A65" wp14:editId="5EE9C083">
            <wp:extent cx="2971800" cy="2971800"/>
            <wp:effectExtent l="0" t="0" r="0" b="0"/>
            <wp:docPr id="18" name="図 17">
              <a:extLst xmlns:a="http://schemas.openxmlformats.org/drawingml/2006/main">
                <a:ext uri="{FF2B5EF4-FFF2-40B4-BE49-F238E27FC236}">
                  <a16:creationId xmlns:a16="http://schemas.microsoft.com/office/drawing/2014/main" id="{3511ABF7-0E82-5F1B-4370-E69684557B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7">
                      <a:extLst>
                        <a:ext uri="{FF2B5EF4-FFF2-40B4-BE49-F238E27FC236}">
                          <a16:creationId xmlns:a16="http://schemas.microsoft.com/office/drawing/2014/main" id="{3511ABF7-0E82-5F1B-4370-E69684557BAA}"/>
                        </a:ext>
                      </a:extLst>
                    </pic:cNvPr>
                    <pic:cNvPicPr>
                      <a:picLocks noChangeAspect="1"/>
                    </pic:cNvPicPr>
                  </pic:nvPicPr>
                  <pic:blipFill>
                    <a:blip r:embed="rId8"/>
                    <a:stretch>
                      <a:fillRect/>
                    </a:stretch>
                  </pic:blipFill>
                  <pic:spPr>
                    <a:xfrm>
                      <a:off x="0" y="0"/>
                      <a:ext cx="2978252" cy="2978252"/>
                    </a:xfrm>
                    <a:prstGeom prst="rect">
                      <a:avLst/>
                    </a:prstGeom>
                  </pic:spPr>
                </pic:pic>
              </a:graphicData>
            </a:graphic>
          </wp:inline>
        </w:drawing>
      </w:r>
    </w:p>
    <w:p w14:paraId="44BC1552" w14:textId="77777777" w:rsidR="00544797"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br w:type="page"/>
      </w:r>
    </w:p>
    <w:p w14:paraId="7E8AB8F0" w14:textId="77777777" w:rsidR="00544797" w:rsidRPr="00863EE4" w:rsidRDefault="00544797">
      <w:pPr>
        <w:rPr>
          <w:rFonts w:ascii="Times New Roman" w:hAnsi="Times New Roman" w:cs="Times New Roman"/>
          <w:b/>
          <w:bCs/>
          <w:color w:val="000000" w:themeColor="text1"/>
          <w:lang w:val="en-GB"/>
        </w:rPr>
        <w:sectPr w:rsidR="00544797" w:rsidRPr="00863EE4">
          <w:pgSz w:w="11906" w:h="16838"/>
          <w:pgMar w:top="720" w:right="720" w:bottom="720" w:left="720" w:header="851" w:footer="992" w:gutter="0"/>
          <w:cols w:space="425"/>
          <w:docGrid w:type="lines" w:linePitch="360"/>
        </w:sectPr>
      </w:pPr>
    </w:p>
    <w:p w14:paraId="2AE5BA56" w14:textId="77777777" w:rsidR="00F84960"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 xml:space="preserve">Supplementary Table 1. </w:t>
      </w:r>
      <w:r w:rsidR="00351F5D" w:rsidRPr="00863EE4">
        <w:rPr>
          <w:rFonts w:ascii="Times New Roman" w:hAnsi="Times New Roman" w:cs="Times New Roman"/>
          <w:b/>
          <w:bCs/>
          <w:color w:val="000000" w:themeColor="text1"/>
          <w:lang w:val="en-GB"/>
        </w:rPr>
        <w:t>Candidate</w:t>
      </w:r>
      <w:r w:rsidRPr="00863EE4">
        <w:rPr>
          <w:rFonts w:ascii="Times New Roman" w:hAnsi="Times New Roman" w:cs="Times New Roman"/>
          <w:b/>
          <w:bCs/>
          <w:color w:val="000000" w:themeColor="text1"/>
          <w:lang w:val="en-GB"/>
        </w:rPr>
        <w:t xml:space="preserve"> predictive variables</w:t>
      </w:r>
    </w:p>
    <w:tbl>
      <w:tblPr>
        <w:tblW w:w="15672" w:type="dxa"/>
        <w:tblLayout w:type="fixed"/>
        <w:tblCellMar>
          <w:left w:w="99" w:type="dxa"/>
          <w:right w:w="99" w:type="dxa"/>
        </w:tblCellMar>
        <w:tblLook w:val="04A0" w:firstRow="1" w:lastRow="0" w:firstColumn="1" w:lastColumn="0" w:noHBand="0" w:noVBand="1"/>
      </w:tblPr>
      <w:tblGrid>
        <w:gridCol w:w="4962"/>
        <w:gridCol w:w="992"/>
        <w:gridCol w:w="992"/>
        <w:gridCol w:w="1418"/>
        <w:gridCol w:w="7308"/>
      </w:tblGrid>
      <w:tr w:rsidR="00863EE4" w:rsidRPr="00863EE4" w14:paraId="7ABF236B" w14:textId="77777777">
        <w:trPr>
          <w:trHeight w:val="342"/>
        </w:trPr>
        <w:tc>
          <w:tcPr>
            <w:tcW w:w="4962" w:type="dxa"/>
            <w:tcBorders>
              <w:top w:val="nil"/>
              <w:left w:val="nil"/>
              <w:bottom w:val="single" w:sz="12" w:space="0" w:color="auto"/>
              <w:right w:val="nil"/>
            </w:tcBorders>
            <w:shd w:val="solid" w:color="FFFFFF" w:fill="auto"/>
          </w:tcPr>
          <w:p w14:paraId="4A2A457D" w14:textId="77777777" w:rsidR="00F84960" w:rsidRPr="00863EE4" w:rsidRDefault="00000000">
            <w:pPr>
              <w:widowControl w:val="0"/>
              <w:autoSpaceDE w:val="0"/>
              <w:autoSpaceDN w:val="0"/>
              <w:adjustRightInd w:val="0"/>
              <w:jc w:val="center"/>
              <w:rPr>
                <w:rFonts w:ascii="Arial" w:hAnsi="Arial" w:cs="Arial"/>
                <w:color w:val="000000" w:themeColor="text1"/>
                <w:sz w:val="20"/>
                <w:szCs w:val="20"/>
                <w:lang w:val="en-GB"/>
              </w:rPr>
            </w:pPr>
            <w:r w:rsidRPr="00863EE4">
              <w:rPr>
                <w:rFonts w:ascii="Arial" w:hAnsi="Arial" w:cs="Arial"/>
                <w:color w:val="000000" w:themeColor="text1"/>
                <w:sz w:val="20"/>
                <w:szCs w:val="20"/>
                <w:lang w:val="en-GB"/>
              </w:rPr>
              <w:t>Variables</w:t>
            </w:r>
          </w:p>
        </w:tc>
        <w:tc>
          <w:tcPr>
            <w:tcW w:w="992" w:type="dxa"/>
            <w:tcBorders>
              <w:top w:val="nil"/>
              <w:left w:val="nil"/>
              <w:bottom w:val="single" w:sz="12" w:space="0" w:color="auto"/>
              <w:right w:val="nil"/>
            </w:tcBorders>
          </w:tcPr>
          <w:p w14:paraId="52B8BADB" w14:textId="77777777" w:rsidR="00F84960" w:rsidRPr="00863EE4" w:rsidRDefault="00000000">
            <w:pPr>
              <w:widowControl w:val="0"/>
              <w:autoSpaceDE w:val="0"/>
              <w:autoSpaceDN w:val="0"/>
              <w:adjustRightInd w:val="0"/>
              <w:jc w:val="center"/>
              <w:rPr>
                <w:rFonts w:ascii="Arial" w:hAnsi="Arial" w:cs="Arial"/>
                <w:color w:val="000000" w:themeColor="text1"/>
                <w:sz w:val="20"/>
                <w:szCs w:val="20"/>
                <w:lang w:val="en-GB"/>
              </w:rPr>
            </w:pPr>
            <w:r w:rsidRPr="00863EE4">
              <w:rPr>
                <w:rFonts w:ascii="Arial" w:hAnsi="Arial" w:cs="Arial"/>
                <w:color w:val="000000" w:themeColor="text1"/>
                <w:sz w:val="20"/>
                <w:szCs w:val="20"/>
                <w:lang w:val="en-GB"/>
              </w:rPr>
              <w:t>Model</w:t>
            </w:r>
            <w:r w:rsidR="00D41211" w:rsidRPr="00863EE4">
              <w:rPr>
                <w:rFonts w:ascii="Arial" w:hAnsi="Arial" w:cs="Arial"/>
                <w:color w:val="000000" w:themeColor="text1"/>
                <w:sz w:val="20"/>
                <w:szCs w:val="20"/>
                <w:lang w:val="en-GB"/>
              </w:rPr>
              <w:t xml:space="preserve"> </w:t>
            </w:r>
            <w:r w:rsidRPr="00863EE4">
              <w:rPr>
                <w:rFonts w:ascii="Arial" w:hAnsi="Arial" w:cs="Arial"/>
                <w:color w:val="000000" w:themeColor="text1"/>
                <w:sz w:val="20"/>
                <w:szCs w:val="20"/>
                <w:lang w:val="en-GB"/>
              </w:rPr>
              <w:t>1</w:t>
            </w:r>
          </w:p>
        </w:tc>
        <w:tc>
          <w:tcPr>
            <w:tcW w:w="992" w:type="dxa"/>
            <w:tcBorders>
              <w:top w:val="nil"/>
              <w:left w:val="nil"/>
              <w:bottom w:val="single" w:sz="12" w:space="0" w:color="auto"/>
              <w:right w:val="nil"/>
            </w:tcBorders>
          </w:tcPr>
          <w:p w14:paraId="13E5335C" w14:textId="77777777" w:rsidR="00F84960" w:rsidRPr="00863EE4" w:rsidRDefault="00000000">
            <w:pPr>
              <w:widowControl w:val="0"/>
              <w:autoSpaceDE w:val="0"/>
              <w:autoSpaceDN w:val="0"/>
              <w:adjustRightInd w:val="0"/>
              <w:jc w:val="center"/>
              <w:rPr>
                <w:rFonts w:ascii="Arial" w:hAnsi="Arial" w:cs="Arial"/>
                <w:color w:val="000000" w:themeColor="text1"/>
                <w:sz w:val="20"/>
                <w:szCs w:val="20"/>
                <w:lang w:val="en-GB"/>
              </w:rPr>
            </w:pPr>
            <w:r w:rsidRPr="00863EE4">
              <w:rPr>
                <w:rFonts w:ascii="Arial" w:hAnsi="Arial" w:cs="Arial"/>
                <w:color w:val="000000" w:themeColor="text1"/>
                <w:sz w:val="20"/>
                <w:szCs w:val="20"/>
                <w:lang w:val="en-GB"/>
              </w:rPr>
              <w:t>Model</w:t>
            </w:r>
            <w:r w:rsidR="00D41211" w:rsidRPr="00863EE4">
              <w:rPr>
                <w:rFonts w:ascii="Arial" w:hAnsi="Arial" w:cs="Arial"/>
                <w:color w:val="000000" w:themeColor="text1"/>
                <w:sz w:val="20"/>
                <w:szCs w:val="20"/>
                <w:lang w:val="en-GB"/>
              </w:rPr>
              <w:t xml:space="preserve"> </w:t>
            </w:r>
            <w:r w:rsidRPr="00863EE4">
              <w:rPr>
                <w:rFonts w:ascii="Arial" w:hAnsi="Arial" w:cs="Arial"/>
                <w:color w:val="000000" w:themeColor="text1"/>
                <w:sz w:val="20"/>
                <w:szCs w:val="20"/>
                <w:lang w:val="en-GB"/>
              </w:rPr>
              <w:t>2</w:t>
            </w:r>
          </w:p>
        </w:tc>
        <w:tc>
          <w:tcPr>
            <w:tcW w:w="1418" w:type="dxa"/>
            <w:tcBorders>
              <w:top w:val="nil"/>
              <w:left w:val="nil"/>
              <w:bottom w:val="single" w:sz="12" w:space="0" w:color="auto"/>
              <w:right w:val="nil"/>
            </w:tcBorders>
          </w:tcPr>
          <w:p w14:paraId="5AF0150E" w14:textId="77777777" w:rsidR="00F84960" w:rsidRPr="00863EE4" w:rsidRDefault="00000000">
            <w:pPr>
              <w:widowControl w:val="0"/>
              <w:autoSpaceDE w:val="0"/>
              <w:autoSpaceDN w:val="0"/>
              <w:adjustRightInd w:val="0"/>
              <w:jc w:val="center"/>
              <w:rPr>
                <w:rFonts w:ascii="Arial" w:hAnsi="Arial" w:cs="Arial"/>
                <w:color w:val="000000" w:themeColor="text1"/>
                <w:sz w:val="20"/>
                <w:szCs w:val="20"/>
                <w:lang w:val="en-GB"/>
              </w:rPr>
            </w:pPr>
            <w:r w:rsidRPr="00863EE4">
              <w:rPr>
                <w:rFonts w:ascii="Arial" w:hAnsi="Arial" w:cs="Arial"/>
                <w:color w:val="000000" w:themeColor="text1"/>
                <w:sz w:val="20"/>
                <w:szCs w:val="20"/>
                <w:lang w:val="en-GB"/>
              </w:rPr>
              <w:t>Type of data</w:t>
            </w:r>
          </w:p>
        </w:tc>
        <w:tc>
          <w:tcPr>
            <w:tcW w:w="7308" w:type="dxa"/>
            <w:tcBorders>
              <w:top w:val="nil"/>
              <w:left w:val="nil"/>
              <w:bottom w:val="single" w:sz="12" w:space="0" w:color="auto"/>
              <w:right w:val="nil"/>
            </w:tcBorders>
          </w:tcPr>
          <w:p w14:paraId="4764A29C" w14:textId="77777777" w:rsidR="00F84960" w:rsidRPr="00863EE4" w:rsidRDefault="00000000">
            <w:pPr>
              <w:widowControl w:val="0"/>
              <w:autoSpaceDE w:val="0"/>
              <w:autoSpaceDN w:val="0"/>
              <w:adjustRightInd w:val="0"/>
              <w:jc w:val="center"/>
              <w:rPr>
                <w:rFonts w:ascii="Arial" w:hAnsi="Arial" w:cs="Arial"/>
                <w:color w:val="000000" w:themeColor="text1"/>
                <w:sz w:val="20"/>
                <w:szCs w:val="20"/>
                <w:lang w:val="en-GB"/>
              </w:rPr>
            </w:pPr>
            <w:r w:rsidRPr="00863EE4">
              <w:rPr>
                <w:rFonts w:ascii="Arial" w:hAnsi="Arial" w:cs="Arial"/>
                <w:color w:val="000000" w:themeColor="text1"/>
                <w:sz w:val="20"/>
                <w:szCs w:val="20"/>
                <w:lang w:val="en-GB"/>
              </w:rPr>
              <w:t>Notes</w:t>
            </w:r>
          </w:p>
        </w:tc>
      </w:tr>
      <w:tr w:rsidR="00863EE4" w:rsidRPr="00863EE4" w14:paraId="28F7AF25" w14:textId="77777777">
        <w:trPr>
          <w:trHeight w:val="342"/>
        </w:trPr>
        <w:tc>
          <w:tcPr>
            <w:tcW w:w="4962" w:type="dxa"/>
            <w:tcBorders>
              <w:top w:val="single" w:sz="12" w:space="0" w:color="auto"/>
              <w:left w:val="nil"/>
              <w:bottom w:val="single" w:sz="6" w:space="0" w:color="C0C0C0"/>
              <w:right w:val="nil"/>
            </w:tcBorders>
            <w:shd w:val="solid" w:color="C0C0C0" w:fill="auto"/>
          </w:tcPr>
          <w:p w14:paraId="11BEBD87" w14:textId="77777777" w:rsidR="00F84960" w:rsidRPr="00863EE4" w:rsidRDefault="00000000">
            <w:pPr>
              <w:widowControl w:val="0"/>
              <w:autoSpaceDE w:val="0"/>
              <w:autoSpaceDN w:val="0"/>
              <w:adjustRightInd w:val="0"/>
              <w:rPr>
                <w:rFonts w:ascii="Arial" w:hAnsi="Arial" w:cs="Arial"/>
                <w:b/>
                <w:bCs/>
                <w:color w:val="000000" w:themeColor="text1"/>
                <w:sz w:val="20"/>
                <w:szCs w:val="20"/>
                <w:lang w:val="en-GB"/>
              </w:rPr>
            </w:pPr>
            <w:r w:rsidRPr="00863EE4">
              <w:rPr>
                <w:rFonts w:ascii="Arial" w:hAnsi="Arial" w:cs="Arial"/>
                <w:b/>
                <w:bCs/>
                <w:color w:val="000000" w:themeColor="text1"/>
                <w:sz w:val="20"/>
                <w:szCs w:val="20"/>
                <w:lang w:val="en-GB"/>
              </w:rPr>
              <w:t>Patient information</w:t>
            </w:r>
          </w:p>
        </w:tc>
        <w:tc>
          <w:tcPr>
            <w:tcW w:w="992" w:type="dxa"/>
            <w:tcBorders>
              <w:top w:val="nil"/>
              <w:left w:val="nil"/>
              <w:bottom w:val="nil"/>
              <w:right w:val="nil"/>
            </w:tcBorders>
            <w:shd w:val="solid" w:color="C0C0C0" w:fill="auto"/>
          </w:tcPr>
          <w:p w14:paraId="5D79AF0B" w14:textId="77777777" w:rsidR="00F84960" w:rsidRPr="00863EE4" w:rsidRDefault="00F84960">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shd w:val="solid" w:color="C0C0C0" w:fill="auto"/>
          </w:tcPr>
          <w:p w14:paraId="203D3262" w14:textId="77777777" w:rsidR="00F84960" w:rsidRPr="00863EE4" w:rsidRDefault="00F84960">
            <w:pPr>
              <w:widowControl w:val="0"/>
              <w:autoSpaceDE w:val="0"/>
              <w:autoSpaceDN w:val="0"/>
              <w:adjustRightInd w:val="0"/>
              <w:jc w:val="center"/>
              <w:rPr>
                <w:rFonts w:ascii="Arial" w:hAnsi="Arial" w:cs="Arial"/>
                <w:color w:val="000000" w:themeColor="text1"/>
                <w:sz w:val="20"/>
                <w:szCs w:val="20"/>
                <w:lang w:val="en-GB"/>
              </w:rPr>
            </w:pPr>
          </w:p>
        </w:tc>
        <w:tc>
          <w:tcPr>
            <w:tcW w:w="1418" w:type="dxa"/>
            <w:tcBorders>
              <w:top w:val="nil"/>
              <w:left w:val="nil"/>
              <w:bottom w:val="nil"/>
              <w:right w:val="nil"/>
            </w:tcBorders>
            <w:shd w:val="solid" w:color="C0C0C0" w:fill="auto"/>
          </w:tcPr>
          <w:p w14:paraId="66C296F7" w14:textId="77777777" w:rsidR="00F84960" w:rsidRPr="00863EE4" w:rsidRDefault="00F84960">
            <w:pPr>
              <w:widowControl w:val="0"/>
              <w:autoSpaceDE w:val="0"/>
              <w:autoSpaceDN w:val="0"/>
              <w:adjustRightInd w:val="0"/>
              <w:jc w:val="center"/>
              <w:rPr>
                <w:rFonts w:ascii="Arial" w:hAnsi="Arial" w:cs="Arial"/>
                <w:color w:val="000000" w:themeColor="text1"/>
                <w:sz w:val="20"/>
                <w:szCs w:val="20"/>
                <w:lang w:val="en-GB"/>
              </w:rPr>
            </w:pPr>
          </w:p>
        </w:tc>
        <w:tc>
          <w:tcPr>
            <w:tcW w:w="7308" w:type="dxa"/>
            <w:tcBorders>
              <w:top w:val="nil"/>
              <w:left w:val="nil"/>
              <w:bottom w:val="nil"/>
              <w:right w:val="nil"/>
            </w:tcBorders>
            <w:shd w:val="solid" w:color="C0C0C0" w:fill="auto"/>
          </w:tcPr>
          <w:p w14:paraId="522678DE" w14:textId="77777777" w:rsidR="00F84960" w:rsidRPr="00863EE4" w:rsidRDefault="00F84960">
            <w:pPr>
              <w:widowControl w:val="0"/>
              <w:autoSpaceDE w:val="0"/>
              <w:autoSpaceDN w:val="0"/>
              <w:adjustRightInd w:val="0"/>
              <w:jc w:val="center"/>
              <w:rPr>
                <w:rFonts w:ascii="Arial" w:hAnsi="Arial" w:cs="Arial"/>
                <w:color w:val="000000" w:themeColor="text1"/>
                <w:sz w:val="20"/>
                <w:szCs w:val="20"/>
                <w:lang w:val="en-GB"/>
              </w:rPr>
            </w:pPr>
          </w:p>
        </w:tc>
      </w:tr>
      <w:tr w:rsidR="00863EE4" w:rsidRPr="00863EE4" w14:paraId="3D48DB51" w14:textId="77777777">
        <w:trPr>
          <w:trHeight w:val="342"/>
        </w:trPr>
        <w:tc>
          <w:tcPr>
            <w:tcW w:w="4962" w:type="dxa"/>
            <w:tcBorders>
              <w:top w:val="nil"/>
              <w:left w:val="nil"/>
              <w:bottom w:val="nil"/>
              <w:right w:val="nil"/>
            </w:tcBorders>
            <w:shd w:val="solid" w:color="FFFFFF" w:fill="auto"/>
          </w:tcPr>
          <w:p w14:paraId="4106F7C2"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Age, years</w:t>
            </w:r>
          </w:p>
        </w:tc>
        <w:tc>
          <w:tcPr>
            <w:tcW w:w="992" w:type="dxa"/>
            <w:tcBorders>
              <w:top w:val="nil"/>
              <w:left w:val="nil"/>
              <w:bottom w:val="nil"/>
              <w:right w:val="nil"/>
            </w:tcBorders>
          </w:tcPr>
          <w:p w14:paraId="435B94BC"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2B65C02C"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798A2395"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438415E5"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Age of the patients</w:t>
            </w:r>
          </w:p>
        </w:tc>
      </w:tr>
      <w:tr w:rsidR="00863EE4" w:rsidRPr="00863EE4" w14:paraId="4266948A" w14:textId="77777777">
        <w:trPr>
          <w:trHeight w:val="342"/>
        </w:trPr>
        <w:tc>
          <w:tcPr>
            <w:tcW w:w="4962" w:type="dxa"/>
            <w:tcBorders>
              <w:top w:val="nil"/>
              <w:left w:val="nil"/>
              <w:bottom w:val="nil"/>
              <w:right w:val="nil"/>
            </w:tcBorders>
            <w:shd w:val="solid" w:color="FFFFFF" w:fill="auto"/>
          </w:tcPr>
          <w:p w14:paraId="2F128632"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Sex</w:t>
            </w:r>
          </w:p>
        </w:tc>
        <w:tc>
          <w:tcPr>
            <w:tcW w:w="992" w:type="dxa"/>
            <w:tcBorders>
              <w:top w:val="nil"/>
              <w:left w:val="nil"/>
              <w:bottom w:val="nil"/>
              <w:right w:val="nil"/>
            </w:tcBorders>
          </w:tcPr>
          <w:p w14:paraId="74B308D9"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13676120"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0005B882"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76840952"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Male or Female</w:t>
            </w:r>
          </w:p>
        </w:tc>
      </w:tr>
      <w:tr w:rsidR="00863EE4" w:rsidRPr="00863EE4" w14:paraId="13E1442D" w14:textId="77777777">
        <w:trPr>
          <w:trHeight w:val="342"/>
        </w:trPr>
        <w:tc>
          <w:tcPr>
            <w:tcW w:w="4962" w:type="dxa"/>
            <w:tcBorders>
              <w:top w:val="nil"/>
              <w:left w:val="nil"/>
              <w:bottom w:val="nil"/>
              <w:right w:val="nil"/>
            </w:tcBorders>
            <w:shd w:val="solid" w:color="FFFFFF" w:fill="auto"/>
          </w:tcPr>
          <w:p w14:paraId="745D3C3C"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Initial rhythm at the scene</w:t>
            </w:r>
          </w:p>
        </w:tc>
        <w:tc>
          <w:tcPr>
            <w:tcW w:w="992" w:type="dxa"/>
            <w:tcBorders>
              <w:top w:val="nil"/>
              <w:left w:val="nil"/>
              <w:bottom w:val="nil"/>
              <w:right w:val="nil"/>
            </w:tcBorders>
          </w:tcPr>
          <w:p w14:paraId="37DCBC4A"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2A302B57"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14FB74E3"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Categorical</w:t>
            </w:r>
          </w:p>
        </w:tc>
        <w:tc>
          <w:tcPr>
            <w:tcW w:w="7308" w:type="dxa"/>
            <w:tcBorders>
              <w:top w:val="nil"/>
              <w:left w:val="nil"/>
              <w:bottom w:val="nil"/>
              <w:right w:val="nil"/>
            </w:tcBorders>
          </w:tcPr>
          <w:p w14:paraId="0DBFD87F"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Initial cardiac rhythm confirmed by EMS (VF/pVT, PEA, or Asystole)</w:t>
            </w:r>
          </w:p>
        </w:tc>
      </w:tr>
      <w:tr w:rsidR="00863EE4" w:rsidRPr="00863EE4" w14:paraId="3F013A60" w14:textId="77777777">
        <w:trPr>
          <w:trHeight w:val="342"/>
        </w:trPr>
        <w:tc>
          <w:tcPr>
            <w:tcW w:w="4962" w:type="dxa"/>
            <w:tcBorders>
              <w:top w:val="nil"/>
              <w:left w:val="nil"/>
              <w:bottom w:val="nil"/>
              <w:right w:val="nil"/>
            </w:tcBorders>
            <w:shd w:val="solid" w:color="FFFFFF" w:fill="auto"/>
          </w:tcPr>
          <w:p w14:paraId="3DAB747E"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Bystander automated electrical defibrillation use</w:t>
            </w:r>
          </w:p>
        </w:tc>
        <w:tc>
          <w:tcPr>
            <w:tcW w:w="992" w:type="dxa"/>
            <w:tcBorders>
              <w:top w:val="nil"/>
              <w:left w:val="nil"/>
              <w:bottom w:val="nil"/>
              <w:right w:val="nil"/>
            </w:tcBorders>
          </w:tcPr>
          <w:p w14:paraId="75A0EAD9"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395E884F"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7AA013BD"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6A224014"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Defibrillation performed by public automated electrical defibrillation (Yes or No)</w:t>
            </w:r>
          </w:p>
        </w:tc>
      </w:tr>
      <w:tr w:rsidR="00863EE4" w:rsidRPr="00863EE4" w14:paraId="3E58B076" w14:textId="77777777">
        <w:trPr>
          <w:trHeight w:val="342"/>
        </w:trPr>
        <w:tc>
          <w:tcPr>
            <w:tcW w:w="4962" w:type="dxa"/>
            <w:tcBorders>
              <w:top w:val="nil"/>
              <w:left w:val="nil"/>
              <w:bottom w:val="nil"/>
              <w:right w:val="nil"/>
            </w:tcBorders>
            <w:shd w:val="solid" w:color="FFFFFF" w:fill="auto"/>
          </w:tcPr>
          <w:p w14:paraId="2D293910"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Shock during cardiac arrest</w:t>
            </w:r>
          </w:p>
        </w:tc>
        <w:tc>
          <w:tcPr>
            <w:tcW w:w="992" w:type="dxa"/>
            <w:tcBorders>
              <w:top w:val="nil"/>
              <w:left w:val="nil"/>
              <w:bottom w:val="nil"/>
              <w:right w:val="nil"/>
            </w:tcBorders>
          </w:tcPr>
          <w:p w14:paraId="217ED988"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1A6BEB29"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39293293"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7C861175"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Shock by EMS or medical staff before ROSC (Yes or No)</w:t>
            </w:r>
          </w:p>
        </w:tc>
      </w:tr>
      <w:tr w:rsidR="00863EE4" w:rsidRPr="00863EE4" w14:paraId="19E28F18" w14:textId="77777777">
        <w:trPr>
          <w:trHeight w:val="342"/>
        </w:trPr>
        <w:tc>
          <w:tcPr>
            <w:tcW w:w="4962" w:type="dxa"/>
            <w:tcBorders>
              <w:top w:val="nil"/>
              <w:left w:val="nil"/>
              <w:bottom w:val="nil"/>
              <w:right w:val="nil"/>
            </w:tcBorders>
            <w:shd w:val="solid" w:color="FFFFFF" w:fill="auto"/>
          </w:tcPr>
          <w:p w14:paraId="6B767B8D"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Administration of adrenaline during cardiac arrest</w:t>
            </w:r>
          </w:p>
        </w:tc>
        <w:tc>
          <w:tcPr>
            <w:tcW w:w="992" w:type="dxa"/>
            <w:tcBorders>
              <w:top w:val="nil"/>
              <w:left w:val="nil"/>
              <w:bottom w:val="nil"/>
              <w:right w:val="nil"/>
            </w:tcBorders>
          </w:tcPr>
          <w:p w14:paraId="3B6EC483"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2375ABD6"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744DE6D6"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6B9DA57D"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Administration of adrenaline by EMS or medical staff before ROSC (Yes or No)</w:t>
            </w:r>
          </w:p>
        </w:tc>
      </w:tr>
      <w:tr w:rsidR="00863EE4" w:rsidRPr="00863EE4" w14:paraId="033CF9A2" w14:textId="77777777">
        <w:trPr>
          <w:trHeight w:val="342"/>
        </w:trPr>
        <w:tc>
          <w:tcPr>
            <w:tcW w:w="4962" w:type="dxa"/>
            <w:tcBorders>
              <w:top w:val="nil"/>
              <w:left w:val="nil"/>
              <w:bottom w:val="nil"/>
              <w:right w:val="nil"/>
            </w:tcBorders>
            <w:shd w:val="solid" w:color="FFFFFF" w:fill="auto"/>
          </w:tcPr>
          <w:p w14:paraId="239847BD"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Advanced airway management during cardiac arrest</w:t>
            </w:r>
          </w:p>
        </w:tc>
        <w:tc>
          <w:tcPr>
            <w:tcW w:w="992" w:type="dxa"/>
            <w:tcBorders>
              <w:top w:val="nil"/>
              <w:left w:val="nil"/>
              <w:bottom w:val="nil"/>
              <w:right w:val="nil"/>
            </w:tcBorders>
          </w:tcPr>
          <w:p w14:paraId="2404E418"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6AAF3CAA"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5FB73EB1"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13ECEC96"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Endotracheal intubation by EMS or medical staff before ROSC (Yes or No)</w:t>
            </w:r>
          </w:p>
        </w:tc>
      </w:tr>
      <w:tr w:rsidR="00863EE4" w:rsidRPr="00863EE4" w14:paraId="192C6FFF" w14:textId="77777777">
        <w:trPr>
          <w:trHeight w:val="342"/>
        </w:trPr>
        <w:tc>
          <w:tcPr>
            <w:tcW w:w="4962" w:type="dxa"/>
            <w:tcBorders>
              <w:top w:val="nil"/>
              <w:left w:val="nil"/>
              <w:bottom w:val="nil"/>
              <w:right w:val="nil"/>
            </w:tcBorders>
            <w:shd w:val="solid" w:color="FFFFFF" w:fill="auto"/>
          </w:tcPr>
          <w:p w14:paraId="554165BC"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Initial rhythm on hospital arrival</w:t>
            </w:r>
          </w:p>
        </w:tc>
        <w:tc>
          <w:tcPr>
            <w:tcW w:w="992" w:type="dxa"/>
            <w:tcBorders>
              <w:top w:val="nil"/>
              <w:left w:val="nil"/>
              <w:bottom w:val="nil"/>
              <w:right w:val="nil"/>
            </w:tcBorders>
          </w:tcPr>
          <w:p w14:paraId="48E8CBBE"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25DD1ED4"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2EF46696"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Categorical</w:t>
            </w:r>
          </w:p>
        </w:tc>
        <w:tc>
          <w:tcPr>
            <w:tcW w:w="7308" w:type="dxa"/>
            <w:tcBorders>
              <w:top w:val="nil"/>
              <w:left w:val="nil"/>
              <w:bottom w:val="nil"/>
              <w:right w:val="nil"/>
            </w:tcBorders>
          </w:tcPr>
          <w:p w14:paraId="71104B7A"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Initial cardiac rhythm at hospital arrival (VF/pVT, PEA, Asystole, or ROSC)</w:t>
            </w:r>
          </w:p>
        </w:tc>
      </w:tr>
      <w:tr w:rsidR="00863EE4" w:rsidRPr="00863EE4" w14:paraId="3F230080" w14:textId="77777777">
        <w:trPr>
          <w:trHeight w:val="362"/>
        </w:trPr>
        <w:tc>
          <w:tcPr>
            <w:tcW w:w="4962" w:type="dxa"/>
            <w:tcBorders>
              <w:top w:val="nil"/>
              <w:left w:val="nil"/>
              <w:bottom w:val="nil"/>
              <w:right w:val="nil"/>
            </w:tcBorders>
          </w:tcPr>
          <w:p w14:paraId="58D15A09" w14:textId="77777777" w:rsidR="00F84960" w:rsidRPr="00863EE4" w:rsidRDefault="00000000">
            <w:pPr>
              <w:widowControl w:val="0"/>
              <w:autoSpaceDE w:val="0"/>
              <w:autoSpaceDN w:val="0"/>
              <w:adjustRightInd w:val="0"/>
              <w:rPr>
                <w:rFonts w:ascii="Arial" w:hAnsi="Arial" w:cs="Arial"/>
                <w:color w:val="000000" w:themeColor="text1"/>
                <w:sz w:val="20"/>
                <w:szCs w:val="20"/>
                <w:vertAlign w:val="superscript"/>
                <w:lang w:val="en-GB"/>
              </w:rPr>
            </w:pPr>
            <w:r w:rsidRPr="00863EE4">
              <w:rPr>
                <w:rFonts w:ascii="Arial" w:hAnsi="Arial" w:cs="Arial"/>
                <w:color w:val="000000" w:themeColor="text1"/>
                <w:sz w:val="20"/>
                <w:szCs w:val="20"/>
                <w:lang w:val="en-GB"/>
              </w:rPr>
              <w:t>No flow time</w:t>
            </w:r>
            <w:r w:rsidR="00AE66B0" w:rsidRPr="00863EE4">
              <w:rPr>
                <w:rFonts w:ascii="Arial" w:hAnsi="Arial" w:cs="Arial"/>
                <w:color w:val="000000" w:themeColor="text1"/>
                <w:sz w:val="20"/>
                <w:szCs w:val="20"/>
                <w:lang w:val="en-GB"/>
              </w:rPr>
              <w:t xml:space="preserve"> </w:t>
            </w:r>
            <w:r w:rsidRPr="00863EE4">
              <w:rPr>
                <w:rFonts w:ascii="Arial" w:hAnsi="Arial" w:cs="Arial"/>
                <w:color w:val="000000" w:themeColor="text1"/>
                <w:sz w:val="20"/>
                <w:szCs w:val="20"/>
                <w:vertAlign w:val="superscript"/>
                <w:lang w:val="en-GB"/>
              </w:rPr>
              <w:t>a</w:t>
            </w:r>
          </w:p>
        </w:tc>
        <w:tc>
          <w:tcPr>
            <w:tcW w:w="992" w:type="dxa"/>
            <w:tcBorders>
              <w:top w:val="nil"/>
              <w:left w:val="nil"/>
              <w:bottom w:val="nil"/>
              <w:right w:val="nil"/>
            </w:tcBorders>
          </w:tcPr>
          <w:p w14:paraId="7277E149"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7C0A9B70"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3DFA0383"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3B657AC1"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No flow time (minutes between collapse and first CPR)</w:t>
            </w:r>
          </w:p>
        </w:tc>
      </w:tr>
      <w:tr w:rsidR="00863EE4" w:rsidRPr="00863EE4" w14:paraId="3F1BAEBB" w14:textId="77777777">
        <w:trPr>
          <w:trHeight w:val="362"/>
        </w:trPr>
        <w:tc>
          <w:tcPr>
            <w:tcW w:w="4962" w:type="dxa"/>
            <w:tcBorders>
              <w:top w:val="nil"/>
              <w:left w:val="nil"/>
              <w:bottom w:val="nil"/>
              <w:right w:val="nil"/>
            </w:tcBorders>
          </w:tcPr>
          <w:p w14:paraId="3CD705CB"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Low flow time (Log-transformed and standardi</w:t>
            </w:r>
            <w:r w:rsidR="00D41211" w:rsidRPr="00863EE4">
              <w:rPr>
                <w:rFonts w:ascii="Arial" w:hAnsi="Arial" w:cs="Arial"/>
                <w:color w:val="000000" w:themeColor="text1"/>
                <w:sz w:val="20"/>
                <w:szCs w:val="20"/>
                <w:lang w:val="en-GB"/>
              </w:rPr>
              <w:t>s</w:t>
            </w:r>
            <w:r w:rsidRPr="00863EE4">
              <w:rPr>
                <w:rFonts w:ascii="Arial" w:hAnsi="Arial" w:cs="Arial"/>
                <w:color w:val="000000" w:themeColor="text1"/>
                <w:sz w:val="20"/>
                <w:szCs w:val="20"/>
                <w:lang w:val="en-GB"/>
              </w:rPr>
              <w:t>ed)</w:t>
            </w:r>
          </w:p>
        </w:tc>
        <w:tc>
          <w:tcPr>
            <w:tcW w:w="992" w:type="dxa"/>
            <w:tcBorders>
              <w:top w:val="nil"/>
              <w:left w:val="nil"/>
              <w:bottom w:val="nil"/>
              <w:right w:val="nil"/>
            </w:tcBorders>
          </w:tcPr>
          <w:p w14:paraId="200607AD"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992" w:type="dxa"/>
            <w:tcBorders>
              <w:top w:val="nil"/>
              <w:left w:val="nil"/>
              <w:bottom w:val="nil"/>
              <w:right w:val="nil"/>
            </w:tcBorders>
          </w:tcPr>
          <w:p w14:paraId="226143E7" w14:textId="77777777" w:rsidR="00F84960" w:rsidRPr="00863EE4" w:rsidRDefault="00000000">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0876B669"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4D40842E" w14:textId="77777777" w:rsidR="00F84960" w:rsidRPr="00863EE4" w:rsidRDefault="00000000">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Low flow time (minutes between first CPR and ROSC)</w:t>
            </w:r>
          </w:p>
        </w:tc>
      </w:tr>
      <w:tr w:rsidR="00863EE4" w:rsidRPr="00863EE4" w14:paraId="70B8C023" w14:textId="77777777">
        <w:trPr>
          <w:trHeight w:val="362"/>
        </w:trPr>
        <w:tc>
          <w:tcPr>
            <w:tcW w:w="4962" w:type="dxa"/>
            <w:tcBorders>
              <w:top w:val="nil"/>
              <w:left w:val="nil"/>
              <w:bottom w:val="nil"/>
              <w:right w:val="nil"/>
            </w:tcBorders>
          </w:tcPr>
          <w:p w14:paraId="240B037E"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Glasgow Coma Scale motor score &lt; 2</w:t>
            </w:r>
          </w:p>
        </w:tc>
        <w:tc>
          <w:tcPr>
            <w:tcW w:w="992" w:type="dxa"/>
            <w:tcBorders>
              <w:top w:val="nil"/>
              <w:left w:val="nil"/>
              <w:bottom w:val="nil"/>
              <w:right w:val="nil"/>
            </w:tcBorders>
          </w:tcPr>
          <w:p w14:paraId="5591BE28" w14:textId="77777777" w:rsidR="00A6709E" w:rsidRPr="00863EE4" w:rsidRDefault="00A6709E" w:rsidP="00A6709E">
            <w:pPr>
              <w:widowControl w:val="0"/>
              <w:autoSpaceDE w:val="0"/>
              <w:autoSpaceDN w:val="0"/>
              <w:adjustRightInd w:val="0"/>
              <w:jc w:val="center"/>
              <w:rPr>
                <w:rFonts w:ascii="Segoe UI Symbol" w:hAnsi="Segoe UI Symbol" w:cs="Segoe UI Symbol"/>
                <w:color w:val="000000" w:themeColor="text1"/>
                <w:sz w:val="20"/>
                <w:szCs w:val="20"/>
                <w:lang w:val="en-GB"/>
              </w:rPr>
            </w:pPr>
          </w:p>
        </w:tc>
        <w:tc>
          <w:tcPr>
            <w:tcW w:w="992" w:type="dxa"/>
            <w:tcBorders>
              <w:top w:val="nil"/>
              <w:left w:val="nil"/>
              <w:bottom w:val="nil"/>
              <w:right w:val="nil"/>
            </w:tcBorders>
          </w:tcPr>
          <w:p w14:paraId="5338E603" w14:textId="77777777" w:rsidR="00A6709E" w:rsidRPr="00863EE4" w:rsidRDefault="00000000" w:rsidP="00A6709E">
            <w:pPr>
              <w:widowControl w:val="0"/>
              <w:autoSpaceDE w:val="0"/>
              <w:autoSpaceDN w:val="0"/>
              <w:adjustRightInd w:val="0"/>
              <w:jc w:val="center"/>
              <w:rPr>
                <w:rFonts w:ascii="Segoe UI Symbol" w:hAnsi="Segoe UI Symbol" w:cs="Segoe UI Symbol"/>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48DCE6FE"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Dichotomous</w:t>
            </w:r>
          </w:p>
        </w:tc>
        <w:tc>
          <w:tcPr>
            <w:tcW w:w="7308" w:type="dxa"/>
            <w:tcBorders>
              <w:top w:val="nil"/>
              <w:left w:val="nil"/>
              <w:bottom w:val="nil"/>
              <w:right w:val="nil"/>
            </w:tcBorders>
          </w:tcPr>
          <w:p w14:paraId="5D96794F"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Best level of consciousness after ROSC to intensive care unit entry</w:t>
            </w:r>
          </w:p>
        </w:tc>
      </w:tr>
      <w:tr w:rsidR="00863EE4" w:rsidRPr="00863EE4" w14:paraId="64C0F133" w14:textId="77777777">
        <w:trPr>
          <w:trHeight w:val="342"/>
        </w:trPr>
        <w:tc>
          <w:tcPr>
            <w:tcW w:w="4962" w:type="dxa"/>
            <w:tcBorders>
              <w:top w:val="nil"/>
              <w:left w:val="nil"/>
              <w:bottom w:val="nil"/>
              <w:right w:val="nil"/>
            </w:tcBorders>
            <w:shd w:val="solid" w:color="C0C0C0" w:fill="auto"/>
          </w:tcPr>
          <w:p w14:paraId="7AAFE2E4" w14:textId="77777777" w:rsidR="00A6709E" w:rsidRPr="00863EE4" w:rsidRDefault="00000000" w:rsidP="00A6709E">
            <w:pPr>
              <w:widowControl w:val="0"/>
              <w:autoSpaceDE w:val="0"/>
              <w:autoSpaceDN w:val="0"/>
              <w:adjustRightInd w:val="0"/>
              <w:rPr>
                <w:rFonts w:ascii="Arial" w:hAnsi="Arial" w:cs="Arial"/>
                <w:b/>
                <w:bCs/>
                <w:color w:val="000000" w:themeColor="text1"/>
                <w:sz w:val="20"/>
                <w:szCs w:val="20"/>
                <w:lang w:val="en-GB"/>
              </w:rPr>
            </w:pPr>
            <w:r w:rsidRPr="00863EE4">
              <w:rPr>
                <w:rFonts w:ascii="Arial" w:hAnsi="Arial" w:cs="Arial"/>
                <w:b/>
                <w:bCs/>
                <w:color w:val="000000" w:themeColor="text1"/>
                <w:sz w:val="20"/>
                <w:szCs w:val="20"/>
                <w:lang w:val="en-GB"/>
              </w:rPr>
              <w:t>Laboratory data</w:t>
            </w:r>
          </w:p>
        </w:tc>
        <w:tc>
          <w:tcPr>
            <w:tcW w:w="992" w:type="dxa"/>
            <w:tcBorders>
              <w:top w:val="nil"/>
              <w:left w:val="nil"/>
              <w:bottom w:val="nil"/>
              <w:right w:val="nil"/>
            </w:tcBorders>
            <w:shd w:val="solid" w:color="C0C0C0" w:fill="auto"/>
          </w:tcPr>
          <w:p w14:paraId="48A03F7C"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shd w:val="solid" w:color="C0C0C0" w:fill="auto"/>
          </w:tcPr>
          <w:p w14:paraId="46B05F39"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1418" w:type="dxa"/>
            <w:tcBorders>
              <w:top w:val="nil"/>
              <w:left w:val="nil"/>
              <w:bottom w:val="nil"/>
              <w:right w:val="nil"/>
            </w:tcBorders>
            <w:shd w:val="solid" w:color="C0C0C0" w:fill="auto"/>
          </w:tcPr>
          <w:p w14:paraId="7741EC1D" w14:textId="77777777" w:rsidR="00A6709E" w:rsidRPr="00863EE4" w:rsidRDefault="00A6709E" w:rsidP="00A6709E">
            <w:pPr>
              <w:widowControl w:val="0"/>
              <w:autoSpaceDE w:val="0"/>
              <w:autoSpaceDN w:val="0"/>
              <w:adjustRightInd w:val="0"/>
              <w:jc w:val="right"/>
              <w:rPr>
                <w:rFonts w:ascii="Arial" w:hAnsi="Arial" w:cs="Arial"/>
                <w:color w:val="000000" w:themeColor="text1"/>
                <w:sz w:val="20"/>
                <w:szCs w:val="20"/>
                <w:lang w:val="en-GB"/>
              </w:rPr>
            </w:pPr>
          </w:p>
        </w:tc>
        <w:tc>
          <w:tcPr>
            <w:tcW w:w="7308" w:type="dxa"/>
            <w:tcBorders>
              <w:top w:val="nil"/>
              <w:left w:val="nil"/>
              <w:bottom w:val="nil"/>
              <w:right w:val="nil"/>
            </w:tcBorders>
            <w:shd w:val="solid" w:color="C0C0C0" w:fill="auto"/>
          </w:tcPr>
          <w:p w14:paraId="370C0FA5" w14:textId="77777777" w:rsidR="00A6709E" w:rsidRPr="00863EE4" w:rsidRDefault="00A6709E" w:rsidP="00A6709E">
            <w:pPr>
              <w:widowControl w:val="0"/>
              <w:autoSpaceDE w:val="0"/>
              <w:autoSpaceDN w:val="0"/>
              <w:adjustRightInd w:val="0"/>
              <w:jc w:val="right"/>
              <w:rPr>
                <w:rFonts w:ascii="Arial" w:hAnsi="Arial" w:cs="Arial"/>
                <w:color w:val="000000" w:themeColor="text1"/>
                <w:sz w:val="20"/>
                <w:szCs w:val="20"/>
                <w:lang w:val="en-GB"/>
              </w:rPr>
            </w:pPr>
          </w:p>
        </w:tc>
      </w:tr>
      <w:tr w:rsidR="00863EE4" w:rsidRPr="00863EE4" w14:paraId="46BF054B" w14:textId="77777777">
        <w:trPr>
          <w:trHeight w:val="342"/>
        </w:trPr>
        <w:tc>
          <w:tcPr>
            <w:tcW w:w="4962" w:type="dxa"/>
            <w:tcBorders>
              <w:top w:val="nil"/>
              <w:left w:val="nil"/>
              <w:bottom w:val="nil"/>
              <w:right w:val="nil"/>
            </w:tcBorders>
          </w:tcPr>
          <w:p w14:paraId="58F21D93"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Albumin, g/dL (Standardised)</w:t>
            </w:r>
          </w:p>
        </w:tc>
        <w:tc>
          <w:tcPr>
            <w:tcW w:w="992" w:type="dxa"/>
            <w:tcBorders>
              <w:top w:val="nil"/>
              <w:left w:val="nil"/>
              <w:bottom w:val="nil"/>
              <w:right w:val="nil"/>
            </w:tcBorders>
          </w:tcPr>
          <w:p w14:paraId="5B656765"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tcPr>
          <w:p w14:paraId="5C3C631C"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13B305B6"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55EED71B"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at the hospital</w:t>
            </w:r>
          </w:p>
        </w:tc>
      </w:tr>
      <w:tr w:rsidR="00863EE4" w:rsidRPr="00863EE4" w14:paraId="32458209" w14:textId="77777777">
        <w:trPr>
          <w:trHeight w:val="342"/>
        </w:trPr>
        <w:tc>
          <w:tcPr>
            <w:tcW w:w="4962" w:type="dxa"/>
            <w:tcBorders>
              <w:top w:val="nil"/>
              <w:left w:val="nil"/>
              <w:bottom w:val="nil"/>
              <w:right w:val="nil"/>
            </w:tcBorders>
          </w:tcPr>
          <w:p w14:paraId="293AE9F6"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Creatinine, mg/dL (Standardised)</w:t>
            </w:r>
          </w:p>
        </w:tc>
        <w:tc>
          <w:tcPr>
            <w:tcW w:w="992" w:type="dxa"/>
            <w:tcBorders>
              <w:top w:val="nil"/>
              <w:left w:val="nil"/>
              <w:bottom w:val="nil"/>
              <w:right w:val="nil"/>
            </w:tcBorders>
          </w:tcPr>
          <w:p w14:paraId="542E426E"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tcPr>
          <w:p w14:paraId="0DB75B6B"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4E3AC919"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4041AAE2"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at the hospital</w:t>
            </w:r>
          </w:p>
        </w:tc>
      </w:tr>
      <w:tr w:rsidR="00863EE4" w:rsidRPr="00863EE4" w14:paraId="5AA5D176" w14:textId="77777777">
        <w:trPr>
          <w:trHeight w:val="342"/>
        </w:trPr>
        <w:tc>
          <w:tcPr>
            <w:tcW w:w="4962" w:type="dxa"/>
            <w:tcBorders>
              <w:top w:val="nil"/>
              <w:left w:val="nil"/>
              <w:bottom w:val="nil"/>
              <w:right w:val="nil"/>
            </w:tcBorders>
          </w:tcPr>
          <w:p w14:paraId="2F9A5642"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Potassium, mEq/L (Standardised)</w:t>
            </w:r>
          </w:p>
        </w:tc>
        <w:tc>
          <w:tcPr>
            <w:tcW w:w="992" w:type="dxa"/>
            <w:tcBorders>
              <w:top w:val="nil"/>
              <w:left w:val="nil"/>
              <w:bottom w:val="nil"/>
              <w:right w:val="nil"/>
            </w:tcBorders>
          </w:tcPr>
          <w:p w14:paraId="4EEBE44A"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tcPr>
          <w:p w14:paraId="4AA1BB35"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3997AF4E"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0B2D0F04"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at the hospital</w:t>
            </w:r>
          </w:p>
        </w:tc>
      </w:tr>
      <w:tr w:rsidR="00863EE4" w:rsidRPr="00863EE4" w14:paraId="1194AA81" w14:textId="77777777">
        <w:trPr>
          <w:trHeight w:val="342"/>
        </w:trPr>
        <w:tc>
          <w:tcPr>
            <w:tcW w:w="4962" w:type="dxa"/>
            <w:tcBorders>
              <w:top w:val="nil"/>
              <w:left w:val="nil"/>
              <w:bottom w:val="nil"/>
              <w:right w:val="nil"/>
            </w:tcBorders>
          </w:tcPr>
          <w:p w14:paraId="266180DF"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Glucose, mg/dL (Standardised)</w:t>
            </w:r>
          </w:p>
        </w:tc>
        <w:tc>
          <w:tcPr>
            <w:tcW w:w="992" w:type="dxa"/>
            <w:tcBorders>
              <w:top w:val="nil"/>
              <w:left w:val="nil"/>
              <w:bottom w:val="nil"/>
              <w:right w:val="nil"/>
            </w:tcBorders>
          </w:tcPr>
          <w:p w14:paraId="0599BF29"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tcPr>
          <w:p w14:paraId="76473AB1"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bottom w:val="nil"/>
              <w:right w:val="nil"/>
            </w:tcBorders>
          </w:tcPr>
          <w:p w14:paraId="25A39E59"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bottom w:val="nil"/>
              <w:right w:val="nil"/>
            </w:tcBorders>
          </w:tcPr>
          <w:p w14:paraId="10FE9487"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r w:rsidR="00863EE4" w:rsidRPr="00863EE4" w14:paraId="7DD136B4" w14:textId="77777777" w:rsidTr="00A6709E">
        <w:trPr>
          <w:trHeight w:val="362"/>
        </w:trPr>
        <w:tc>
          <w:tcPr>
            <w:tcW w:w="4962" w:type="dxa"/>
            <w:tcBorders>
              <w:top w:val="nil"/>
              <w:left w:val="nil"/>
              <w:right w:val="nil"/>
            </w:tcBorders>
          </w:tcPr>
          <w:p w14:paraId="0F5DD7D4"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pH (Standardised)</w:t>
            </w:r>
          </w:p>
        </w:tc>
        <w:tc>
          <w:tcPr>
            <w:tcW w:w="992" w:type="dxa"/>
            <w:tcBorders>
              <w:top w:val="nil"/>
              <w:left w:val="nil"/>
              <w:right w:val="nil"/>
            </w:tcBorders>
          </w:tcPr>
          <w:p w14:paraId="1E2DA600"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right w:val="nil"/>
            </w:tcBorders>
          </w:tcPr>
          <w:p w14:paraId="58461A80"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right w:val="nil"/>
            </w:tcBorders>
          </w:tcPr>
          <w:p w14:paraId="14738BCD"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right w:val="nil"/>
            </w:tcBorders>
          </w:tcPr>
          <w:p w14:paraId="2FC6EF25"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r w:rsidR="00863EE4" w:rsidRPr="00863EE4" w14:paraId="7E511B66" w14:textId="77777777">
        <w:trPr>
          <w:trHeight w:val="342"/>
        </w:trPr>
        <w:tc>
          <w:tcPr>
            <w:tcW w:w="4962" w:type="dxa"/>
            <w:tcBorders>
              <w:top w:val="nil"/>
              <w:left w:val="nil"/>
              <w:bottom w:val="nil"/>
              <w:right w:val="nil"/>
            </w:tcBorders>
          </w:tcPr>
          <w:p w14:paraId="5E2C968B"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pCO</w:t>
            </w:r>
            <w:r w:rsidRPr="00863EE4">
              <w:rPr>
                <w:rFonts w:ascii="Arial" w:hAnsi="Arial" w:cs="Arial"/>
                <w:color w:val="000000" w:themeColor="text1"/>
                <w:sz w:val="20"/>
                <w:szCs w:val="20"/>
                <w:vertAlign w:val="subscript"/>
                <w:lang w:val="en-GB"/>
              </w:rPr>
              <w:t>2</w:t>
            </w:r>
            <w:r w:rsidRPr="00863EE4">
              <w:rPr>
                <w:rFonts w:ascii="Arial" w:hAnsi="Arial" w:cs="Arial"/>
                <w:color w:val="000000" w:themeColor="text1"/>
                <w:sz w:val="20"/>
                <w:szCs w:val="20"/>
                <w:lang w:val="en-GB"/>
              </w:rPr>
              <w:t>, mmHg (Standardised)</w:t>
            </w:r>
          </w:p>
        </w:tc>
        <w:tc>
          <w:tcPr>
            <w:tcW w:w="992" w:type="dxa"/>
            <w:tcBorders>
              <w:top w:val="nil"/>
              <w:left w:val="nil"/>
              <w:bottom w:val="nil"/>
              <w:right w:val="nil"/>
            </w:tcBorders>
          </w:tcPr>
          <w:p w14:paraId="6F9835C6"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bottom w:val="nil"/>
              <w:right w:val="nil"/>
            </w:tcBorders>
          </w:tcPr>
          <w:p w14:paraId="3D53E09F"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right w:val="nil"/>
            </w:tcBorders>
          </w:tcPr>
          <w:p w14:paraId="55DCF89F"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right w:val="nil"/>
            </w:tcBorders>
          </w:tcPr>
          <w:p w14:paraId="193AC2D5"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r w:rsidR="00863EE4" w:rsidRPr="00863EE4" w14:paraId="2C78EAE3" w14:textId="77777777" w:rsidTr="00A6709E">
        <w:trPr>
          <w:trHeight w:val="342"/>
        </w:trPr>
        <w:tc>
          <w:tcPr>
            <w:tcW w:w="4962" w:type="dxa"/>
            <w:tcBorders>
              <w:top w:val="nil"/>
              <w:left w:val="nil"/>
              <w:right w:val="nil"/>
            </w:tcBorders>
          </w:tcPr>
          <w:p w14:paraId="089516D6"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Base excess, mEq/L (Standardised)</w:t>
            </w:r>
          </w:p>
        </w:tc>
        <w:tc>
          <w:tcPr>
            <w:tcW w:w="992" w:type="dxa"/>
            <w:tcBorders>
              <w:top w:val="nil"/>
              <w:left w:val="nil"/>
              <w:right w:val="nil"/>
            </w:tcBorders>
          </w:tcPr>
          <w:p w14:paraId="5A99D01B"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right w:val="nil"/>
            </w:tcBorders>
          </w:tcPr>
          <w:p w14:paraId="59D176C5" w14:textId="77777777" w:rsidR="00A6709E" w:rsidRPr="00863EE4" w:rsidRDefault="00000000" w:rsidP="00A6709E">
            <w:pPr>
              <w:widowControl w:val="0"/>
              <w:autoSpaceDE w:val="0"/>
              <w:autoSpaceDN w:val="0"/>
              <w:adjustRightInd w:val="0"/>
              <w:jc w:val="center"/>
              <w:rPr>
                <w:rFonts w:ascii="Segoe UI Symbol" w:hAnsi="Segoe UI Symbol" w:cs="Segoe UI Symbol"/>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right w:val="nil"/>
            </w:tcBorders>
          </w:tcPr>
          <w:p w14:paraId="53C65109"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right w:val="nil"/>
            </w:tcBorders>
          </w:tcPr>
          <w:p w14:paraId="7A1FAE91"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r w:rsidR="00863EE4" w:rsidRPr="00863EE4" w14:paraId="0A2894C6" w14:textId="77777777" w:rsidTr="00A6709E">
        <w:trPr>
          <w:trHeight w:val="342"/>
        </w:trPr>
        <w:tc>
          <w:tcPr>
            <w:tcW w:w="4962" w:type="dxa"/>
            <w:tcBorders>
              <w:top w:val="nil"/>
              <w:left w:val="nil"/>
              <w:right w:val="nil"/>
            </w:tcBorders>
          </w:tcPr>
          <w:p w14:paraId="35D7C3D5"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HCO3-, mEq/L (Standardised)</w:t>
            </w:r>
          </w:p>
        </w:tc>
        <w:tc>
          <w:tcPr>
            <w:tcW w:w="992" w:type="dxa"/>
            <w:tcBorders>
              <w:top w:val="nil"/>
              <w:left w:val="nil"/>
              <w:right w:val="nil"/>
            </w:tcBorders>
          </w:tcPr>
          <w:p w14:paraId="31809327"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top w:val="nil"/>
              <w:left w:val="nil"/>
              <w:right w:val="nil"/>
            </w:tcBorders>
          </w:tcPr>
          <w:p w14:paraId="2C9A11AA" w14:textId="77777777" w:rsidR="00A6709E" w:rsidRPr="00863EE4" w:rsidRDefault="00000000" w:rsidP="00A6709E">
            <w:pPr>
              <w:widowControl w:val="0"/>
              <w:autoSpaceDE w:val="0"/>
              <w:autoSpaceDN w:val="0"/>
              <w:adjustRightInd w:val="0"/>
              <w:jc w:val="center"/>
              <w:rPr>
                <w:rFonts w:ascii="Segoe UI Symbol" w:hAnsi="Segoe UI Symbol" w:cs="Segoe UI Symbol"/>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top w:val="nil"/>
              <w:left w:val="nil"/>
              <w:right w:val="nil"/>
            </w:tcBorders>
          </w:tcPr>
          <w:p w14:paraId="2DA48013"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top w:val="nil"/>
              <w:left w:val="nil"/>
              <w:right w:val="nil"/>
            </w:tcBorders>
          </w:tcPr>
          <w:p w14:paraId="1AD22029"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r w:rsidR="00863EE4" w:rsidRPr="00863EE4" w14:paraId="00A77411" w14:textId="77777777" w:rsidTr="00A6709E">
        <w:trPr>
          <w:trHeight w:val="342"/>
        </w:trPr>
        <w:tc>
          <w:tcPr>
            <w:tcW w:w="4962" w:type="dxa"/>
            <w:tcBorders>
              <w:left w:val="nil"/>
              <w:bottom w:val="single" w:sz="12" w:space="0" w:color="auto"/>
              <w:right w:val="nil"/>
            </w:tcBorders>
          </w:tcPr>
          <w:p w14:paraId="51E0152B"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Lactate, mEq/L (Standardised)</w:t>
            </w:r>
          </w:p>
        </w:tc>
        <w:tc>
          <w:tcPr>
            <w:tcW w:w="992" w:type="dxa"/>
            <w:tcBorders>
              <w:left w:val="nil"/>
              <w:bottom w:val="single" w:sz="12" w:space="0" w:color="auto"/>
              <w:right w:val="nil"/>
            </w:tcBorders>
          </w:tcPr>
          <w:p w14:paraId="1C98F707" w14:textId="77777777" w:rsidR="00A6709E" w:rsidRPr="00863EE4" w:rsidRDefault="00A6709E" w:rsidP="00A6709E">
            <w:pPr>
              <w:widowControl w:val="0"/>
              <w:autoSpaceDE w:val="0"/>
              <w:autoSpaceDN w:val="0"/>
              <w:adjustRightInd w:val="0"/>
              <w:jc w:val="center"/>
              <w:rPr>
                <w:rFonts w:ascii="Arial" w:hAnsi="Arial" w:cs="Arial"/>
                <w:color w:val="000000" w:themeColor="text1"/>
                <w:sz w:val="20"/>
                <w:szCs w:val="20"/>
                <w:lang w:val="en-GB"/>
              </w:rPr>
            </w:pPr>
          </w:p>
        </w:tc>
        <w:tc>
          <w:tcPr>
            <w:tcW w:w="992" w:type="dxa"/>
            <w:tcBorders>
              <w:left w:val="nil"/>
              <w:bottom w:val="single" w:sz="12" w:space="0" w:color="auto"/>
              <w:right w:val="nil"/>
            </w:tcBorders>
          </w:tcPr>
          <w:p w14:paraId="33498A4E" w14:textId="77777777" w:rsidR="00A6709E" w:rsidRPr="00863EE4" w:rsidRDefault="00000000" w:rsidP="00A6709E">
            <w:pPr>
              <w:widowControl w:val="0"/>
              <w:autoSpaceDE w:val="0"/>
              <w:autoSpaceDN w:val="0"/>
              <w:adjustRightInd w:val="0"/>
              <w:jc w:val="center"/>
              <w:rPr>
                <w:rFonts w:ascii="Times New Roman" w:hAnsi="Times New Roman" w:cs="Times New Roman"/>
                <w:color w:val="000000" w:themeColor="text1"/>
                <w:sz w:val="20"/>
                <w:szCs w:val="20"/>
                <w:lang w:val="en-GB"/>
              </w:rPr>
            </w:pPr>
            <w:r w:rsidRPr="00863EE4">
              <w:rPr>
                <w:rFonts w:ascii="Segoe UI Symbol" w:hAnsi="Segoe UI Symbol" w:cs="Segoe UI Symbol"/>
                <w:color w:val="000000" w:themeColor="text1"/>
                <w:sz w:val="20"/>
                <w:szCs w:val="20"/>
                <w:lang w:val="en-GB"/>
              </w:rPr>
              <w:t>◯</w:t>
            </w:r>
          </w:p>
        </w:tc>
        <w:tc>
          <w:tcPr>
            <w:tcW w:w="1418" w:type="dxa"/>
            <w:tcBorders>
              <w:left w:val="nil"/>
              <w:bottom w:val="single" w:sz="12" w:space="0" w:color="auto"/>
              <w:right w:val="nil"/>
            </w:tcBorders>
          </w:tcPr>
          <w:p w14:paraId="274BA61C"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Continuous</w:t>
            </w:r>
          </w:p>
        </w:tc>
        <w:tc>
          <w:tcPr>
            <w:tcW w:w="7308" w:type="dxa"/>
            <w:tcBorders>
              <w:left w:val="nil"/>
              <w:bottom w:val="single" w:sz="12" w:space="0" w:color="auto"/>
              <w:right w:val="nil"/>
            </w:tcBorders>
          </w:tcPr>
          <w:p w14:paraId="1C30367F" w14:textId="77777777" w:rsidR="00A6709E" w:rsidRPr="00863EE4" w:rsidRDefault="00000000" w:rsidP="00A6709E">
            <w:pPr>
              <w:widowControl w:val="0"/>
              <w:autoSpaceDE w:val="0"/>
              <w:autoSpaceDN w:val="0"/>
              <w:adjustRightInd w:val="0"/>
              <w:rPr>
                <w:rFonts w:ascii="Arial" w:hAnsi="Arial" w:cs="Arial"/>
                <w:color w:val="000000" w:themeColor="text1"/>
                <w:sz w:val="20"/>
                <w:szCs w:val="20"/>
                <w:lang w:val="en-GB"/>
              </w:rPr>
            </w:pPr>
            <w:r w:rsidRPr="00863EE4">
              <w:rPr>
                <w:rFonts w:ascii="Arial" w:hAnsi="Arial" w:cs="Arial"/>
                <w:color w:val="000000" w:themeColor="text1"/>
                <w:sz w:val="20"/>
                <w:szCs w:val="20"/>
                <w:lang w:val="en-GB"/>
              </w:rPr>
              <w:t>The first available value within 3 hours of ROSC</w:t>
            </w:r>
          </w:p>
        </w:tc>
      </w:tr>
    </w:tbl>
    <w:p w14:paraId="331C600E" w14:textId="020B5F61" w:rsidR="00F84960" w:rsidRPr="00863EE4" w:rsidRDefault="00000000">
      <w:pPr>
        <w:rPr>
          <w:rFonts w:ascii="Arial" w:hAnsi="Arial" w:cs="Arial"/>
          <w:color w:val="000000" w:themeColor="text1"/>
          <w:lang w:val="en-GB"/>
        </w:rPr>
      </w:pPr>
      <w:r w:rsidRPr="00863EE4">
        <w:rPr>
          <w:rFonts w:ascii="Arial" w:hAnsi="Arial" w:cs="Arial"/>
          <w:color w:val="000000" w:themeColor="text1"/>
          <w:lang w:val="en-GB"/>
        </w:rPr>
        <w:t>IQR, Interquartile range; VF, ventricular fibrillation; pVT, pulseless ventricular tachycardia; PEA, pulseless electrical activity; ROSC, return of spontaneous circulation; CPR, cardiopulmonary resuscitation; EMS, emergency medical services; CPC, Cerebral Performance Category</w:t>
      </w:r>
      <w:r w:rsidR="005A237E" w:rsidRPr="00863EE4">
        <w:rPr>
          <w:rFonts w:ascii="Arial" w:hAnsi="Arial" w:cs="Arial"/>
          <w:color w:val="000000" w:themeColor="text1"/>
          <w:lang w:val="en-GB"/>
        </w:rPr>
        <w:t>.</w:t>
      </w:r>
    </w:p>
    <w:p w14:paraId="629DD58C" w14:textId="60DA5795" w:rsidR="00F84960" w:rsidRPr="00863EE4" w:rsidRDefault="00000000" w:rsidP="005A237E">
      <w:pPr>
        <w:rPr>
          <w:rFonts w:ascii="Arial" w:hAnsi="Arial" w:cs="Arial"/>
          <w:color w:val="000000" w:themeColor="text1"/>
          <w:lang w:val="en-GB"/>
        </w:rPr>
      </w:pPr>
      <w:r w:rsidRPr="00863EE4">
        <w:rPr>
          <w:rFonts w:ascii="Arial" w:hAnsi="Arial" w:cs="Arial"/>
          <w:color w:val="000000" w:themeColor="text1"/>
          <w:vertAlign w:val="superscript"/>
          <w:lang w:val="en-GB"/>
        </w:rPr>
        <w:t xml:space="preserve">a </w:t>
      </w:r>
      <w:r w:rsidRPr="00863EE4">
        <w:rPr>
          <w:rFonts w:ascii="Arial" w:hAnsi="Arial" w:cs="Arial"/>
          <w:color w:val="000000" w:themeColor="text1"/>
          <w:lang w:val="en-GB"/>
        </w:rPr>
        <w:t>No flow time was obtained for patients with OHCA</w:t>
      </w:r>
      <w:r w:rsidR="005A237E" w:rsidRPr="00863EE4">
        <w:rPr>
          <w:rFonts w:ascii="Arial" w:hAnsi="Arial" w:cs="Arial"/>
          <w:color w:val="000000" w:themeColor="text1"/>
          <w:lang w:val="en-GB"/>
        </w:rPr>
        <w:t xml:space="preserve"> witnesses</w:t>
      </w:r>
    </w:p>
    <w:p w14:paraId="5C1646BE" w14:textId="77777777" w:rsidR="00F84960" w:rsidRPr="00863EE4" w:rsidRDefault="00F84960">
      <w:pPr>
        <w:rPr>
          <w:rFonts w:ascii="Times New Roman" w:hAnsi="Times New Roman" w:cs="Times New Roman"/>
          <w:b/>
          <w:bCs/>
          <w:color w:val="000000" w:themeColor="text1"/>
          <w:lang w:val="en-GB"/>
        </w:rPr>
        <w:sectPr w:rsidR="00F84960" w:rsidRPr="00863EE4">
          <w:pgSz w:w="16838" w:h="11906" w:orient="landscape"/>
          <w:pgMar w:top="720" w:right="720" w:bottom="720" w:left="720" w:header="851" w:footer="992" w:gutter="0"/>
          <w:cols w:space="425"/>
          <w:docGrid w:type="lines" w:linePitch="360"/>
        </w:sectPr>
      </w:pPr>
    </w:p>
    <w:p w14:paraId="5DA4D850" w14:textId="77777777" w:rsidR="00F84960"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Supplementary Table 2. Patient characteristics</w:t>
      </w:r>
      <w:r w:rsidR="005A237E" w:rsidRPr="00863EE4">
        <w:rPr>
          <w:rFonts w:ascii="Times New Roman" w:hAnsi="Times New Roman" w:cs="Times New Roman"/>
          <w:b/>
          <w:bCs/>
          <w:color w:val="000000" w:themeColor="text1"/>
          <w:lang w:val="en-GB"/>
        </w:rPr>
        <w:t>,</w:t>
      </w:r>
      <w:r w:rsidRPr="00863EE4">
        <w:rPr>
          <w:rFonts w:ascii="Times New Roman" w:hAnsi="Times New Roman" w:cs="Times New Roman"/>
          <w:b/>
          <w:bCs/>
          <w:color w:val="000000" w:themeColor="text1"/>
          <w:lang w:val="en-GB"/>
        </w:rPr>
        <w:t xml:space="preserve"> including missing values</w:t>
      </w:r>
      <w:r w:rsidR="005A237E" w:rsidRPr="00863EE4">
        <w:rPr>
          <w:rFonts w:ascii="Times New Roman" w:hAnsi="Times New Roman" w:cs="Times New Roman"/>
          <w:b/>
          <w:bCs/>
          <w:color w:val="000000" w:themeColor="text1"/>
          <w:lang w:val="en-GB"/>
        </w:rPr>
        <w:t>,</w:t>
      </w:r>
      <w:r w:rsidRPr="00863EE4">
        <w:rPr>
          <w:rFonts w:ascii="Times New Roman" w:hAnsi="Times New Roman" w:cs="Times New Roman"/>
          <w:b/>
          <w:bCs/>
          <w:color w:val="000000" w:themeColor="text1"/>
          <w:lang w:val="en-GB"/>
        </w:rPr>
        <w:t xml:space="preserve"> by datasets</w:t>
      </w:r>
    </w:p>
    <w:tbl>
      <w:tblPr>
        <w:tblW w:w="10940" w:type="dxa"/>
        <w:tblCellMar>
          <w:left w:w="99" w:type="dxa"/>
          <w:right w:w="99" w:type="dxa"/>
        </w:tblCellMar>
        <w:tblLook w:val="04A0" w:firstRow="1" w:lastRow="0" w:firstColumn="1" w:lastColumn="0" w:noHBand="0" w:noVBand="1"/>
      </w:tblPr>
      <w:tblGrid>
        <w:gridCol w:w="240"/>
        <w:gridCol w:w="6240"/>
        <w:gridCol w:w="400"/>
        <w:gridCol w:w="1900"/>
        <w:gridCol w:w="260"/>
        <w:gridCol w:w="1900"/>
      </w:tblGrid>
      <w:tr w:rsidR="00863EE4" w:rsidRPr="00863EE4" w14:paraId="79A29F77" w14:textId="77777777" w:rsidTr="00C747BB">
        <w:trPr>
          <w:trHeight w:val="340"/>
        </w:trPr>
        <w:tc>
          <w:tcPr>
            <w:tcW w:w="240" w:type="dxa"/>
            <w:tcBorders>
              <w:top w:val="nil"/>
              <w:left w:val="nil"/>
              <w:bottom w:val="nil"/>
              <w:right w:val="nil"/>
            </w:tcBorders>
            <w:shd w:val="clear" w:color="000000" w:fill="FFFFFF"/>
            <w:noWrap/>
            <w:vAlign w:val="center"/>
            <w:hideMark/>
          </w:tcPr>
          <w:p w14:paraId="180B677B"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t xml:space="preserve">　</w:t>
            </w:r>
          </w:p>
        </w:tc>
        <w:tc>
          <w:tcPr>
            <w:tcW w:w="6240" w:type="dxa"/>
            <w:tcBorders>
              <w:top w:val="single" w:sz="4" w:space="0" w:color="auto"/>
              <w:left w:val="nil"/>
              <w:bottom w:val="nil"/>
              <w:right w:val="nil"/>
            </w:tcBorders>
            <w:shd w:val="clear" w:color="000000" w:fill="FFFFFF"/>
            <w:vAlign w:val="center"/>
            <w:hideMark/>
          </w:tcPr>
          <w:p w14:paraId="088D9B2D"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400" w:type="dxa"/>
            <w:tcBorders>
              <w:top w:val="single" w:sz="4" w:space="0" w:color="auto"/>
              <w:left w:val="nil"/>
              <w:bottom w:val="nil"/>
              <w:right w:val="nil"/>
            </w:tcBorders>
            <w:shd w:val="clear" w:color="auto" w:fill="auto"/>
            <w:noWrap/>
            <w:vAlign w:val="bottom"/>
            <w:hideMark/>
          </w:tcPr>
          <w:p w14:paraId="3B86B762" w14:textId="77777777" w:rsidR="00171D18" w:rsidRPr="00863EE4" w:rsidRDefault="00171D18">
            <w:pPr>
              <w:jc w:val="center"/>
              <w:rPr>
                <w:rFonts w:ascii="Arial" w:hAnsi="Arial" w:cs="Arial"/>
                <w:color w:val="000000" w:themeColor="text1"/>
              </w:rPr>
            </w:pPr>
          </w:p>
        </w:tc>
        <w:tc>
          <w:tcPr>
            <w:tcW w:w="1900" w:type="dxa"/>
            <w:tcBorders>
              <w:top w:val="single" w:sz="4" w:space="0" w:color="auto"/>
              <w:left w:val="nil"/>
              <w:bottom w:val="nil"/>
              <w:right w:val="nil"/>
            </w:tcBorders>
            <w:shd w:val="clear" w:color="auto" w:fill="auto"/>
            <w:noWrap/>
            <w:vAlign w:val="center"/>
            <w:hideMark/>
          </w:tcPr>
          <w:p w14:paraId="3A36009F"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Derivation set</w:t>
            </w:r>
          </w:p>
        </w:tc>
        <w:tc>
          <w:tcPr>
            <w:tcW w:w="260" w:type="dxa"/>
            <w:tcBorders>
              <w:top w:val="single" w:sz="4" w:space="0" w:color="auto"/>
              <w:left w:val="nil"/>
              <w:bottom w:val="nil"/>
              <w:right w:val="nil"/>
            </w:tcBorders>
            <w:shd w:val="clear" w:color="auto" w:fill="auto"/>
            <w:noWrap/>
            <w:vAlign w:val="center"/>
            <w:hideMark/>
          </w:tcPr>
          <w:p w14:paraId="44C29B51" w14:textId="77777777" w:rsidR="00171D18" w:rsidRPr="00863EE4" w:rsidRDefault="00171D18">
            <w:pPr>
              <w:jc w:val="center"/>
              <w:rPr>
                <w:rFonts w:ascii="Arial" w:hAnsi="Arial" w:cs="Arial"/>
                <w:color w:val="000000" w:themeColor="text1"/>
              </w:rPr>
            </w:pPr>
          </w:p>
        </w:tc>
        <w:tc>
          <w:tcPr>
            <w:tcW w:w="1900" w:type="dxa"/>
            <w:tcBorders>
              <w:top w:val="single" w:sz="4" w:space="0" w:color="auto"/>
              <w:left w:val="nil"/>
              <w:bottom w:val="nil"/>
              <w:right w:val="nil"/>
            </w:tcBorders>
            <w:shd w:val="clear" w:color="auto" w:fill="auto"/>
            <w:noWrap/>
            <w:vAlign w:val="center"/>
            <w:hideMark/>
          </w:tcPr>
          <w:p w14:paraId="78CD5E2B"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Validation set</w:t>
            </w:r>
          </w:p>
        </w:tc>
      </w:tr>
      <w:tr w:rsidR="00863EE4" w:rsidRPr="00863EE4" w14:paraId="6B6DF7AC" w14:textId="77777777" w:rsidTr="00171D18">
        <w:trPr>
          <w:trHeight w:val="340"/>
        </w:trPr>
        <w:tc>
          <w:tcPr>
            <w:tcW w:w="240" w:type="dxa"/>
            <w:tcBorders>
              <w:top w:val="nil"/>
              <w:left w:val="nil"/>
              <w:bottom w:val="nil"/>
              <w:right w:val="nil"/>
            </w:tcBorders>
            <w:shd w:val="clear" w:color="000000" w:fill="FFFFFF"/>
            <w:noWrap/>
            <w:vAlign w:val="center"/>
            <w:hideMark/>
          </w:tcPr>
          <w:p w14:paraId="6ECC7E35"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t xml:space="preserve">　</w:t>
            </w:r>
          </w:p>
        </w:tc>
        <w:tc>
          <w:tcPr>
            <w:tcW w:w="6240" w:type="dxa"/>
            <w:tcBorders>
              <w:top w:val="nil"/>
              <w:left w:val="nil"/>
              <w:bottom w:val="nil"/>
              <w:right w:val="nil"/>
            </w:tcBorders>
            <w:shd w:val="clear" w:color="000000" w:fill="FFFFFF"/>
            <w:vAlign w:val="center"/>
            <w:hideMark/>
          </w:tcPr>
          <w:p w14:paraId="36129956"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400" w:type="dxa"/>
            <w:tcBorders>
              <w:top w:val="nil"/>
              <w:left w:val="nil"/>
              <w:bottom w:val="nil"/>
              <w:right w:val="nil"/>
            </w:tcBorders>
            <w:shd w:val="clear" w:color="auto" w:fill="auto"/>
            <w:noWrap/>
            <w:vAlign w:val="bottom"/>
            <w:hideMark/>
          </w:tcPr>
          <w:p w14:paraId="0291493E" w14:textId="77777777" w:rsidR="00171D18" w:rsidRPr="00863EE4" w:rsidRDefault="00171D18">
            <w:pPr>
              <w:jc w:val="center"/>
              <w:rPr>
                <w:rFonts w:ascii="Arial" w:hAnsi="Arial" w:cs="Arial"/>
                <w:color w:val="000000" w:themeColor="text1"/>
              </w:rPr>
            </w:pPr>
          </w:p>
        </w:tc>
        <w:tc>
          <w:tcPr>
            <w:tcW w:w="1900" w:type="dxa"/>
            <w:tcBorders>
              <w:top w:val="nil"/>
              <w:left w:val="nil"/>
              <w:bottom w:val="nil"/>
              <w:right w:val="nil"/>
            </w:tcBorders>
            <w:shd w:val="clear" w:color="000000" w:fill="FFFFFF"/>
            <w:vAlign w:val="center"/>
            <w:hideMark/>
          </w:tcPr>
          <w:p w14:paraId="1AB39090"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(n = 3337)</w:t>
            </w:r>
          </w:p>
        </w:tc>
        <w:tc>
          <w:tcPr>
            <w:tcW w:w="260" w:type="dxa"/>
            <w:tcBorders>
              <w:top w:val="nil"/>
              <w:left w:val="nil"/>
              <w:bottom w:val="nil"/>
              <w:right w:val="nil"/>
            </w:tcBorders>
            <w:shd w:val="clear" w:color="000000" w:fill="FFFFFF"/>
            <w:vAlign w:val="center"/>
            <w:hideMark/>
          </w:tcPr>
          <w:p w14:paraId="75BDB143"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1900" w:type="dxa"/>
            <w:tcBorders>
              <w:top w:val="nil"/>
              <w:left w:val="nil"/>
              <w:bottom w:val="nil"/>
              <w:right w:val="nil"/>
            </w:tcBorders>
            <w:shd w:val="clear" w:color="000000" w:fill="FFFFFF"/>
            <w:vAlign w:val="center"/>
            <w:hideMark/>
          </w:tcPr>
          <w:p w14:paraId="09465D17"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(n = 4250)</w:t>
            </w:r>
          </w:p>
        </w:tc>
      </w:tr>
      <w:tr w:rsidR="00863EE4" w:rsidRPr="00863EE4" w14:paraId="3E030C2D" w14:textId="77777777" w:rsidTr="00171D18">
        <w:trPr>
          <w:trHeight w:val="340"/>
        </w:trPr>
        <w:tc>
          <w:tcPr>
            <w:tcW w:w="240" w:type="dxa"/>
            <w:tcBorders>
              <w:top w:val="nil"/>
              <w:left w:val="nil"/>
              <w:bottom w:val="single" w:sz="8" w:space="0" w:color="auto"/>
              <w:right w:val="nil"/>
            </w:tcBorders>
            <w:shd w:val="clear" w:color="000000" w:fill="FFFFFF"/>
            <w:vAlign w:val="center"/>
            <w:hideMark/>
          </w:tcPr>
          <w:p w14:paraId="74C363CA"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6240" w:type="dxa"/>
            <w:tcBorders>
              <w:top w:val="nil"/>
              <w:left w:val="nil"/>
              <w:bottom w:val="single" w:sz="8" w:space="0" w:color="auto"/>
              <w:right w:val="nil"/>
            </w:tcBorders>
            <w:shd w:val="clear" w:color="000000" w:fill="FFFFFF"/>
            <w:vAlign w:val="center"/>
            <w:hideMark/>
          </w:tcPr>
          <w:p w14:paraId="06D82237"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400" w:type="dxa"/>
            <w:tcBorders>
              <w:top w:val="nil"/>
              <w:left w:val="nil"/>
              <w:bottom w:val="single" w:sz="8" w:space="0" w:color="auto"/>
              <w:right w:val="nil"/>
            </w:tcBorders>
            <w:shd w:val="clear" w:color="auto" w:fill="auto"/>
            <w:noWrap/>
            <w:vAlign w:val="bottom"/>
            <w:hideMark/>
          </w:tcPr>
          <w:p w14:paraId="2CA545C3" w14:textId="77777777" w:rsidR="00171D18" w:rsidRPr="00863EE4" w:rsidRDefault="00000000">
            <w:pPr>
              <w:rPr>
                <w:rFonts w:ascii="Times New Roman" w:hAnsi="Times New Roman" w:cs="Times New Roman"/>
                <w:color w:val="000000" w:themeColor="text1"/>
              </w:rPr>
            </w:pPr>
            <w:r w:rsidRPr="00863EE4">
              <w:rPr>
                <w:rFonts w:ascii="Times New Roman" w:hAnsi="Times New Roman" w:cs="Times New Roman"/>
                <w:color w:val="000000" w:themeColor="text1"/>
              </w:rPr>
              <w:t xml:space="preserve">　</w:t>
            </w:r>
          </w:p>
        </w:tc>
        <w:tc>
          <w:tcPr>
            <w:tcW w:w="1900" w:type="dxa"/>
            <w:tcBorders>
              <w:top w:val="nil"/>
              <w:left w:val="nil"/>
              <w:bottom w:val="single" w:sz="8" w:space="0" w:color="auto"/>
              <w:right w:val="nil"/>
            </w:tcBorders>
            <w:shd w:val="clear" w:color="000000" w:fill="FFFFFF"/>
            <w:vAlign w:val="center"/>
            <w:hideMark/>
          </w:tcPr>
          <w:p w14:paraId="5B722301"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Missing</w:t>
            </w:r>
          </w:p>
        </w:tc>
        <w:tc>
          <w:tcPr>
            <w:tcW w:w="260" w:type="dxa"/>
            <w:tcBorders>
              <w:top w:val="nil"/>
              <w:left w:val="nil"/>
              <w:bottom w:val="single" w:sz="8" w:space="0" w:color="auto"/>
              <w:right w:val="nil"/>
            </w:tcBorders>
            <w:shd w:val="clear" w:color="000000" w:fill="FFFFFF"/>
            <w:vAlign w:val="center"/>
            <w:hideMark/>
          </w:tcPr>
          <w:p w14:paraId="44B5BD0C"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 xml:space="preserve">　</w:t>
            </w:r>
          </w:p>
        </w:tc>
        <w:tc>
          <w:tcPr>
            <w:tcW w:w="1900" w:type="dxa"/>
            <w:tcBorders>
              <w:top w:val="nil"/>
              <w:left w:val="nil"/>
              <w:bottom w:val="single" w:sz="8" w:space="0" w:color="auto"/>
              <w:right w:val="nil"/>
            </w:tcBorders>
            <w:shd w:val="clear" w:color="000000" w:fill="FFFFFF"/>
            <w:vAlign w:val="center"/>
            <w:hideMark/>
          </w:tcPr>
          <w:p w14:paraId="0B224D7B" w14:textId="77777777" w:rsidR="00171D18" w:rsidRPr="00863EE4" w:rsidRDefault="00000000">
            <w:pPr>
              <w:jc w:val="center"/>
              <w:rPr>
                <w:rFonts w:ascii="Arial" w:hAnsi="Arial" w:cs="Arial"/>
                <w:color w:val="000000" w:themeColor="text1"/>
              </w:rPr>
            </w:pPr>
            <w:r w:rsidRPr="00863EE4">
              <w:rPr>
                <w:rFonts w:ascii="Arial" w:hAnsi="Arial" w:cs="Arial"/>
                <w:color w:val="000000" w:themeColor="text1"/>
              </w:rPr>
              <w:t>Missing</w:t>
            </w:r>
          </w:p>
        </w:tc>
      </w:tr>
      <w:tr w:rsidR="00863EE4" w:rsidRPr="00863EE4" w14:paraId="6048E05B" w14:textId="77777777" w:rsidTr="00171D18">
        <w:trPr>
          <w:trHeight w:val="340"/>
        </w:trPr>
        <w:tc>
          <w:tcPr>
            <w:tcW w:w="6480" w:type="dxa"/>
            <w:gridSpan w:val="2"/>
            <w:tcBorders>
              <w:top w:val="single" w:sz="8" w:space="0" w:color="auto"/>
              <w:left w:val="nil"/>
              <w:bottom w:val="nil"/>
              <w:right w:val="nil"/>
            </w:tcBorders>
            <w:shd w:val="clear" w:color="000000" w:fill="FFFFFF"/>
            <w:vAlign w:val="center"/>
            <w:hideMark/>
          </w:tcPr>
          <w:p w14:paraId="15F6DF6F"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t>Patient information</w:t>
            </w:r>
          </w:p>
        </w:tc>
        <w:tc>
          <w:tcPr>
            <w:tcW w:w="400" w:type="dxa"/>
            <w:tcBorders>
              <w:top w:val="nil"/>
              <w:left w:val="nil"/>
              <w:bottom w:val="nil"/>
              <w:right w:val="nil"/>
            </w:tcBorders>
            <w:shd w:val="clear" w:color="auto" w:fill="auto"/>
            <w:noWrap/>
            <w:vAlign w:val="bottom"/>
            <w:hideMark/>
          </w:tcPr>
          <w:p w14:paraId="3AE66AEF" w14:textId="77777777" w:rsidR="00171D18" w:rsidRPr="00863EE4" w:rsidRDefault="00171D18">
            <w:pPr>
              <w:rPr>
                <w:rFonts w:ascii="Arial" w:hAnsi="Arial" w:cs="Arial"/>
                <w:b/>
                <w:bCs/>
                <w:color w:val="000000" w:themeColor="text1"/>
              </w:rPr>
            </w:pPr>
          </w:p>
        </w:tc>
        <w:tc>
          <w:tcPr>
            <w:tcW w:w="1900" w:type="dxa"/>
            <w:tcBorders>
              <w:top w:val="nil"/>
              <w:left w:val="nil"/>
              <w:bottom w:val="nil"/>
              <w:right w:val="nil"/>
            </w:tcBorders>
            <w:shd w:val="clear" w:color="000000" w:fill="FFFFFF"/>
            <w:vAlign w:val="center"/>
            <w:hideMark/>
          </w:tcPr>
          <w:p w14:paraId="34A122D9" w14:textId="77777777" w:rsidR="00171D18" w:rsidRPr="00863EE4" w:rsidRDefault="00000000">
            <w:pPr>
              <w:jc w:val="right"/>
              <w:rPr>
                <w:rFonts w:ascii="Arial" w:hAnsi="Arial" w:cs="Arial"/>
                <w:color w:val="000000" w:themeColor="text1"/>
              </w:rPr>
            </w:pPr>
            <w:r w:rsidRPr="00863EE4">
              <w:rPr>
                <w:rFonts w:ascii="Arial" w:hAnsi="Arial" w:cs="Arial"/>
                <w:color w:val="000000" w:themeColor="text1"/>
              </w:rPr>
              <w:t xml:space="preserve">　</w:t>
            </w:r>
          </w:p>
        </w:tc>
        <w:tc>
          <w:tcPr>
            <w:tcW w:w="260" w:type="dxa"/>
            <w:tcBorders>
              <w:top w:val="nil"/>
              <w:left w:val="nil"/>
              <w:bottom w:val="nil"/>
              <w:right w:val="nil"/>
            </w:tcBorders>
            <w:shd w:val="clear" w:color="000000" w:fill="FFFFFF"/>
            <w:vAlign w:val="center"/>
            <w:hideMark/>
          </w:tcPr>
          <w:p w14:paraId="24C2B860" w14:textId="77777777" w:rsidR="00171D18" w:rsidRPr="00863EE4" w:rsidRDefault="00000000">
            <w:pPr>
              <w:jc w:val="right"/>
              <w:rPr>
                <w:rFonts w:ascii="Arial" w:hAnsi="Arial" w:cs="Arial"/>
                <w:color w:val="000000" w:themeColor="text1"/>
              </w:rPr>
            </w:pPr>
            <w:r w:rsidRPr="00863EE4">
              <w:rPr>
                <w:rFonts w:ascii="Arial" w:hAnsi="Arial" w:cs="Arial"/>
                <w:color w:val="000000" w:themeColor="text1"/>
              </w:rPr>
              <w:t xml:space="preserve">　</w:t>
            </w:r>
          </w:p>
        </w:tc>
        <w:tc>
          <w:tcPr>
            <w:tcW w:w="1900" w:type="dxa"/>
            <w:tcBorders>
              <w:top w:val="nil"/>
              <w:left w:val="nil"/>
              <w:bottom w:val="nil"/>
              <w:right w:val="nil"/>
            </w:tcBorders>
            <w:shd w:val="clear" w:color="000000" w:fill="FFFFFF"/>
            <w:vAlign w:val="center"/>
            <w:hideMark/>
          </w:tcPr>
          <w:p w14:paraId="5D27F0AC" w14:textId="77777777" w:rsidR="00171D18" w:rsidRPr="00863EE4" w:rsidRDefault="00000000">
            <w:pPr>
              <w:jc w:val="right"/>
              <w:rPr>
                <w:rFonts w:ascii="Arial" w:hAnsi="Arial" w:cs="Arial"/>
                <w:color w:val="000000" w:themeColor="text1"/>
              </w:rPr>
            </w:pPr>
            <w:r w:rsidRPr="00863EE4">
              <w:rPr>
                <w:rFonts w:ascii="Arial" w:hAnsi="Arial" w:cs="Arial"/>
                <w:color w:val="000000" w:themeColor="text1"/>
              </w:rPr>
              <w:t xml:space="preserve">　</w:t>
            </w:r>
          </w:p>
        </w:tc>
      </w:tr>
      <w:tr w:rsidR="00863EE4" w:rsidRPr="00863EE4" w14:paraId="5B3A250E" w14:textId="77777777" w:rsidTr="00171D18">
        <w:trPr>
          <w:trHeight w:val="340"/>
        </w:trPr>
        <w:tc>
          <w:tcPr>
            <w:tcW w:w="6480" w:type="dxa"/>
            <w:gridSpan w:val="2"/>
            <w:tcBorders>
              <w:top w:val="nil"/>
              <w:left w:val="nil"/>
              <w:bottom w:val="nil"/>
              <w:right w:val="nil"/>
            </w:tcBorders>
            <w:shd w:val="clear" w:color="000000" w:fill="FFFFFF"/>
            <w:vAlign w:val="center"/>
            <w:hideMark/>
          </w:tcPr>
          <w:p w14:paraId="66D3F625" w14:textId="77777777" w:rsidR="00171D18" w:rsidRPr="00863EE4" w:rsidRDefault="00000000">
            <w:pPr>
              <w:rPr>
                <w:rFonts w:ascii="Arial" w:hAnsi="Arial" w:cs="Arial"/>
                <w:color w:val="000000" w:themeColor="text1"/>
              </w:rPr>
            </w:pPr>
            <w:r w:rsidRPr="00863EE4">
              <w:rPr>
                <w:rFonts w:ascii="Arial" w:hAnsi="Arial" w:cs="Arial"/>
                <w:color w:val="000000" w:themeColor="text1"/>
              </w:rPr>
              <w:t>Age, median [IQR]</w:t>
            </w:r>
          </w:p>
        </w:tc>
        <w:tc>
          <w:tcPr>
            <w:tcW w:w="400" w:type="dxa"/>
            <w:tcBorders>
              <w:top w:val="nil"/>
              <w:left w:val="nil"/>
              <w:bottom w:val="nil"/>
              <w:right w:val="nil"/>
            </w:tcBorders>
            <w:shd w:val="clear" w:color="auto" w:fill="auto"/>
            <w:noWrap/>
            <w:vAlign w:val="bottom"/>
            <w:hideMark/>
          </w:tcPr>
          <w:p w14:paraId="6C96E9A4"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48E309C"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0DEBD094"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AAD73A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4F123708" w14:textId="77777777" w:rsidTr="00171D18">
        <w:trPr>
          <w:trHeight w:val="340"/>
        </w:trPr>
        <w:tc>
          <w:tcPr>
            <w:tcW w:w="6480" w:type="dxa"/>
            <w:gridSpan w:val="2"/>
            <w:tcBorders>
              <w:top w:val="nil"/>
              <w:left w:val="nil"/>
              <w:bottom w:val="nil"/>
              <w:right w:val="nil"/>
            </w:tcBorders>
            <w:shd w:val="clear" w:color="000000" w:fill="FFFFFF"/>
            <w:vAlign w:val="center"/>
            <w:hideMark/>
          </w:tcPr>
          <w:p w14:paraId="60AC790E" w14:textId="77777777" w:rsidR="00171D18" w:rsidRPr="00863EE4" w:rsidRDefault="00000000">
            <w:pPr>
              <w:rPr>
                <w:rFonts w:ascii="Arial" w:hAnsi="Arial" w:cs="Arial"/>
                <w:color w:val="000000" w:themeColor="text1"/>
              </w:rPr>
            </w:pPr>
            <w:r w:rsidRPr="00863EE4">
              <w:rPr>
                <w:rFonts w:ascii="Arial" w:hAnsi="Arial" w:cs="Arial"/>
                <w:color w:val="000000" w:themeColor="text1"/>
              </w:rPr>
              <w:t>Sex, male, n (%)</w:t>
            </w:r>
          </w:p>
        </w:tc>
        <w:tc>
          <w:tcPr>
            <w:tcW w:w="400" w:type="dxa"/>
            <w:tcBorders>
              <w:top w:val="nil"/>
              <w:left w:val="nil"/>
              <w:bottom w:val="nil"/>
              <w:right w:val="nil"/>
            </w:tcBorders>
            <w:shd w:val="clear" w:color="auto" w:fill="auto"/>
            <w:noWrap/>
            <w:vAlign w:val="bottom"/>
            <w:hideMark/>
          </w:tcPr>
          <w:p w14:paraId="53ACE84C"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B58A02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0203B06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62937C3E"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050F5B5B" w14:textId="77777777" w:rsidTr="00171D18">
        <w:trPr>
          <w:trHeight w:val="340"/>
        </w:trPr>
        <w:tc>
          <w:tcPr>
            <w:tcW w:w="6480" w:type="dxa"/>
            <w:gridSpan w:val="2"/>
            <w:tcBorders>
              <w:top w:val="nil"/>
              <w:left w:val="nil"/>
              <w:bottom w:val="nil"/>
              <w:right w:val="nil"/>
            </w:tcBorders>
            <w:shd w:val="clear" w:color="000000" w:fill="FFFFFF"/>
            <w:vAlign w:val="center"/>
            <w:hideMark/>
          </w:tcPr>
          <w:p w14:paraId="08D61CF4" w14:textId="77777777" w:rsidR="00171D18" w:rsidRPr="00863EE4" w:rsidRDefault="00000000">
            <w:pPr>
              <w:rPr>
                <w:rFonts w:ascii="Arial" w:hAnsi="Arial" w:cs="Arial"/>
                <w:color w:val="000000" w:themeColor="text1"/>
              </w:rPr>
            </w:pPr>
            <w:r w:rsidRPr="00863EE4">
              <w:rPr>
                <w:rFonts w:ascii="Arial" w:hAnsi="Arial" w:cs="Arial"/>
                <w:color w:val="000000" w:themeColor="text1"/>
              </w:rPr>
              <w:t>Cardiac etiology of arrest, n (%)</w:t>
            </w:r>
          </w:p>
        </w:tc>
        <w:tc>
          <w:tcPr>
            <w:tcW w:w="400" w:type="dxa"/>
            <w:tcBorders>
              <w:top w:val="nil"/>
              <w:left w:val="nil"/>
              <w:bottom w:val="nil"/>
              <w:right w:val="nil"/>
            </w:tcBorders>
            <w:shd w:val="clear" w:color="auto" w:fill="auto"/>
            <w:noWrap/>
            <w:vAlign w:val="bottom"/>
            <w:hideMark/>
          </w:tcPr>
          <w:p w14:paraId="1921777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3F0B3E6"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343243B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075C901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6E3ED3BE" w14:textId="77777777" w:rsidTr="00171D18">
        <w:trPr>
          <w:trHeight w:val="340"/>
        </w:trPr>
        <w:tc>
          <w:tcPr>
            <w:tcW w:w="6480" w:type="dxa"/>
            <w:gridSpan w:val="2"/>
            <w:tcBorders>
              <w:top w:val="nil"/>
              <w:left w:val="nil"/>
              <w:bottom w:val="nil"/>
              <w:right w:val="nil"/>
            </w:tcBorders>
            <w:shd w:val="clear" w:color="000000" w:fill="FFFFFF"/>
            <w:vAlign w:val="center"/>
            <w:hideMark/>
          </w:tcPr>
          <w:p w14:paraId="3930659C" w14:textId="77777777" w:rsidR="00171D18" w:rsidRPr="00863EE4" w:rsidRDefault="00000000">
            <w:pPr>
              <w:rPr>
                <w:rFonts w:ascii="Arial" w:hAnsi="Arial" w:cs="Arial"/>
                <w:color w:val="000000" w:themeColor="text1"/>
              </w:rPr>
            </w:pPr>
            <w:r w:rsidRPr="00863EE4">
              <w:rPr>
                <w:rFonts w:ascii="Arial" w:hAnsi="Arial" w:cs="Arial"/>
                <w:color w:val="000000" w:themeColor="text1"/>
              </w:rPr>
              <w:t>Initial rhythm at the scene, n (%)</w:t>
            </w:r>
          </w:p>
        </w:tc>
        <w:tc>
          <w:tcPr>
            <w:tcW w:w="400" w:type="dxa"/>
            <w:tcBorders>
              <w:top w:val="nil"/>
              <w:left w:val="nil"/>
              <w:bottom w:val="nil"/>
              <w:right w:val="nil"/>
            </w:tcBorders>
            <w:shd w:val="clear" w:color="auto" w:fill="auto"/>
            <w:noWrap/>
            <w:vAlign w:val="bottom"/>
            <w:hideMark/>
          </w:tcPr>
          <w:p w14:paraId="10B6EA51"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447D45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62A98F7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DF229EB"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5F9E154C"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7B4E02C7" w14:textId="77777777" w:rsidR="00171D18" w:rsidRPr="00863EE4" w:rsidRDefault="00000000">
            <w:pPr>
              <w:rPr>
                <w:rFonts w:ascii="Arial" w:hAnsi="Arial" w:cs="Arial"/>
                <w:color w:val="000000" w:themeColor="text1"/>
              </w:rPr>
            </w:pPr>
            <w:r w:rsidRPr="00863EE4">
              <w:rPr>
                <w:rFonts w:ascii="Arial" w:hAnsi="Arial" w:cs="Arial"/>
                <w:color w:val="000000" w:themeColor="text1"/>
              </w:rPr>
              <w:t>Witnessed arrest, n (%)</w:t>
            </w:r>
          </w:p>
        </w:tc>
        <w:tc>
          <w:tcPr>
            <w:tcW w:w="400" w:type="dxa"/>
            <w:tcBorders>
              <w:top w:val="nil"/>
              <w:left w:val="nil"/>
              <w:bottom w:val="nil"/>
              <w:right w:val="nil"/>
            </w:tcBorders>
            <w:shd w:val="clear" w:color="auto" w:fill="auto"/>
            <w:noWrap/>
            <w:vAlign w:val="bottom"/>
            <w:hideMark/>
          </w:tcPr>
          <w:p w14:paraId="7ACD75B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729DD33"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5C17C0C5"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64B3E3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3AF57855" w14:textId="77777777" w:rsidTr="00171D18">
        <w:trPr>
          <w:trHeight w:val="340"/>
        </w:trPr>
        <w:tc>
          <w:tcPr>
            <w:tcW w:w="6480" w:type="dxa"/>
            <w:gridSpan w:val="2"/>
            <w:tcBorders>
              <w:top w:val="nil"/>
              <w:left w:val="nil"/>
              <w:bottom w:val="nil"/>
              <w:right w:val="nil"/>
            </w:tcBorders>
            <w:shd w:val="clear" w:color="000000" w:fill="FFFFFF"/>
            <w:vAlign w:val="center"/>
            <w:hideMark/>
          </w:tcPr>
          <w:p w14:paraId="4EA3FE98"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No flow time (Collapse - CPR), min (median [IQR]) </w:t>
            </w:r>
            <w:r w:rsidRPr="00863EE4">
              <w:rPr>
                <w:rFonts w:ascii="Arial" w:hAnsi="Arial" w:cs="Arial"/>
                <w:color w:val="000000" w:themeColor="text1"/>
                <w:vertAlign w:val="superscript"/>
              </w:rPr>
              <w:t>a</w:t>
            </w:r>
          </w:p>
        </w:tc>
        <w:tc>
          <w:tcPr>
            <w:tcW w:w="400" w:type="dxa"/>
            <w:tcBorders>
              <w:top w:val="nil"/>
              <w:left w:val="nil"/>
              <w:bottom w:val="nil"/>
              <w:right w:val="nil"/>
            </w:tcBorders>
            <w:shd w:val="clear" w:color="auto" w:fill="auto"/>
            <w:noWrap/>
            <w:vAlign w:val="bottom"/>
            <w:hideMark/>
          </w:tcPr>
          <w:p w14:paraId="046ADBF9"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2858F44" w14:textId="77777777" w:rsidR="00171D18" w:rsidRPr="00863EE4" w:rsidRDefault="00000000">
            <w:pPr>
              <w:rPr>
                <w:rFonts w:ascii="Arial" w:hAnsi="Arial" w:cs="Arial"/>
                <w:color w:val="000000" w:themeColor="text1"/>
              </w:rPr>
            </w:pPr>
            <w:r w:rsidRPr="00863EE4">
              <w:rPr>
                <w:rFonts w:ascii="Arial" w:hAnsi="Arial" w:cs="Arial"/>
                <w:color w:val="000000" w:themeColor="text1"/>
              </w:rPr>
              <w:t>1226 (36.7)</w:t>
            </w:r>
          </w:p>
        </w:tc>
        <w:tc>
          <w:tcPr>
            <w:tcW w:w="260" w:type="dxa"/>
            <w:tcBorders>
              <w:top w:val="nil"/>
              <w:left w:val="nil"/>
              <w:bottom w:val="nil"/>
              <w:right w:val="nil"/>
            </w:tcBorders>
            <w:shd w:val="clear" w:color="auto" w:fill="auto"/>
            <w:noWrap/>
            <w:vAlign w:val="center"/>
            <w:hideMark/>
          </w:tcPr>
          <w:p w14:paraId="28D5D2D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E0618E3" w14:textId="77777777" w:rsidR="00171D18" w:rsidRPr="00863EE4" w:rsidRDefault="00000000">
            <w:pPr>
              <w:rPr>
                <w:rFonts w:ascii="Arial" w:hAnsi="Arial" w:cs="Arial"/>
                <w:color w:val="000000" w:themeColor="text1"/>
              </w:rPr>
            </w:pPr>
            <w:r w:rsidRPr="00863EE4">
              <w:rPr>
                <w:rFonts w:ascii="Arial" w:hAnsi="Arial" w:cs="Arial"/>
                <w:color w:val="000000" w:themeColor="text1"/>
              </w:rPr>
              <w:t>1559 (36.7)</w:t>
            </w:r>
          </w:p>
        </w:tc>
      </w:tr>
      <w:tr w:rsidR="00863EE4" w:rsidRPr="00863EE4" w14:paraId="6954285B" w14:textId="77777777" w:rsidTr="00171D18">
        <w:trPr>
          <w:trHeight w:val="340"/>
        </w:trPr>
        <w:tc>
          <w:tcPr>
            <w:tcW w:w="6480" w:type="dxa"/>
            <w:gridSpan w:val="2"/>
            <w:tcBorders>
              <w:top w:val="nil"/>
              <w:left w:val="nil"/>
              <w:bottom w:val="nil"/>
              <w:right w:val="nil"/>
            </w:tcBorders>
            <w:shd w:val="clear" w:color="000000" w:fill="FFFFFF"/>
            <w:vAlign w:val="center"/>
            <w:hideMark/>
          </w:tcPr>
          <w:p w14:paraId="761633BC" w14:textId="77777777" w:rsidR="00171D18" w:rsidRPr="00863EE4" w:rsidRDefault="00000000">
            <w:pPr>
              <w:rPr>
                <w:rFonts w:ascii="Arial" w:hAnsi="Arial" w:cs="Arial"/>
                <w:color w:val="000000" w:themeColor="text1"/>
              </w:rPr>
            </w:pPr>
            <w:r w:rsidRPr="00863EE4">
              <w:rPr>
                <w:rFonts w:ascii="Arial" w:hAnsi="Arial" w:cs="Arial"/>
                <w:color w:val="000000" w:themeColor="text1"/>
              </w:rPr>
              <w:t>Low flow time, min (median [IQR])</w:t>
            </w:r>
          </w:p>
        </w:tc>
        <w:tc>
          <w:tcPr>
            <w:tcW w:w="400" w:type="dxa"/>
            <w:tcBorders>
              <w:top w:val="nil"/>
              <w:left w:val="nil"/>
              <w:bottom w:val="nil"/>
              <w:right w:val="nil"/>
            </w:tcBorders>
            <w:shd w:val="clear" w:color="auto" w:fill="auto"/>
            <w:noWrap/>
            <w:vAlign w:val="bottom"/>
            <w:hideMark/>
          </w:tcPr>
          <w:p w14:paraId="4CCBB1D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D72CA18" w14:textId="77777777" w:rsidR="00171D18" w:rsidRPr="00863EE4" w:rsidRDefault="00000000">
            <w:pPr>
              <w:rPr>
                <w:rFonts w:ascii="Arial" w:hAnsi="Arial" w:cs="Arial"/>
                <w:color w:val="000000" w:themeColor="text1"/>
              </w:rPr>
            </w:pPr>
            <w:r w:rsidRPr="00863EE4">
              <w:rPr>
                <w:rFonts w:ascii="Arial" w:hAnsi="Arial" w:cs="Arial"/>
                <w:color w:val="000000" w:themeColor="text1"/>
              </w:rPr>
              <w:t>104 ( 3.1)</w:t>
            </w:r>
          </w:p>
        </w:tc>
        <w:tc>
          <w:tcPr>
            <w:tcW w:w="260" w:type="dxa"/>
            <w:tcBorders>
              <w:top w:val="nil"/>
              <w:left w:val="nil"/>
              <w:bottom w:val="nil"/>
              <w:right w:val="nil"/>
            </w:tcBorders>
            <w:shd w:val="clear" w:color="auto" w:fill="auto"/>
            <w:noWrap/>
            <w:vAlign w:val="center"/>
            <w:hideMark/>
          </w:tcPr>
          <w:p w14:paraId="77BFC2A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29B4288" w14:textId="77777777" w:rsidR="00171D18" w:rsidRPr="00863EE4" w:rsidRDefault="00000000">
            <w:pPr>
              <w:rPr>
                <w:rFonts w:ascii="Arial" w:hAnsi="Arial" w:cs="Arial"/>
                <w:color w:val="000000" w:themeColor="text1"/>
              </w:rPr>
            </w:pPr>
            <w:r w:rsidRPr="00863EE4">
              <w:rPr>
                <w:rFonts w:ascii="Arial" w:hAnsi="Arial" w:cs="Arial"/>
                <w:color w:val="000000" w:themeColor="text1"/>
              </w:rPr>
              <w:t>240 ( 5.6)</w:t>
            </w:r>
          </w:p>
        </w:tc>
      </w:tr>
      <w:tr w:rsidR="00863EE4" w:rsidRPr="00863EE4" w14:paraId="0C1950D6" w14:textId="77777777" w:rsidTr="00171D18">
        <w:trPr>
          <w:trHeight w:val="340"/>
        </w:trPr>
        <w:tc>
          <w:tcPr>
            <w:tcW w:w="6480" w:type="dxa"/>
            <w:gridSpan w:val="2"/>
            <w:tcBorders>
              <w:top w:val="nil"/>
              <w:left w:val="nil"/>
              <w:bottom w:val="nil"/>
              <w:right w:val="nil"/>
            </w:tcBorders>
            <w:shd w:val="clear" w:color="000000" w:fill="FFFFFF"/>
            <w:vAlign w:val="center"/>
            <w:hideMark/>
          </w:tcPr>
          <w:p w14:paraId="5C9D19CD" w14:textId="77777777" w:rsidR="00171D18" w:rsidRPr="00863EE4" w:rsidRDefault="00000000">
            <w:pPr>
              <w:rPr>
                <w:rFonts w:ascii="Arial" w:hAnsi="Arial" w:cs="Arial"/>
                <w:color w:val="000000" w:themeColor="text1"/>
              </w:rPr>
            </w:pPr>
            <w:r w:rsidRPr="00863EE4">
              <w:rPr>
                <w:rFonts w:ascii="Arial" w:hAnsi="Arial" w:cs="Arial"/>
                <w:color w:val="000000" w:themeColor="text1"/>
              </w:rPr>
              <w:t>Bystander CPR, n (%)</w:t>
            </w:r>
          </w:p>
        </w:tc>
        <w:tc>
          <w:tcPr>
            <w:tcW w:w="400" w:type="dxa"/>
            <w:tcBorders>
              <w:top w:val="nil"/>
              <w:left w:val="nil"/>
              <w:bottom w:val="nil"/>
              <w:right w:val="nil"/>
            </w:tcBorders>
            <w:shd w:val="clear" w:color="auto" w:fill="auto"/>
            <w:noWrap/>
            <w:vAlign w:val="bottom"/>
            <w:hideMark/>
          </w:tcPr>
          <w:p w14:paraId="11F3B92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E129AF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3ACF6CA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288906C"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572D6DE4" w14:textId="77777777" w:rsidTr="00171D18">
        <w:trPr>
          <w:trHeight w:val="340"/>
        </w:trPr>
        <w:tc>
          <w:tcPr>
            <w:tcW w:w="6480" w:type="dxa"/>
            <w:gridSpan w:val="2"/>
            <w:tcBorders>
              <w:top w:val="nil"/>
              <w:left w:val="nil"/>
              <w:bottom w:val="nil"/>
              <w:right w:val="nil"/>
            </w:tcBorders>
            <w:shd w:val="clear" w:color="000000" w:fill="FFFFFF"/>
            <w:vAlign w:val="center"/>
            <w:hideMark/>
          </w:tcPr>
          <w:p w14:paraId="423ECDCD" w14:textId="77777777" w:rsidR="00171D18" w:rsidRPr="00863EE4" w:rsidRDefault="00000000">
            <w:pPr>
              <w:rPr>
                <w:rFonts w:ascii="Arial" w:hAnsi="Arial" w:cs="Arial"/>
                <w:color w:val="000000" w:themeColor="text1"/>
              </w:rPr>
            </w:pPr>
            <w:r w:rsidRPr="00863EE4">
              <w:rPr>
                <w:rFonts w:ascii="Arial" w:hAnsi="Arial" w:cs="Arial"/>
                <w:color w:val="000000" w:themeColor="text1"/>
              </w:rPr>
              <w:t>Bystander automated electrical defibrillation use, n (%)</w:t>
            </w:r>
          </w:p>
        </w:tc>
        <w:tc>
          <w:tcPr>
            <w:tcW w:w="400" w:type="dxa"/>
            <w:tcBorders>
              <w:top w:val="nil"/>
              <w:left w:val="nil"/>
              <w:bottom w:val="nil"/>
              <w:right w:val="nil"/>
            </w:tcBorders>
            <w:shd w:val="clear" w:color="auto" w:fill="auto"/>
            <w:noWrap/>
            <w:vAlign w:val="bottom"/>
            <w:hideMark/>
          </w:tcPr>
          <w:p w14:paraId="7E6A03D1"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4215AAB"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4EA021C5"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03C5FA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6F70289C" w14:textId="77777777" w:rsidTr="00171D18">
        <w:trPr>
          <w:trHeight w:val="340"/>
        </w:trPr>
        <w:tc>
          <w:tcPr>
            <w:tcW w:w="6480" w:type="dxa"/>
            <w:gridSpan w:val="2"/>
            <w:tcBorders>
              <w:top w:val="nil"/>
              <w:left w:val="nil"/>
              <w:bottom w:val="nil"/>
              <w:right w:val="nil"/>
            </w:tcBorders>
            <w:shd w:val="clear" w:color="000000" w:fill="FFFFFF"/>
            <w:vAlign w:val="center"/>
            <w:hideMark/>
          </w:tcPr>
          <w:p w14:paraId="04DDABE8" w14:textId="77777777" w:rsidR="00171D18" w:rsidRPr="00863EE4" w:rsidRDefault="00000000">
            <w:pPr>
              <w:rPr>
                <w:rFonts w:ascii="Arial" w:hAnsi="Arial" w:cs="Arial"/>
                <w:color w:val="000000" w:themeColor="text1"/>
              </w:rPr>
            </w:pPr>
            <w:r w:rsidRPr="00863EE4">
              <w:rPr>
                <w:rFonts w:ascii="Arial" w:hAnsi="Arial" w:cs="Arial"/>
                <w:color w:val="000000" w:themeColor="text1"/>
              </w:rPr>
              <w:t>Shock during cardiac arrest, n (%)</w:t>
            </w:r>
          </w:p>
        </w:tc>
        <w:tc>
          <w:tcPr>
            <w:tcW w:w="400" w:type="dxa"/>
            <w:tcBorders>
              <w:top w:val="nil"/>
              <w:left w:val="nil"/>
              <w:bottom w:val="nil"/>
              <w:right w:val="nil"/>
            </w:tcBorders>
            <w:shd w:val="clear" w:color="auto" w:fill="auto"/>
            <w:noWrap/>
            <w:vAlign w:val="bottom"/>
            <w:hideMark/>
          </w:tcPr>
          <w:p w14:paraId="4718A239"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7142E5D"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7C436E7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1F1AC6A"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78EF67B8" w14:textId="77777777" w:rsidTr="00171D18">
        <w:trPr>
          <w:trHeight w:val="340"/>
        </w:trPr>
        <w:tc>
          <w:tcPr>
            <w:tcW w:w="6480" w:type="dxa"/>
            <w:gridSpan w:val="2"/>
            <w:tcBorders>
              <w:top w:val="nil"/>
              <w:left w:val="nil"/>
              <w:bottom w:val="nil"/>
              <w:right w:val="nil"/>
            </w:tcBorders>
            <w:shd w:val="clear" w:color="000000" w:fill="FFFFFF"/>
            <w:vAlign w:val="center"/>
            <w:hideMark/>
          </w:tcPr>
          <w:p w14:paraId="3CD2DB2A" w14:textId="77777777" w:rsidR="00171D18" w:rsidRPr="00863EE4" w:rsidRDefault="00000000">
            <w:pPr>
              <w:rPr>
                <w:rFonts w:ascii="Arial" w:hAnsi="Arial" w:cs="Arial"/>
                <w:color w:val="000000" w:themeColor="text1"/>
              </w:rPr>
            </w:pPr>
            <w:r w:rsidRPr="00863EE4">
              <w:rPr>
                <w:rFonts w:ascii="Arial" w:hAnsi="Arial" w:cs="Arial"/>
                <w:color w:val="000000" w:themeColor="text1"/>
              </w:rPr>
              <w:t>Administration of adrenaline during cardiac arrest, n (%)</w:t>
            </w:r>
          </w:p>
        </w:tc>
        <w:tc>
          <w:tcPr>
            <w:tcW w:w="400" w:type="dxa"/>
            <w:tcBorders>
              <w:top w:val="nil"/>
              <w:left w:val="nil"/>
              <w:bottom w:val="nil"/>
              <w:right w:val="nil"/>
            </w:tcBorders>
            <w:shd w:val="clear" w:color="auto" w:fill="auto"/>
            <w:noWrap/>
            <w:vAlign w:val="bottom"/>
            <w:hideMark/>
          </w:tcPr>
          <w:p w14:paraId="002EA2B8"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82512C3"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11 ( 0.3) </w:t>
            </w:r>
          </w:p>
        </w:tc>
        <w:tc>
          <w:tcPr>
            <w:tcW w:w="260" w:type="dxa"/>
            <w:tcBorders>
              <w:top w:val="nil"/>
              <w:left w:val="nil"/>
              <w:bottom w:val="nil"/>
              <w:right w:val="nil"/>
            </w:tcBorders>
            <w:shd w:val="clear" w:color="auto" w:fill="auto"/>
            <w:noWrap/>
            <w:vAlign w:val="center"/>
            <w:hideMark/>
          </w:tcPr>
          <w:p w14:paraId="614D72DE"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33CA769"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60 ( 1.4) </w:t>
            </w:r>
          </w:p>
        </w:tc>
      </w:tr>
      <w:tr w:rsidR="00863EE4" w:rsidRPr="00863EE4" w14:paraId="0A720815" w14:textId="77777777" w:rsidTr="00171D18">
        <w:trPr>
          <w:trHeight w:val="340"/>
        </w:trPr>
        <w:tc>
          <w:tcPr>
            <w:tcW w:w="6480" w:type="dxa"/>
            <w:gridSpan w:val="2"/>
            <w:tcBorders>
              <w:top w:val="nil"/>
              <w:left w:val="nil"/>
              <w:bottom w:val="nil"/>
              <w:right w:val="nil"/>
            </w:tcBorders>
            <w:shd w:val="clear" w:color="000000" w:fill="FFFFFF"/>
            <w:vAlign w:val="center"/>
            <w:hideMark/>
          </w:tcPr>
          <w:p w14:paraId="136AF25C" w14:textId="77777777" w:rsidR="00171D18" w:rsidRPr="00863EE4" w:rsidRDefault="00000000">
            <w:pPr>
              <w:rPr>
                <w:rFonts w:ascii="Arial" w:hAnsi="Arial" w:cs="Arial"/>
                <w:color w:val="000000" w:themeColor="text1"/>
              </w:rPr>
            </w:pPr>
            <w:r w:rsidRPr="00863EE4">
              <w:rPr>
                <w:rFonts w:ascii="Arial" w:hAnsi="Arial" w:cs="Arial"/>
                <w:color w:val="000000" w:themeColor="text1"/>
              </w:rPr>
              <w:t>Advanced airway management during cardiac arrest, n (%)</w:t>
            </w:r>
          </w:p>
        </w:tc>
        <w:tc>
          <w:tcPr>
            <w:tcW w:w="400" w:type="dxa"/>
            <w:tcBorders>
              <w:top w:val="nil"/>
              <w:left w:val="nil"/>
              <w:bottom w:val="nil"/>
              <w:right w:val="nil"/>
            </w:tcBorders>
            <w:shd w:val="clear" w:color="auto" w:fill="auto"/>
            <w:noWrap/>
            <w:vAlign w:val="bottom"/>
            <w:hideMark/>
          </w:tcPr>
          <w:p w14:paraId="08E07849"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673393A"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2D671C18"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67AD9D22"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0B727A9A" w14:textId="77777777" w:rsidTr="00171D18">
        <w:trPr>
          <w:trHeight w:val="340"/>
        </w:trPr>
        <w:tc>
          <w:tcPr>
            <w:tcW w:w="6480" w:type="dxa"/>
            <w:gridSpan w:val="2"/>
            <w:tcBorders>
              <w:top w:val="nil"/>
              <w:left w:val="nil"/>
              <w:bottom w:val="nil"/>
              <w:right w:val="nil"/>
            </w:tcBorders>
            <w:shd w:val="clear" w:color="000000" w:fill="FFFFFF"/>
            <w:vAlign w:val="center"/>
            <w:hideMark/>
          </w:tcPr>
          <w:p w14:paraId="53ACC23A" w14:textId="77777777" w:rsidR="00171D18" w:rsidRPr="00863EE4" w:rsidRDefault="00000000">
            <w:pPr>
              <w:rPr>
                <w:rFonts w:ascii="Arial" w:hAnsi="Arial" w:cs="Arial"/>
                <w:color w:val="000000" w:themeColor="text1"/>
              </w:rPr>
            </w:pPr>
            <w:r w:rsidRPr="00863EE4">
              <w:rPr>
                <w:rFonts w:ascii="Arial" w:hAnsi="Arial" w:cs="Arial"/>
                <w:color w:val="000000" w:themeColor="text1"/>
              </w:rPr>
              <w:t>Initial rhythm on hospital arrival, n (%)</w:t>
            </w:r>
          </w:p>
        </w:tc>
        <w:tc>
          <w:tcPr>
            <w:tcW w:w="400" w:type="dxa"/>
            <w:tcBorders>
              <w:top w:val="nil"/>
              <w:left w:val="nil"/>
              <w:bottom w:val="nil"/>
              <w:right w:val="nil"/>
            </w:tcBorders>
            <w:shd w:val="clear" w:color="auto" w:fill="auto"/>
            <w:noWrap/>
            <w:vAlign w:val="bottom"/>
            <w:hideMark/>
          </w:tcPr>
          <w:p w14:paraId="25A4188B"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34E4E6F"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0E23CC2C"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0E5C7147"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15779104" w14:textId="77777777" w:rsidTr="00171D18">
        <w:trPr>
          <w:trHeight w:val="340"/>
        </w:trPr>
        <w:tc>
          <w:tcPr>
            <w:tcW w:w="6480" w:type="dxa"/>
            <w:gridSpan w:val="2"/>
            <w:tcBorders>
              <w:top w:val="nil"/>
              <w:left w:val="nil"/>
              <w:bottom w:val="nil"/>
              <w:right w:val="nil"/>
            </w:tcBorders>
            <w:shd w:val="clear" w:color="000000" w:fill="FFFFFF"/>
            <w:vAlign w:val="center"/>
            <w:hideMark/>
          </w:tcPr>
          <w:p w14:paraId="41D61633" w14:textId="77777777" w:rsidR="00171D18" w:rsidRPr="00863EE4" w:rsidRDefault="00000000">
            <w:pPr>
              <w:rPr>
                <w:rFonts w:ascii="Arial" w:hAnsi="Arial" w:cs="Arial"/>
                <w:color w:val="000000" w:themeColor="text1"/>
              </w:rPr>
            </w:pPr>
            <w:r w:rsidRPr="00863EE4">
              <w:rPr>
                <w:rFonts w:ascii="Arial" w:hAnsi="Arial" w:cs="Arial"/>
                <w:color w:val="000000" w:themeColor="text1"/>
              </w:rPr>
              <w:t>Glasgow Coma Scale motor score &lt; 2, n (%)</w:t>
            </w:r>
          </w:p>
        </w:tc>
        <w:tc>
          <w:tcPr>
            <w:tcW w:w="400" w:type="dxa"/>
            <w:tcBorders>
              <w:top w:val="nil"/>
              <w:left w:val="nil"/>
              <w:bottom w:val="nil"/>
              <w:right w:val="nil"/>
            </w:tcBorders>
            <w:shd w:val="clear" w:color="auto" w:fill="auto"/>
            <w:noWrap/>
            <w:vAlign w:val="bottom"/>
            <w:hideMark/>
          </w:tcPr>
          <w:p w14:paraId="4D1E7B7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573756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9 ( 0.3)</w:t>
            </w:r>
          </w:p>
        </w:tc>
        <w:tc>
          <w:tcPr>
            <w:tcW w:w="260" w:type="dxa"/>
            <w:tcBorders>
              <w:top w:val="nil"/>
              <w:left w:val="nil"/>
              <w:bottom w:val="nil"/>
              <w:right w:val="nil"/>
            </w:tcBorders>
            <w:shd w:val="clear" w:color="auto" w:fill="auto"/>
            <w:noWrap/>
            <w:vAlign w:val="center"/>
            <w:hideMark/>
          </w:tcPr>
          <w:p w14:paraId="596AA1FD"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6AD5570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w:t>
            </w:r>
          </w:p>
        </w:tc>
      </w:tr>
      <w:tr w:rsidR="00863EE4" w:rsidRPr="00863EE4" w14:paraId="69FF9E39" w14:textId="77777777" w:rsidTr="00171D18">
        <w:trPr>
          <w:trHeight w:val="340"/>
        </w:trPr>
        <w:tc>
          <w:tcPr>
            <w:tcW w:w="6480" w:type="dxa"/>
            <w:gridSpan w:val="2"/>
            <w:tcBorders>
              <w:top w:val="nil"/>
              <w:left w:val="nil"/>
              <w:bottom w:val="nil"/>
              <w:right w:val="nil"/>
            </w:tcBorders>
            <w:shd w:val="clear" w:color="auto" w:fill="auto"/>
            <w:vAlign w:val="center"/>
            <w:hideMark/>
          </w:tcPr>
          <w:p w14:paraId="2702FD3A" w14:textId="77777777" w:rsidR="00171D18" w:rsidRPr="00863EE4" w:rsidRDefault="00000000">
            <w:pPr>
              <w:rPr>
                <w:rFonts w:ascii="Arial" w:hAnsi="Arial" w:cs="Arial"/>
                <w:color w:val="000000" w:themeColor="text1"/>
              </w:rPr>
            </w:pPr>
            <w:r w:rsidRPr="00863EE4">
              <w:rPr>
                <w:rFonts w:ascii="Arial" w:hAnsi="Arial" w:cs="Arial"/>
                <w:color w:val="000000" w:themeColor="text1"/>
              </w:rPr>
              <w:t>Extracorporeal membrane oxygenation, n (%)</w:t>
            </w:r>
          </w:p>
        </w:tc>
        <w:tc>
          <w:tcPr>
            <w:tcW w:w="400" w:type="dxa"/>
            <w:tcBorders>
              <w:top w:val="nil"/>
              <w:left w:val="nil"/>
              <w:bottom w:val="nil"/>
              <w:right w:val="nil"/>
            </w:tcBorders>
            <w:shd w:val="clear" w:color="auto" w:fill="auto"/>
            <w:noWrap/>
            <w:vAlign w:val="bottom"/>
            <w:hideMark/>
          </w:tcPr>
          <w:p w14:paraId="38B96B71"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C5BB1EE"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24C5D62C"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4B6203D"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2BAE209A"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0E65D74A" w14:textId="77777777" w:rsidR="00171D18" w:rsidRPr="00863EE4" w:rsidRDefault="00000000">
            <w:pPr>
              <w:rPr>
                <w:rFonts w:ascii="Arial" w:hAnsi="Arial" w:cs="Arial"/>
                <w:color w:val="000000" w:themeColor="text1"/>
              </w:rPr>
            </w:pPr>
            <w:r w:rsidRPr="00863EE4">
              <w:rPr>
                <w:rFonts w:ascii="Arial" w:hAnsi="Arial" w:cs="Arial"/>
                <w:color w:val="000000" w:themeColor="text1"/>
              </w:rPr>
              <w:t>Coronary angiography, n (%)</w:t>
            </w:r>
          </w:p>
        </w:tc>
        <w:tc>
          <w:tcPr>
            <w:tcW w:w="400" w:type="dxa"/>
            <w:tcBorders>
              <w:top w:val="nil"/>
              <w:left w:val="nil"/>
              <w:bottom w:val="nil"/>
              <w:right w:val="nil"/>
            </w:tcBorders>
            <w:shd w:val="clear" w:color="auto" w:fill="auto"/>
            <w:noWrap/>
            <w:vAlign w:val="bottom"/>
            <w:hideMark/>
          </w:tcPr>
          <w:p w14:paraId="7400D88B"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F804235"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5678D2E1"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43EE397"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7240DE85" w14:textId="77777777" w:rsidTr="00171D18">
        <w:trPr>
          <w:trHeight w:val="360"/>
        </w:trPr>
        <w:tc>
          <w:tcPr>
            <w:tcW w:w="6480" w:type="dxa"/>
            <w:gridSpan w:val="2"/>
            <w:tcBorders>
              <w:top w:val="nil"/>
              <w:left w:val="nil"/>
              <w:bottom w:val="nil"/>
              <w:right w:val="nil"/>
            </w:tcBorders>
            <w:shd w:val="clear" w:color="auto" w:fill="auto"/>
            <w:noWrap/>
            <w:vAlign w:val="bottom"/>
            <w:hideMark/>
          </w:tcPr>
          <w:p w14:paraId="52257A74" w14:textId="77777777" w:rsidR="00171D18" w:rsidRPr="00863EE4" w:rsidRDefault="00000000">
            <w:pPr>
              <w:rPr>
                <w:rFonts w:ascii="Arial" w:hAnsi="Arial" w:cs="Arial"/>
                <w:color w:val="000000" w:themeColor="text1"/>
              </w:rPr>
            </w:pPr>
            <w:r w:rsidRPr="00863EE4">
              <w:rPr>
                <w:rFonts w:ascii="Arial" w:hAnsi="Arial" w:cs="Arial"/>
                <w:color w:val="000000" w:themeColor="text1"/>
              </w:rPr>
              <w:t>Percutaneous coronary intervention, n (%)</w:t>
            </w:r>
          </w:p>
        </w:tc>
        <w:tc>
          <w:tcPr>
            <w:tcW w:w="400" w:type="dxa"/>
            <w:tcBorders>
              <w:top w:val="nil"/>
              <w:left w:val="nil"/>
              <w:bottom w:val="nil"/>
              <w:right w:val="nil"/>
            </w:tcBorders>
            <w:shd w:val="clear" w:color="auto" w:fill="auto"/>
            <w:noWrap/>
            <w:vAlign w:val="bottom"/>
            <w:hideMark/>
          </w:tcPr>
          <w:p w14:paraId="02D78B10"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1FE8CE7"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3D70343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48FF89A"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751546AD"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3DA58575" w14:textId="77777777" w:rsidR="00171D18" w:rsidRPr="00863EE4" w:rsidRDefault="00000000">
            <w:pPr>
              <w:rPr>
                <w:rFonts w:ascii="Arial" w:hAnsi="Arial" w:cs="Arial"/>
                <w:color w:val="000000" w:themeColor="text1"/>
              </w:rPr>
            </w:pPr>
            <w:r w:rsidRPr="00863EE4">
              <w:rPr>
                <w:rFonts w:ascii="Arial" w:hAnsi="Arial" w:cs="Arial"/>
                <w:color w:val="000000" w:themeColor="text1"/>
              </w:rPr>
              <w:t>Target temperature management, n (%)</w:t>
            </w:r>
          </w:p>
        </w:tc>
        <w:tc>
          <w:tcPr>
            <w:tcW w:w="400" w:type="dxa"/>
            <w:tcBorders>
              <w:top w:val="nil"/>
              <w:left w:val="nil"/>
              <w:bottom w:val="nil"/>
              <w:right w:val="nil"/>
            </w:tcBorders>
            <w:shd w:val="clear" w:color="auto" w:fill="auto"/>
            <w:noWrap/>
            <w:vAlign w:val="bottom"/>
            <w:hideMark/>
          </w:tcPr>
          <w:p w14:paraId="11FDBE23"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E73F60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51B1E539"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0B39985"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0D52218E"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4C454000"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t>Laboratory data</w:t>
            </w:r>
          </w:p>
        </w:tc>
        <w:tc>
          <w:tcPr>
            <w:tcW w:w="400" w:type="dxa"/>
            <w:tcBorders>
              <w:top w:val="nil"/>
              <w:left w:val="nil"/>
              <w:bottom w:val="nil"/>
              <w:right w:val="nil"/>
            </w:tcBorders>
            <w:shd w:val="clear" w:color="auto" w:fill="auto"/>
            <w:noWrap/>
            <w:vAlign w:val="bottom"/>
            <w:hideMark/>
          </w:tcPr>
          <w:p w14:paraId="17B5223C" w14:textId="77777777" w:rsidR="00171D18" w:rsidRPr="00863EE4" w:rsidRDefault="00171D18">
            <w:pPr>
              <w:rPr>
                <w:rFonts w:ascii="Arial" w:hAnsi="Arial" w:cs="Arial"/>
                <w:b/>
                <w:bCs/>
                <w:color w:val="000000" w:themeColor="text1"/>
              </w:rPr>
            </w:pPr>
          </w:p>
        </w:tc>
        <w:tc>
          <w:tcPr>
            <w:tcW w:w="1900" w:type="dxa"/>
            <w:tcBorders>
              <w:top w:val="nil"/>
              <w:left w:val="nil"/>
              <w:bottom w:val="nil"/>
              <w:right w:val="nil"/>
            </w:tcBorders>
            <w:shd w:val="clear" w:color="auto" w:fill="auto"/>
            <w:noWrap/>
            <w:vAlign w:val="bottom"/>
            <w:hideMark/>
          </w:tcPr>
          <w:p w14:paraId="1AEF104C" w14:textId="77777777" w:rsidR="00171D18" w:rsidRPr="00863EE4" w:rsidRDefault="00171D18">
            <w:pPr>
              <w:rPr>
                <w:rFonts w:ascii="Times New Roman" w:eastAsia="Times New Roman" w:hAnsi="Times New Roman" w:cs="Times New Roman"/>
                <w:color w:val="000000" w:themeColor="text1"/>
                <w:sz w:val="20"/>
                <w:szCs w:val="20"/>
              </w:rPr>
            </w:pPr>
          </w:p>
        </w:tc>
        <w:tc>
          <w:tcPr>
            <w:tcW w:w="260" w:type="dxa"/>
            <w:tcBorders>
              <w:top w:val="nil"/>
              <w:left w:val="nil"/>
              <w:bottom w:val="nil"/>
              <w:right w:val="nil"/>
            </w:tcBorders>
            <w:shd w:val="clear" w:color="auto" w:fill="auto"/>
            <w:noWrap/>
            <w:vAlign w:val="center"/>
            <w:hideMark/>
          </w:tcPr>
          <w:p w14:paraId="6050E56F" w14:textId="77777777" w:rsidR="00171D18" w:rsidRPr="00863EE4" w:rsidRDefault="00171D18">
            <w:pPr>
              <w:rPr>
                <w:rFonts w:ascii="Times New Roman" w:eastAsia="Times New Roman" w:hAnsi="Times New Roman" w:cs="Times New Roman"/>
                <w:color w:val="000000" w:themeColor="text1"/>
                <w:sz w:val="20"/>
                <w:szCs w:val="20"/>
              </w:rPr>
            </w:pPr>
          </w:p>
        </w:tc>
        <w:tc>
          <w:tcPr>
            <w:tcW w:w="1900" w:type="dxa"/>
            <w:tcBorders>
              <w:top w:val="nil"/>
              <w:left w:val="nil"/>
              <w:bottom w:val="nil"/>
              <w:right w:val="nil"/>
            </w:tcBorders>
            <w:shd w:val="clear" w:color="auto" w:fill="auto"/>
            <w:noWrap/>
            <w:vAlign w:val="bottom"/>
            <w:hideMark/>
          </w:tcPr>
          <w:p w14:paraId="1A7ECB83" w14:textId="77777777" w:rsidR="00171D18" w:rsidRPr="00863EE4" w:rsidRDefault="00171D18">
            <w:pPr>
              <w:rPr>
                <w:rFonts w:ascii="Times New Roman" w:eastAsia="Times New Roman" w:hAnsi="Times New Roman" w:cs="Times New Roman"/>
                <w:color w:val="000000" w:themeColor="text1"/>
                <w:sz w:val="20"/>
                <w:szCs w:val="20"/>
              </w:rPr>
            </w:pPr>
          </w:p>
        </w:tc>
      </w:tr>
      <w:tr w:rsidR="00863EE4" w:rsidRPr="00863EE4" w14:paraId="4E62A7F5" w14:textId="77777777" w:rsidTr="00171D18">
        <w:trPr>
          <w:trHeight w:val="340"/>
        </w:trPr>
        <w:tc>
          <w:tcPr>
            <w:tcW w:w="240" w:type="dxa"/>
            <w:tcBorders>
              <w:top w:val="nil"/>
              <w:left w:val="nil"/>
              <w:bottom w:val="nil"/>
              <w:right w:val="nil"/>
            </w:tcBorders>
            <w:shd w:val="clear" w:color="auto" w:fill="auto"/>
            <w:noWrap/>
            <w:vAlign w:val="center"/>
            <w:hideMark/>
          </w:tcPr>
          <w:p w14:paraId="22DE0A92" w14:textId="77777777" w:rsidR="00171D18" w:rsidRPr="00863EE4" w:rsidRDefault="00171D18">
            <w:pPr>
              <w:rPr>
                <w:rFonts w:ascii="Times New Roman" w:eastAsia="Times New Roman" w:hAnsi="Times New Roman" w:cs="Times New Roman"/>
                <w:color w:val="000000" w:themeColor="text1"/>
                <w:sz w:val="20"/>
                <w:szCs w:val="20"/>
              </w:rPr>
            </w:pPr>
          </w:p>
        </w:tc>
        <w:tc>
          <w:tcPr>
            <w:tcW w:w="6240" w:type="dxa"/>
            <w:tcBorders>
              <w:top w:val="nil"/>
              <w:left w:val="nil"/>
              <w:bottom w:val="nil"/>
              <w:right w:val="nil"/>
            </w:tcBorders>
            <w:shd w:val="clear" w:color="auto" w:fill="auto"/>
            <w:noWrap/>
            <w:vAlign w:val="center"/>
            <w:hideMark/>
          </w:tcPr>
          <w:p w14:paraId="3B484F8B"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Albumin, g/dL (median [IQR]) </w:t>
            </w:r>
          </w:p>
        </w:tc>
        <w:tc>
          <w:tcPr>
            <w:tcW w:w="400" w:type="dxa"/>
            <w:tcBorders>
              <w:top w:val="nil"/>
              <w:left w:val="nil"/>
              <w:bottom w:val="nil"/>
              <w:right w:val="nil"/>
            </w:tcBorders>
            <w:shd w:val="clear" w:color="auto" w:fill="auto"/>
            <w:noWrap/>
            <w:vAlign w:val="bottom"/>
            <w:hideMark/>
          </w:tcPr>
          <w:p w14:paraId="60204C6E"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center"/>
            <w:hideMark/>
          </w:tcPr>
          <w:p w14:paraId="5220F5FF" w14:textId="77777777" w:rsidR="00171D18" w:rsidRPr="00863EE4" w:rsidRDefault="00000000">
            <w:pPr>
              <w:rPr>
                <w:rFonts w:ascii="Arial" w:hAnsi="Arial" w:cs="Arial"/>
                <w:color w:val="000000" w:themeColor="text1"/>
              </w:rPr>
            </w:pPr>
            <w:r w:rsidRPr="00863EE4">
              <w:rPr>
                <w:rFonts w:ascii="Arial" w:hAnsi="Arial" w:cs="Arial"/>
                <w:color w:val="000000" w:themeColor="text1"/>
              </w:rPr>
              <w:t>478 (14.3)</w:t>
            </w:r>
          </w:p>
        </w:tc>
        <w:tc>
          <w:tcPr>
            <w:tcW w:w="260" w:type="dxa"/>
            <w:tcBorders>
              <w:top w:val="nil"/>
              <w:left w:val="nil"/>
              <w:bottom w:val="nil"/>
              <w:right w:val="nil"/>
            </w:tcBorders>
            <w:shd w:val="clear" w:color="auto" w:fill="auto"/>
            <w:noWrap/>
            <w:vAlign w:val="center"/>
            <w:hideMark/>
          </w:tcPr>
          <w:p w14:paraId="558A0FE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center"/>
            <w:hideMark/>
          </w:tcPr>
          <w:p w14:paraId="2C90E9B6" w14:textId="77777777" w:rsidR="00171D18" w:rsidRPr="00863EE4" w:rsidRDefault="00000000">
            <w:pPr>
              <w:rPr>
                <w:rFonts w:ascii="Arial" w:hAnsi="Arial" w:cs="Arial"/>
                <w:color w:val="000000" w:themeColor="text1"/>
              </w:rPr>
            </w:pPr>
            <w:r w:rsidRPr="00863EE4">
              <w:rPr>
                <w:rFonts w:ascii="Arial" w:hAnsi="Arial" w:cs="Arial"/>
                <w:color w:val="000000" w:themeColor="text1"/>
              </w:rPr>
              <w:t>770 (18.1)</w:t>
            </w:r>
          </w:p>
        </w:tc>
      </w:tr>
      <w:tr w:rsidR="00863EE4" w:rsidRPr="00863EE4" w14:paraId="019F8744" w14:textId="77777777" w:rsidTr="00171D18">
        <w:trPr>
          <w:trHeight w:val="340"/>
        </w:trPr>
        <w:tc>
          <w:tcPr>
            <w:tcW w:w="240" w:type="dxa"/>
            <w:tcBorders>
              <w:top w:val="nil"/>
              <w:left w:val="nil"/>
              <w:bottom w:val="nil"/>
              <w:right w:val="nil"/>
            </w:tcBorders>
            <w:shd w:val="clear" w:color="auto" w:fill="auto"/>
            <w:noWrap/>
            <w:vAlign w:val="center"/>
            <w:hideMark/>
          </w:tcPr>
          <w:p w14:paraId="39D24EBA"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5422FE8D" w14:textId="77777777" w:rsidR="00171D18" w:rsidRPr="00863EE4" w:rsidRDefault="00000000">
            <w:pPr>
              <w:rPr>
                <w:rFonts w:ascii="Arial" w:hAnsi="Arial" w:cs="Arial"/>
                <w:color w:val="000000" w:themeColor="text1"/>
              </w:rPr>
            </w:pPr>
            <w:r w:rsidRPr="00863EE4">
              <w:rPr>
                <w:rFonts w:ascii="Arial" w:hAnsi="Arial" w:cs="Arial"/>
                <w:color w:val="000000" w:themeColor="text1"/>
              </w:rPr>
              <w:t>Blood urea nitrogen</w:t>
            </w:r>
          </w:p>
        </w:tc>
        <w:tc>
          <w:tcPr>
            <w:tcW w:w="400" w:type="dxa"/>
            <w:tcBorders>
              <w:top w:val="nil"/>
              <w:left w:val="nil"/>
              <w:bottom w:val="nil"/>
              <w:right w:val="nil"/>
            </w:tcBorders>
            <w:shd w:val="clear" w:color="auto" w:fill="auto"/>
            <w:noWrap/>
            <w:vAlign w:val="bottom"/>
            <w:hideMark/>
          </w:tcPr>
          <w:p w14:paraId="5D8C3DE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center"/>
            <w:hideMark/>
          </w:tcPr>
          <w:p w14:paraId="683019EA" w14:textId="77777777" w:rsidR="00171D18" w:rsidRPr="00863EE4" w:rsidRDefault="00000000">
            <w:pPr>
              <w:rPr>
                <w:rFonts w:ascii="Arial" w:hAnsi="Arial" w:cs="Arial"/>
                <w:color w:val="000000" w:themeColor="text1"/>
              </w:rPr>
            </w:pPr>
            <w:r w:rsidRPr="00863EE4">
              <w:rPr>
                <w:rFonts w:ascii="Arial" w:hAnsi="Arial" w:cs="Arial"/>
                <w:color w:val="000000" w:themeColor="text1"/>
              </w:rPr>
              <w:t>362 (10.8)</w:t>
            </w:r>
          </w:p>
        </w:tc>
        <w:tc>
          <w:tcPr>
            <w:tcW w:w="260" w:type="dxa"/>
            <w:tcBorders>
              <w:top w:val="nil"/>
              <w:left w:val="nil"/>
              <w:bottom w:val="nil"/>
              <w:right w:val="nil"/>
            </w:tcBorders>
            <w:shd w:val="clear" w:color="auto" w:fill="auto"/>
            <w:noWrap/>
            <w:vAlign w:val="center"/>
            <w:hideMark/>
          </w:tcPr>
          <w:p w14:paraId="185F1308"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center"/>
            <w:hideMark/>
          </w:tcPr>
          <w:p w14:paraId="1269D866" w14:textId="77777777" w:rsidR="00171D18" w:rsidRPr="00863EE4" w:rsidRDefault="00000000">
            <w:pPr>
              <w:rPr>
                <w:rFonts w:ascii="Arial" w:hAnsi="Arial" w:cs="Arial"/>
                <w:color w:val="000000" w:themeColor="text1"/>
              </w:rPr>
            </w:pPr>
            <w:r w:rsidRPr="00863EE4">
              <w:rPr>
                <w:rFonts w:ascii="Arial" w:hAnsi="Arial" w:cs="Arial"/>
                <w:color w:val="000000" w:themeColor="text1"/>
              </w:rPr>
              <w:t>566 (13.3)</w:t>
            </w:r>
          </w:p>
        </w:tc>
      </w:tr>
      <w:tr w:rsidR="00863EE4" w:rsidRPr="00863EE4" w14:paraId="006A4ACC" w14:textId="77777777" w:rsidTr="00171D18">
        <w:trPr>
          <w:trHeight w:val="340"/>
        </w:trPr>
        <w:tc>
          <w:tcPr>
            <w:tcW w:w="240" w:type="dxa"/>
            <w:tcBorders>
              <w:top w:val="nil"/>
              <w:left w:val="nil"/>
              <w:bottom w:val="nil"/>
              <w:right w:val="nil"/>
            </w:tcBorders>
            <w:shd w:val="clear" w:color="auto" w:fill="auto"/>
            <w:noWrap/>
            <w:vAlign w:val="center"/>
            <w:hideMark/>
          </w:tcPr>
          <w:p w14:paraId="6014F6BF"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1F4ADC53" w14:textId="77777777" w:rsidR="00171D18" w:rsidRPr="00863EE4" w:rsidRDefault="00000000">
            <w:pPr>
              <w:rPr>
                <w:rFonts w:ascii="Arial" w:hAnsi="Arial" w:cs="Arial"/>
                <w:color w:val="000000" w:themeColor="text1"/>
              </w:rPr>
            </w:pPr>
            <w:r w:rsidRPr="00863EE4">
              <w:rPr>
                <w:rFonts w:ascii="Arial" w:hAnsi="Arial" w:cs="Arial"/>
                <w:color w:val="000000" w:themeColor="text1"/>
              </w:rPr>
              <w:t>Creatinine, mg/dL (median [IQR])</w:t>
            </w:r>
          </w:p>
        </w:tc>
        <w:tc>
          <w:tcPr>
            <w:tcW w:w="400" w:type="dxa"/>
            <w:tcBorders>
              <w:top w:val="nil"/>
              <w:left w:val="nil"/>
              <w:bottom w:val="nil"/>
              <w:right w:val="nil"/>
            </w:tcBorders>
            <w:shd w:val="clear" w:color="auto" w:fill="auto"/>
            <w:noWrap/>
            <w:vAlign w:val="bottom"/>
            <w:hideMark/>
          </w:tcPr>
          <w:p w14:paraId="15F3206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B2F4831" w14:textId="77777777" w:rsidR="00171D18" w:rsidRPr="00863EE4" w:rsidRDefault="00000000">
            <w:pPr>
              <w:rPr>
                <w:rFonts w:ascii="Arial" w:hAnsi="Arial" w:cs="Arial"/>
                <w:color w:val="000000" w:themeColor="text1"/>
              </w:rPr>
            </w:pPr>
            <w:r w:rsidRPr="00863EE4">
              <w:rPr>
                <w:rFonts w:ascii="Arial" w:hAnsi="Arial" w:cs="Arial"/>
                <w:color w:val="000000" w:themeColor="text1"/>
              </w:rPr>
              <w:t>295 ( 8.8)</w:t>
            </w:r>
          </w:p>
        </w:tc>
        <w:tc>
          <w:tcPr>
            <w:tcW w:w="260" w:type="dxa"/>
            <w:tcBorders>
              <w:top w:val="nil"/>
              <w:left w:val="nil"/>
              <w:bottom w:val="nil"/>
              <w:right w:val="nil"/>
            </w:tcBorders>
            <w:shd w:val="clear" w:color="auto" w:fill="auto"/>
            <w:noWrap/>
            <w:vAlign w:val="center"/>
            <w:hideMark/>
          </w:tcPr>
          <w:p w14:paraId="4FF156CB"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89B7F29" w14:textId="77777777" w:rsidR="00171D18" w:rsidRPr="00863EE4" w:rsidRDefault="00000000">
            <w:pPr>
              <w:rPr>
                <w:rFonts w:ascii="Arial" w:hAnsi="Arial" w:cs="Arial"/>
                <w:color w:val="000000" w:themeColor="text1"/>
              </w:rPr>
            </w:pPr>
            <w:r w:rsidRPr="00863EE4">
              <w:rPr>
                <w:rFonts w:ascii="Arial" w:hAnsi="Arial" w:cs="Arial"/>
                <w:color w:val="000000" w:themeColor="text1"/>
              </w:rPr>
              <w:t>559 (13.2)</w:t>
            </w:r>
          </w:p>
        </w:tc>
      </w:tr>
      <w:tr w:rsidR="00863EE4" w:rsidRPr="00863EE4" w14:paraId="00C82B3D" w14:textId="77777777" w:rsidTr="00171D18">
        <w:trPr>
          <w:trHeight w:val="340"/>
        </w:trPr>
        <w:tc>
          <w:tcPr>
            <w:tcW w:w="240" w:type="dxa"/>
            <w:tcBorders>
              <w:top w:val="nil"/>
              <w:left w:val="nil"/>
              <w:bottom w:val="nil"/>
              <w:right w:val="nil"/>
            </w:tcBorders>
            <w:shd w:val="clear" w:color="auto" w:fill="auto"/>
            <w:noWrap/>
            <w:vAlign w:val="center"/>
            <w:hideMark/>
          </w:tcPr>
          <w:p w14:paraId="08C4342D"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6A126170" w14:textId="77777777" w:rsidR="00171D18" w:rsidRPr="00863EE4" w:rsidRDefault="00000000">
            <w:pPr>
              <w:rPr>
                <w:rFonts w:ascii="Arial" w:hAnsi="Arial" w:cs="Arial"/>
                <w:color w:val="000000" w:themeColor="text1"/>
              </w:rPr>
            </w:pPr>
            <w:r w:rsidRPr="00863EE4">
              <w:rPr>
                <w:rFonts w:ascii="Arial" w:hAnsi="Arial" w:cs="Arial"/>
                <w:color w:val="000000" w:themeColor="text1"/>
              </w:rPr>
              <w:t>Potassium, mEq/L (median [IQR])</w:t>
            </w:r>
          </w:p>
        </w:tc>
        <w:tc>
          <w:tcPr>
            <w:tcW w:w="400" w:type="dxa"/>
            <w:tcBorders>
              <w:top w:val="nil"/>
              <w:left w:val="nil"/>
              <w:bottom w:val="nil"/>
              <w:right w:val="nil"/>
            </w:tcBorders>
            <w:shd w:val="clear" w:color="auto" w:fill="auto"/>
            <w:noWrap/>
            <w:vAlign w:val="bottom"/>
            <w:hideMark/>
          </w:tcPr>
          <w:p w14:paraId="5E30E8C7"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55F0FC9"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215 ( 6.4) </w:t>
            </w:r>
          </w:p>
        </w:tc>
        <w:tc>
          <w:tcPr>
            <w:tcW w:w="260" w:type="dxa"/>
            <w:tcBorders>
              <w:top w:val="nil"/>
              <w:left w:val="nil"/>
              <w:bottom w:val="nil"/>
              <w:right w:val="nil"/>
            </w:tcBorders>
            <w:shd w:val="clear" w:color="auto" w:fill="auto"/>
            <w:noWrap/>
            <w:vAlign w:val="center"/>
            <w:hideMark/>
          </w:tcPr>
          <w:p w14:paraId="7AED3E4D"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A7BF738"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558 (13.1) </w:t>
            </w:r>
          </w:p>
        </w:tc>
      </w:tr>
      <w:tr w:rsidR="00863EE4" w:rsidRPr="00863EE4" w14:paraId="50094F0B"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1A2F7B6F"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lastRenderedPageBreak/>
              <w:t>Laboratory data (within 3 hour of ROSC)</w:t>
            </w:r>
          </w:p>
        </w:tc>
        <w:tc>
          <w:tcPr>
            <w:tcW w:w="400" w:type="dxa"/>
            <w:tcBorders>
              <w:top w:val="nil"/>
              <w:left w:val="nil"/>
              <w:bottom w:val="nil"/>
              <w:right w:val="nil"/>
            </w:tcBorders>
            <w:shd w:val="clear" w:color="auto" w:fill="auto"/>
            <w:noWrap/>
            <w:vAlign w:val="center"/>
            <w:hideMark/>
          </w:tcPr>
          <w:p w14:paraId="2A9F149D" w14:textId="77777777" w:rsidR="00171D18" w:rsidRPr="00863EE4" w:rsidRDefault="00171D18">
            <w:pPr>
              <w:rPr>
                <w:rFonts w:ascii="Arial" w:hAnsi="Arial" w:cs="Arial"/>
                <w:b/>
                <w:bCs/>
                <w:color w:val="000000" w:themeColor="text1"/>
              </w:rPr>
            </w:pPr>
          </w:p>
        </w:tc>
        <w:tc>
          <w:tcPr>
            <w:tcW w:w="1900" w:type="dxa"/>
            <w:tcBorders>
              <w:top w:val="nil"/>
              <w:left w:val="nil"/>
              <w:bottom w:val="nil"/>
              <w:right w:val="nil"/>
            </w:tcBorders>
            <w:shd w:val="clear" w:color="auto" w:fill="auto"/>
            <w:noWrap/>
            <w:vAlign w:val="center"/>
            <w:hideMark/>
          </w:tcPr>
          <w:p w14:paraId="33E68E5C" w14:textId="77777777" w:rsidR="00171D18" w:rsidRPr="00863EE4" w:rsidRDefault="00171D18">
            <w:pPr>
              <w:rPr>
                <w:rFonts w:ascii="Times New Roman" w:eastAsia="Times New Roman" w:hAnsi="Times New Roman" w:cs="Times New Roman"/>
                <w:color w:val="000000" w:themeColor="text1"/>
                <w:sz w:val="20"/>
                <w:szCs w:val="20"/>
              </w:rPr>
            </w:pPr>
          </w:p>
        </w:tc>
        <w:tc>
          <w:tcPr>
            <w:tcW w:w="260" w:type="dxa"/>
            <w:tcBorders>
              <w:top w:val="nil"/>
              <w:left w:val="nil"/>
              <w:bottom w:val="nil"/>
              <w:right w:val="nil"/>
            </w:tcBorders>
            <w:shd w:val="clear" w:color="auto" w:fill="auto"/>
            <w:noWrap/>
            <w:vAlign w:val="center"/>
            <w:hideMark/>
          </w:tcPr>
          <w:p w14:paraId="2EF02DE9" w14:textId="77777777" w:rsidR="00171D18" w:rsidRPr="00863EE4" w:rsidRDefault="00171D18">
            <w:pPr>
              <w:rPr>
                <w:rFonts w:ascii="Times New Roman" w:eastAsia="Times New Roman" w:hAnsi="Times New Roman" w:cs="Times New Roman"/>
                <w:color w:val="000000" w:themeColor="text1"/>
                <w:sz w:val="20"/>
                <w:szCs w:val="20"/>
              </w:rPr>
            </w:pPr>
          </w:p>
        </w:tc>
        <w:tc>
          <w:tcPr>
            <w:tcW w:w="1900" w:type="dxa"/>
            <w:tcBorders>
              <w:top w:val="nil"/>
              <w:left w:val="nil"/>
              <w:bottom w:val="nil"/>
              <w:right w:val="nil"/>
            </w:tcBorders>
            <w:shd w:val="clear" w:color="auto" w:fill="auto"/>
            <w:noWrap/>
            <w:vAlign w:val="center"/>
            <w:hideMark/>
          </w:tcPr>
          <w:p w14:paraId="4F1E149B" w14:textId="77777777" w:rsidR="00171D18" w:rsidRPr="00863EE4" w:rsidRDefault="00171D18">
            <w:pPr>
              <w:rPr>
                <w:rFonts w:ascii="Times New Roman" w:eastAsia="Times New Roman" w:hAnsi="Times New Roman" w:cs="Times New Roman"/>
                <w:color w:val="000000" w:themeColor="text1"/>
                <w:sz w:val="20"/>
                <w:szCs w:val="20"/>
              </w:rPr>
            </w:pPr>
          </w:p>
        </w:tc>
      </w:tr>
      <w:tr w:rsidR="00863EE4" w:rsidRPr="00863EE4" w14:paraId="5872F008" w14:textId="77777777" w:rsidTr="00171D18">
        <w:trPr>
          <w:trHeight w:val="340"/>
        </w:trPr>
        <w:tc>
          <w:tcPr>
            <w:tcW w:w="240" w:type="dxa"/>
            <w:tcBorders>
              <w:top w:val="nil"/>
              <w:left w:val="nil"/>
              <w:bottom w:val="nil"/>
              <w:right w:val="nil"/>
            </w:tcBorders>
            <w:shd w:val="clear" w:color="auto" w:fill="auto"/>
            <w:noWrap/>
            <w:vAlign w:val="center"/>
            <w:hideMark/>
          </w:tcPr>
          <w:p w14:paraId="102A3B28" w14:textId="77777777" w:rsidR="00171D18" w:rsidRPr="00863EE4" w:rsidRDefault="00171D18">
            <w:pPr>
              <w:rPr>
                <w:rFonts w:ascii="Times New Roman" w:eastAsia="Times New Roman" w:hAnsi="Times New Roman" w:cs="Times New Roman"/>
                <w:color w:val="000000" w:themeColor="text1"/>
                <w:sz w:val="20"/>
                <w:szCs w:val="20"/>
              </w:rPr>
            </w:pPr>
          </w:p>
        </w:tc>
        <w:tc>
          <w:tcPr>
            <w:tcW w:w="6240" w:type="dxa"/>
            <w:tcBorders>
              <w:top w:val="nil"/>
              <w:left w:val="nil"/>
              <w:bottom w:val="nil"/>
              <w:right w:val="nil"/>
            </w:tcBorders>
            <w:shd w:val="clear" w:color="auto" w:fill="auto"/>
            <w:noWrap/>
            <w:vAlign w:val="center"/>
            <w:hideMark/>
          </w:tcPr>
          <w:p w14:paraId="3F2C1F0F" w14:textId="77777777" w:rsidR="00171D18" w:rsidRPr="00863EE4" w:rsidRDefault="00000000">
            <w:pPr>
              <w:rPr>
                <w:rFonts w:ascii="Arial" w:hAnsi="Arial" w:cs="Arial"/>
                <w:color w:val="000000" w:themeColor="text1"/>
              </w:rPr>
            </w:pPr>
            <w:r w:rsidRPr="00863EE4">
              <w:rPr>
                <w:rFonts w:ascii="Arial" w:hAnsi="Arial" w:cs="Arial"/>
                <w:color w:val="000000" w:themeColor="text1"/>
              </w:rPr>
              <w:t>Glucose, mg/dL (median [IQR])</w:t>
            </w:r>
          </w:p>
        </w:tc>
        <w:tc>
          <w:tcPr>
            <w:tcW w:w="400" w:type="dxa"/>
            <w:tcBorders>
              <w:top w:val="nil"/>
              <w:left w:val="nil"/>
              <w:bottom w:val="nil"/>
              <w:right w:val="nil"/>
            </w:tcBorders>
            <w:shd w:val="clear" w:color="auto" w:fill="auto"/>
            <w:noWrap/>
            <w:vAlign w:val="bottom"/>
            <w:hideMark/>
          </w:tcPr>
          <w:p w14:paraId="1AB05EC3"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7B303049"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515 (15.4) </w:t>
            </w:r>
          </w:p>
        </w:tc>
        <w:tc>
          <w:tcPr>
            <w:tcW w:w="260" w:type="dxa"/>
            <w:tcBorders>
              <w:top w:val="nil"/>
              <w:left w:val="nil"/>
              <w:bottom w:val="nil"/>
              <w:right w:val="nil"/>
            </w:tcBorders>
            <w:shd w:val="clear" w:color="auto" w:fill="auto"/>
            <w:noWrap/>
            <w:vAlign w:val="center"/>
            <w:hideMark/>
          </w:tcPr>
          <w:p w14:paraId="02B94B5F"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98D2FE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1010 (23.7) </w:t>
            </w:r>
          </w:p>
        </w:tc>
      </w:tr>
      <w:tr w:rsidR="00863EE4" w:rsidRPr="00863EE4" w14:paraId="44F3686C" w14:textId="77777777" w:rsidTr="00171D18">
        <w:trPr>
          <w:trHeight w:val="360"/>
        </w:trPr>
        <w:tc>
          <w:tcPr>
            <w:tcW w:w="240" w:type="dxa"/>
            <w:tcBorders>
              <w:top w:val="nil"/>
              <w:left w:val="nil"/>
              <w:bottom w:val="nil"/>
              <w:right w:val="nil"/>
            </w:tcBorders>
            <w:shd w:val="clear" w:color="auto" w:fill="auto"/>
            <w:noWrap/>
            <w:vAlign w:val="center"/>
            <w:hideMark/>
          </w:tcPr>
          <w:p w14:paraId="4C6F4835"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64320945" w14:textId="77777777" w:rsidR="00171D18" w:rsidRPr="00863EE4" w:rsidRDefault="00000000">
            <w:pPr>
              <w:rPr>
                <w:rFonts w:ascii="Arial" w:hAnsi="Arial" w:cs="Arial"/>
                <w:color w:val="000000" w:themeColor="text1"/>
              </w:rPr>
            </w:pPr>
            <w:r w:rsidRPr="00863EE4">
              <w:rPr>
                <w:rFonts w:ascii="Arial" w:hAnsi="Arial" w:cs="Arial"/>
                <w:color w:val="000000" w:themeColor="text1"/>
              </w:rPr>
              <w:t>pH (median [IQR])</w:t>
            </w:r>
          </w:p>
        </w:tc>
        <w:tc>
          <w:tcPr>
            <w:tcW w:w="400" w:type="dxa"/>
            <w:tcBorders>
              <w:top w:val="nil"/>
              <w:left w:val="nil"/>
              <w:bottom w:val="nil"/>
              <w:right w:val="nil"/>
            </w:tcBorders>
            <w:shd w:val="clear" w:color="auto" w:fill="auto"/>
            <w:noWrap/>
            <w:vAlign w:val="bottom"/>
            <w:hideMark/>
          </w:tcPr>
          <w:p w14:paraId="6E9A8B1C"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9D7925B"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452 (13.5) </w:t>
            </w:r>
          </w:p>
        </w:tc>
        <w:tc>
          <w:tcPr>
            <w:tcW w:w="260" w:type="dxa"/>
            <w:tcBorders>
              <w:top w:val="nil"/>
              <w:left w:val="nil"/>
              <w:bottom w:val="nil"/>
              <w:right w:val="nil"/>
            </w:tcBorders>
            <w:shd w:val="clear" w:color="auto" w:fill="auto"/>
            <w:noWrap/>
            <w:vAlign w:val="center"/>
            <w:hideMark/>
          </w:tcPr>
          <w:p w14:paraId="1E16772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EE65262"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965 (22.7) </w:t>
            </w:r>
          </w:p>
        </w:tc>
      </w:tr>
      <w:tr w:rsidR="00863EE4" w:rsidRPr="00863EE4" w14:paraId="7191712F" w14:textId="77777777" w:rsidTr="00171D18">
        <w:trPr>
          <w:trHeight w:val="340"/>
        </w:trPr>
        <w:tc>
          <w:tcPr>
            <w:tcW w:w="240" w:type="dxa"/>
            <w:tcBorders>
              <w:top w:val="nil"/>
              <w:left w:val="nil"/>
              <w:bottom w:val="nil"/>
              <w:right w:val="nil"/>
            </w:tcBorders>
            <w:shd w:val="clear" w:color="auto" w:fill="auto"/>
            <w:noWrap/>
            <w:vAlign w:val="center"/>
            <w:hideMark/>
          </w:tcPr>
          <w:p w14:paraId="48F9C383"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30CE4EFC" w14:textId="77777777" w:rsidR="00171D18" w:rsidRPr="00863EE4" w:rsidRDefault="00000000">
            <w:pPr>
              <w:rPr>
                <w:rFonts w:ascii="Arial" w:hAnsi="Arial" w:cs="Arial"/>
                <w:color w:val="000000" w:themeColor="text1"/>
              </w:rPr>
            </w:pPr>
            <w:r w:rsidRPr="00863EE4">
              <w:rPr>
                <w:rFonts w:ascii="Arial" w:hAnsi="Arial" w:cs="Arial"/>
                <w:color w:val="000000" w:themeColor="text1"/>
              </w:rPr>
              <w:t>pCO</w:t>
            </w:r>
            <w:r w:rsidRPr="00863EE4">
              <w:rPr>
                <w:rFonts w:ascii="Arial" w:hAnsi="Arial" w:cs="Arial"/>
                <w:color w:val="000000" w:themeColor="text1"/>
                <w:vertAlign w:val="subscript"/>
              </w:rPr>
              <w:t>2</w:t>
            </w:r>
            <w:r w:rsidRPr="00863EE4">
              <w:rPr>
                <w:rFonts w:ascii="Arial" w:hAnsi="Arial" w:cs="Arial"/>
                <w:color w:val="000000" w:themeColor="text1"/>
              </w:rPr>
              <w:t>, mmHg (median [IQR])</w:t>
            </w:r>
          </w:p>
        </w:tc>
        <w:tc>
          <w:tcPr>
            <w:tcW w:w="400" w:type="dxa"/>
            <w:tcBorders>
              <w:top w:val="nil"/>
              <w:left w:val="nil"/>
              <w:bottom w:val="nil"/>
              <w:right w:val="nil"/>
            </w:tcBorders>
            <w:shd w:val="clear" w:color="auto" w:fill="auto"/>
            <w:noWrap/>
            <w:vAlign w:val="bottom"/>
            <w:hideMark/>
          </w:tcPr>
          <w:p w14:paraId="75B8DD94"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0197445"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457 (13.6) </w:t>
            </w:r>
          </w:p>
        </w:tc>
        <w:tc>
          <w:tcPr>
            <w:tcW w:w="260" w:type="dxa"/>
            <w:tcBorders>
              <w:top w:val="nil"/>
              <w:left w:val="nil"/>
              <w:bottom w:val="nil"/>
              <w:right w:val="nil"/>
            </w:tcBorders>
            <w:shd w:val="clear" w:color="auto" w:fill="auto"/>
            <w:noWrap/>
            <w:vAlign w:val="center"/>
            <w:hideMark/>
          </w:tcPr>
          <w:p w14:paraId="7B8E5E7E"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1FCC0967"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954 (21.9) </w:t>
            </w:r>
          </w:p>
        </w:tc>
      </w:tr>
      <w:tr w:rsidR="00863EE4" w:rsidRPr="00863EE4" w14:paraId="1C727DD7" w14:textId="77777777" w:rsidTr="00171D18">
        <w:trPr>
          <w:trHeight w:val="340"/>
        </w:trPr>
        <w:tc>
          <w:tcPr>
            <w:tcW w:w="240" w:type="dxa"/>
            <w:tcBorders>
              <w:top w:val="nil"/>
              <w:left w:val="nil"/>
              <w:bottom w:val="nil"/>
              <w:right w:val="nil"/>
            </w:tcBorders>
            <w:shd w:val="clear" w:color="auto" w:fill="auto"/>
            <w:noWrap/>
            <w:vAlign w:val="center"/>
            <w:hideMark/>
          </w:tcPr>
          <w:p w14:paraId="73AFFDD3"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41A97B44" w14:textId="77777777" w:rsidR="00171D18" w:rsidRPr="00863EE4" w:rsidRDefault="00000000">
            <w:pPr>
              <w:rPr>
                <w:rFonts w:ascii="Arial" w:hAnsi="Arial" w:cs="Arial"/>
                <w:color w:val="000000" w:themeColor="text1"/>
              </w:rPr>
            </w:pPr>
            <w:r w:rsidRPr="00863EE4">
              <w:rPr>
                <w:rFonts w:ascii="Arial" w:hAnsi="Arial" w:cs="Arial"/>
                <w:color w:val="000000" w:themeColor="text1"/>
              </w:rPr>
              <w:t>Base excess</w:t>
            </w:r>
          </w:p>
        </w:tc>
        <w:tc>
          <w:tcPr>
            <w:tcW w:w="400" w:type="dxa"/>
            <w:tcBorders>
              <w:top w:val="nil"/>
              <w:left w:val="nil"/>
              <w:bottom w:val="nil"/>
              <w:right w:val="nil"/>
            </w:tcBorders>
            <w:shd w:val="clear" w:color="auto" w:fill="auto"/>
            <w:noWrap/>
            <w:vAlign w:val="center"/>
            <w:hideMark/>
          </w:tcPr>
          <w:p w14:paraId="1DEAC409"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526F4910"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592 (17.7) </w:t>
            </w:r>
          </w:p>
        </w:tc>
        <w:tc>
          <w:tcPr>
            <w:tcW w:w="260" w:type="dxa"/>
            <w:tcBorders>
              <w:top w:val="nil"/>
              <w:left w:val="nil"/>
              <w:bottom w:val="nil"/>
              <w:right w:val="nil"/>
            </w:tcBorders>
            <w:shd w:val="clear" w:color="auto" w:fill="auto"/>
            <w:noWrap/>
            <w:vAlign w:val="center"/>
            <w:hideMark/>
          </w:tcPr>
          <w:p w14:paraId="1252C2B5"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0C044FB5"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1127 (22.4) </w:t>
            </w:r>
          </w:p>
        </w:tc>
      </w:tr>
      <w:tr w:rsidR="00863EE4" w:rsidRPr="00863EE4" w14:paraId="6AF152FC" w14:textId="77777777" w:rsidTr="00171D18">
        <w:trPr>
          <w:trHeight w:val="340"/>
        </w:trPr>
        <w:tc>
          <w:tcPr>
            <w:tcW w:w="240" w:type="dxa"/>
            <w:tcBorders>
              <w:top w:val="nil"/>
              <w:left w:val="nil"/>
              <w:bottom w:val="nil"/>
              <w:right w:val="nil"/>
            </w:tcBorders>
            <w:shd w:val="clear" w:color="auto" w:fill="auto"/>
            <w:noWrap/>
            <w:vAlign w:val="center"/>
            <w:hideMark/>
          </w:tcPr>
          <w:p w14:paraId="6F526596" w14:textId="77777777" w:rsidR="00171D18" w:rsidRPr="00863EE4" w:rsidRDefault="00171D18">
            <w:pPr>
              <w:rPr>
                <w:rFonts w:ascii="Arial" w:hAnsi="Arial" w:cs="Arial"/>
                <w:color w:val="000000" w:themeColor="text1"/>
              </w:rPr>
            </w:pPr>
          </w:p>
        </w:tc>
        <w:tc>
          <w:tcPr>
            <w:tcW w:w="6640" w:type="dxa"/>
            <w:gridSpan w:val="2"/>
            <w:tcBorders>
              <w:top w:val="nil"/>
              <w:left w:val="nil"/>
              <w:bottom w:val="nil"/>
              <w:right w:val="nil"/>
            </w:tcBorders>
            <w:shd w:val="clear" w:color="auto" w:fill="auto"/>
            <w:noWrap/>
            <w:vAlign w:val="center"/>
            <w:hideMark/>
          </w:tcPr>
          <w:p w14:paraId="47102C72" w14:textId="77777777" w:rsidR="00171D18" w:rsidRPr="00863EE4" w:rsidRDefault="00000000">
            <w:pPr>
              <w:rPr>
                <w:rFonts w:ascii="Arial" w:hAnsi="Arial" w:cs="Arial"/>
                <w:color w:val="000000" w:themeColor="text1"/>
              </w:rPr>
            </w:pPr>
            <w:r w:rsidRPr="00863EE4">
              <w:rPr>
                <w:rFonts w:ascii="Arial" w:hAnsi="Arial" w:cs="Arial"/>
                <w:color w:val="000000" w:themeColor="text1"/>
              </w:rPr>
              <w:t>HCO</w:t>
            </w:r>
            <w:r w:rsidRPr="00863EE4">
              <w:rPr>
                <w:rFonts w:ascii="Arial" w:hAnsi="Arial" w:cs="Arial"/>
                <w:color w:val="000000" w:themeColor="text1"/>
                <w:vertAlign w:val="subscript"/>
              </w:rPr>
              <w:t>3</w:t>
            </w:r>
            <w:r w:rsidRPr="00863EE4">
              <w:rPr>
                <w:rFonts w:ascii="Arial" w:hAnsi="Arial" w:cs="Arial"/>
                <w:color w:val="000000" w:themeColor="text1"/>
                <w:vertAlign w:val="superscript"/>
              </w:rPr>
              <w:t>-</w:t>
            </w:r>
          </w:p>
        </w:tc>
        <w:tc>
          <w:tcPr>
            <w:tcW w:w="1900" w:type="dxa"/>
            <w:tcBorders>
              <w:top w:val="nil"/>
              <w:left w:val="nil"/>
              <w:bottom w:val="nil"/>
              <w:right w:val="nil"/>
            </w:tcBorders>
            <w:shd w:val="clear" w:color="auto" w:fill="auto"/>
            <w:noWrap/>
            <w:vAlign w:val="bottom"/>
            <w:hideMark/>
          </w:tcPr>
          <w:p w14:paraId="5285DC1E"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472 (14.1) </w:t>
            </w:r>
          </w:p>
        </w:tc>
        <w:tc>
          <w:tcPr>
            <w:tcW w:w="260" w:type="dxa"/>
            <w:tcBorders>
              <w:top w:val="nil"/>
              <w:left w:val="nil"/>
              <w:bottom w:val="nil"/>
              <w:right w:val="nil"/>
            </w:tcBorders>
            <w:shd w:val="clear" w:color="auto" w:fill="auto"/>
            <w:noWrap/>
            <w:vAlign w:val="center"/>
            <w:hideMark/>
          </w:tcPr>
          <w:p w14:paraId="745A4868"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698B1FF"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1078 (25.3) </w:t>
            </w:r>
          </w:p>
        </w:tc>
      </w:tr>
      <w:tr w:rsidR="00863EE4" w:rsidRPr="00863EE4" w14:paraId="5515DCE2" w14:textId="77777777" w:rsidTr="00171D18">
        <w:trPr>
          <w:trHeight w:val="340"/>
        </w:trPr>
        <w:tc>
          <w:tcPr>
            <w:tcW w:w="240" w:type="dxa"/>
            <w:tcBorders>
              <w:top w:val="nil"/>
              <w:left w:val="nil"/>
              <w:bottom w:val="nil"/>
              <w:right w:val="nil"/>
            </w:tcBorders>
            <w:shd w:val="clear" w:color="auto" w:fill="auto"/>
            <w:noWrap/>
            <w:vAlign w:val="center"/>
            <w:hideMark/>
          </w:tcPr>
          <w:p w14:paraId="47097519" w14:textId="77777777" w:rsidR="00171D18" w:rsidRPr="00863EE4" w:rsidRDefault="00171D18">
            <w:pPr>
              <w:rPr>
                <w:rFonts w:ascii="Arial" w:hAnsi="Arial" w:cs="Arial"/>
                <w:color w:val="000000" w:themeColor="text1"/>
              </w:rPr>
            </w:pPr>
          </w:p>
        </w:tc>
        <w:tc>
          <w:tcPr>
            <w:tcW w:w="6240" w:type="dxa"/>
            <w:tcBorders>
              <w:top w:val="nil"/>
              <w:left w:val="nil"/>
              <w:bottom w:val="nil"/>
              <w:right w:val="nil"/>
            </w:tcBorders>
            <w:shd w:val="clear" w:color="auto" w:fill="auto"/>
            <w:noWrap/>
            <w:vAlign w:val="center"/>
            <w:hideMark/>
          </w:tcPr>
          <w:p w14:paraId="50DE1B1F" w14:textId="77777777" w:rsidR="00171D18" w:rsidRPr="00863EE4" w:rsidRDefault="00000000">
            <w:pPr>
              <w:rPr>
                <w:rFonts w:ascii="Arial" w:hAnsi="Arial" w:cs="Arial"/>
                <w:color w:val="000000" w:themeColor="text1"/>
              </w:rPr>
            </w:pPr>
            <w:r w:rsidRPr="00863EE4">
              <w:rPr>
                <w:rFonts w:ascii="Arial" w:hAnsi="Arial" w:cs="Arial"/>
                <w:color w:val="000000" w:themeColor="text1"/>
              </w:rPr>
              <w:t>Lactate, mEq/L (median [IQR])</w:t>
            </w:r>
          </w:p>
        </w:tc>
        <w:tc>
          <w:tcPr>
            <w:tcW w:w="400" w:type="dxa"/>
            <w:tcBorders>
              <w:top w:val="nil"/>
              <w:left w:val="nil"/>
              <w:bottom w:val="nil"/>
              <w:right w:val="nil"/>
            </w:tcBorders>
            <w:shd w:val="clear" w:color="auto" w:fill="auto"/>
            <w:noWrap/>
            <w:vAlign w:val="bottom"/>
            <w:hideMark/>
          </w:tcPr>
          <w:p w14:paraId="73C34256"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4D4C16C"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513 (15.3) </w:t>
            </w:r>
          </w:p>
        </w:tc>
        <w:tc>
          <w:tcPr>
            <w:tcW w:w="260" w:type="dxa"/>
            <w:tcBorders>
              <w:top w:val="nil"/>
              <w:left w:val="nil"/>
              <w:bottom w:val="nil"/>
              <w:right w:val="nil"/>
            </w:tcBorders>
            <w:shd w:val="clear" w:color="auto" w:fill="auto"/>
            <w:noWrap/>
            <w:vAlign w:val="center"/>
            <w:hideMark/>
          </w:tcPr>
          <w:p w14:paraId="110D2088"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3FA5C225"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1082 (25.4) </w:t>
            </w:r>
          </w:p>
        </w:tc>
      </w:tr>
      <w:tr w:rsidR="00863EE4" w:rsidRPr="00863EE4" w14:paraId="3E305156" w14:textId="77777777" w:rsidTr="00171D18">
        <w:trPr>
          <w:trHeight w:val="340"/>
        </w:trPr>
        <w:tc>
          <w:tcPr>
            <w:tcW w:w="6480" w:type="dxa"/>
            <w:gridSpan w:val="2"/>
            <w:tcBorders>
              <w:top w:val="nil"/>
              <w:left w:val="nil"/>
              <w:bottom w:val="nil"/>
              <w:right w:val="nil"/>
            </w:tcBorders>
            <w:shd w:val="clear" w:color="auto" w:fill="auto"/>
            <w:noWrap/>
            <w:vAlign w:val="center"/>
            <w:hideMark/>
          </w:tcPr>
          <w:p w14:paraId="42C7A2F7" w14:textId="77777777" w:rsidR="00171D18" w:rsidRPr="00863EE4" w:rsidRDefault="00000000">
            <w:pPr>
              <w:rPr>
                <w:rFonts w:ascii="Arial" w:hAnsi="Arial" w:cs="Arial"/>
                <w:b/>
                <w:bCs/>
                <w:color w:val="000000" w:themeColor="text1"/>
              </w:rPr>
            </w:pPr>
            <w:r w:rsidRPr="00863EE4">
              <w:rPr>
                <w:rFonts w:ascii="Arial" w:hAnsi="Arial" w:cs="Arial"/>
                <w:b/>
                <w:bCs/>
                <w:color w:val="000000" w:themeColor="text1"/>
              </w:rPr>
              <w:t>Outcome</w:t>
            </w:r>
          </w:p>
        </w:tc>
        <w:tc>
          <w:tcPr>
            <w:tcW w:w="400" w:type="dxa"/>
            <w:tcBorders>
              <w:top w:val="nil"/>
              <w:left w:val="nil"/>
              <w:bottom w:val="nil"/>
              <w:right w:val="nil"/>
            </w:tcBorders>
            <w:shd w:val="clear" w:color="auto" w:fill="auto"/>
            <w:noWrap/>
            <w:vAlign w:val="bottom"/>
            <w:hideMark/>
          </w:tcPr>
          <w:p w14:paraId="7FC3C7E6" w14:textId="77777777" w:rsidR="00171D18" w:rsidRPr="00863EE4" w:rsidRDefault="00171D18">
            <w:pPr>
              <w:rPr>
                <w:rFonts w:ascii="Arial" w:hAnsi="Arial" w:cs="Arial"/>
                <w:b/>
                <w:bCs/>
                <w:color w:val="000000" w:themeColor="text1"/>
              </w:rPr>
            </w:pPr>
          </w:p>
        </w:tc>
        <w:tc>
          <w:tcPr>
            <w:tcW w:w="1900" w:type="dxa"/>
            <w:tcBorders>
              <w:top w:val="nil"/>
              <w:left w:val="nil"/>
              <w:bottom w:val="nil"/>
              <w:right w:val="nil"/>
            </w:tcBorders>
            <w:shd w:val="clear" w:color="auto" w:fill="auto"/>
            <w:noWrap/>
            <w:vAlign w:val="bottom"/>
            <w:hideMark/>
          </w:tcPr>
          <w:p w14:paraId="14D8D185" w14:textId="77777777" w:rsidR="00171D18" w:rsidRPr="00863EE4" w:rsidRDefault="00171D18">
            <w:pPr>
              <w:rPr>
                <w:rFonts w:ascii="Times New Roman" w:eastAsia="Times New Roman" w:hAnsi="Times New Roman" w:cs="Times New Roman"/>
                <w:color w:val="000000" w:themeColor="text1"/>
                <w:sz w:val="20"/>
                <w:szCs w:val="20"/>
              </w:rPr>
            </w:pPr>
          </w:p>
        </w:tc>
        <w:tc>
          <w:tcPr>
            <w:tcW w:w="260" w:type="dxa"/>
            <w:tcBorders>
              <w:top w:val="nil"/>
              <w:left w:val="nil"/>
              <w:bottom w:val="nil"/>
              <w:right w:val="nil"/>
            </w:tcBorders>
            <w:shd w:val="clear" w:color="auto" w:fill="auto"/>
            <w:noWrap/>
            <w:vAlign w:val="center"/>
            <w:hideMark/>
          </w:tcPr>
          <w:p w14:paraId="5CEAA4AB" w14:textId="77777777" w:rsidR="00171D18" w:rsidRPr="00863EE4" w:rsidRDefault="00171D18">
            <w:pPr>
              <w:rPr>
                <w:rFonts w:ascii="Times New Roman" w:eastAsia="Times New Roman" w:hAnsi="Times New Roman" w:cs="Times New Roman"/>
                <w:color w:val="000000" w:themeColor="text1"/>
                <w:sz w:val="20"/>
                <w:szCs w:val="20"/>
              </w:rPr>
            </w:pPr>
          </w:p>
        </w:tc>
        <w:tc>
          <w:tcPr>
            <w:tcW w:w="1900" w:type="dxa"/>
            <w:tcBorders>
              <w:top w:val="nil"/>
              <w:left w:val="nil"/>
              <w:bottom w:val="nil"/>
              <w:right w:val="nil"/>
            </w:tcBorders>
            <w:shd w:val="clear" w:color="auto" w:fill="auto"/>
            <w:noWrap/>
            <w:vAlign w:val="bottom"/>
            <w:hideMark/>
          </w:tcPr>
          <w:p w14:paraId="30BC2DA8" w14:textId="77777777" w:rsidR="00171D18" w:rsidRPr="00863EE4" w:rsidRDefault="00171D18">
            <w:pPr>
              <w:rPr>
                <w:rFonts w:ascii="Times New Roman" w:eastAsia="Times New Roman" w:hAnsi="Times New Roman" w:cs="Times New Roman"/>
                <w:color w:val="000000" w:themeColor="text1"/>
                <w:sz w:val="20"/>
                <w:szCs w:val="20"/>
              </w:rPr>
            </w:pPr>
          </w:p>
        </w:tc>
      </w:tr>
      <w:tr w:rsidR="00863EE4" w:rsidRPr="00863EE4" w14:paraId="261CD09E" w14:textId="77777777" w:rsidTr="00171D18">
        <w:trPr>
          <w:trHeight w:val="340"/>
        </w:trPr>
        <w:tc>
          <w:tcPr>
            <w:tcW w:w="240" w:type="dxa"/>
            <w:tcBorders>
              <w:top w:val="nil"/>
              <w:left w:val="nil"/>
              <w:bottom w:val="nil"/>
              <w:right w:val="nil"/>
            </w:tcBorders>
            <w:shd w:val="clear" w:color="auto" w:fill="auto"/>
            <w:noWrap/>
            <w:vAlign w:val="center"/>
            <w:hideMark/>
          </w:tcPr>
          <w:p w14:paraId="5EAD18C5" w14:textId="77777777" w:rsidR="00171D18" w:rsidRPr="00863EE4" w:rsidRDefault="00171D18">
            <w:pPr>
              <w:rPr>
                <w:rFonts w:ascii="Times New Roman" w:eastAsia="Times New Roman" w:hAnsi="Times New Roman" w:cs="Times New Roman"/>
                <w:color w:val="000000" w:themeColor="text1"/>
                <w:sz w:val="20"/>
                <w:szCs w:val="20"/>
              </w:rPr>
            </w:pPr>
          </w:p>
        </w:tc>
        <w:tc>
          <w:tcPr>
            <w:tcW w:w="6240" w:type="dxa"/>
            <w:tcBorders>
              <w:top w:val="nil"/>
              <w:left w:val="nil"/>
              <w:bottom w:val="nil"/>
              <w:right w:val="nil"/>
            </w:tcBorders>
            <w:shd w:val="clear" w:color="auto" w:fill="auto"/>
            <w:noWrap/>
            <w:vAlign w:val="center"/>
            <w:hideMark/>
          </w:tcPr>
          <w:p w14:paraId="319C372D" w14:textId="77777777" w:rsidR="00171D18" w:rsidRPr="00863EE4" w:rsidRDefault="00000000">
            <w:pPr>
              <w:rPr>
                <w:rFonts w:ascii="Arial" w:hAnsi="Arial" w:cs="Arial"/>
                <w:color w:val="000000" w:themeColor="text1"/>
              </w:rPr>
            </w:pPr>
            <w:r w:rsidRPr="00863EE4">
              <w:rPr>
                <w:rFonts w:ascii="Arial" w:hAnsi="Arial" w:cs="Arial"/>
                <w:color w:val="000000" w:themeColor="text1"/>
              </w:rPr>
              <w:t>CPC at 30 days, n (%)</w:t>
            </w:r>
          </w:p>
        </w:tc>
        <w:tc>
          <w:tcPr>
            <w:tcW w:w="400" w:type="dxa"/>
            <w:tcBorders>
              <w:top w:val="nil"/>
              <w:left w:val="nil"/>
              <w:bottom w:val="nil"/>
              <w:right w:val="nil"/>
            </w:tcBorders>
            <w:shd w:val="clear" w:color="auto" w:fill="auto"/>
            <w:noWrap/>
            <w:vAlign w:val="bottom"/>
            <w:hideMark/>
          </w:tcPr>
          <w:p w14:paraId="50FD8B9E"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29E2172C"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c>
          <w:tcPr>
            <w:tcW w:w="260" w:type="dxa"/>
            <w:tcBorders>
              <w:top w:val="nil"/>
              <w:left w:val="nil"/>
              <w:bottom w:val="nil"/>
              <w:right w:val="nil"/>
            </w:tcBorders>
            <w:shd w:val="clear" w:color="auto" w:fill="auto"/>
            <w:noWrap/>
            <w:vAlign w:val="center"/>
            <w:hideMark/>
          </w:tcPr>
          <w:p w14:paraId="619FC69A" w14:textId="77777777" w:rsidR="00171D18" w:rsidRPr="00863EE4" w:rsidRDefault="00171D18">
            <w:pPr>
              <w:rPr>
                <w:rFonts w:ascii="Arial" w:hAnsi="Arial" w:cs="Arial"/>
                <w:color w:val="000000" w:themeColor="text1"/>
              </w:rPr>
            </w:pPr>
          </w:p>
        </w:tc>
        <w:tc>
          <w:tcPr>
            <w:tcW w:w="1900" w:type="dxa"/>
            <w:tcBorders>
              <w:top w:val="nil"/>
              <w:left w:val="nil"/>
              <w:bottom w:val="nil"/>
              <w:right w:val="nil"/>
            </w:tcBorders>
            <w:shd w:val="clear" w:color="auto" w:fill="auto"/>
            <w:noWrap/>
            <w:vAlign w:val="bottom"/>
            <w:hideMark/>
          </w:tcPr>
          <w:p w14:paraId="4992F70F"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0 ( 0.0) </w:t>
            </w:r>
          </w:p>
        </w:tc>
      </w:tr>
      <w:tr w:rsidR="00863EE4" w:rsidRPr="00863EE4" w14:paraId="00D05440" w14:textId="77777777" w:rsidTr="00171D18">
        <w:trPr>
          <w:trHeight w:val="340"/>
        </w:trPr>
        <w:tc>
          <w:tcPr>
            <w:tcW w:w="240" w:type="dxa"/>
            <w:tcBorders>
              <w:top w:val="nil"/>
              <w:left w:val="nil"/>
              <w:bottom w:val="single" w:sz="8" w:space="0" w:color="auto"/>
              <w:right w:val="nil"/>
            </w:tcBorders>
            <w:shd w:val="clear" w:color="auto" w:fill="auto"/>
            <w:noWrap/>
            <w:vAlign w:val="center"/>
            <w:hideMark/>
          </w:tcPr>
          <w:p w14:paraId="3A7C12E4"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w:t>
            </w:r>
          </w:p>
        </w:tc>
        <w:tc>
          <w:tcPr>
            <w:tcW w:w="6240" w:type="dxa"/>
            <w:tcBorders>
              <w:top w:val="nil"/>
              <w:left w:val="nil"/>
              <w:bottom w:val="single" w:sz="8" w:space="0" w:color="auto"/>
              <w:right w:val="nil"/>
            </w:tcBorders>
            <w:shd w:val="clear" w:color="auto" w:fill="auto"/>
            <w:noWrap/>
            <w:vAlign w:val="center"/>
            <w:hideMark/>
          </w:tcPr>
          <w:p w14:paraId="44ED9855" w14:textId="77777777" w:rsidR="00171D18" w:rsidRPr="00863EE4" w:rsidRDefault="00000000">
            <w:pPr>
              <w:rPr>
                <w:rFonts w:ascii="Arial" w:hAnsi="Arial" w:cs="Arial"/>
                <w:color w:val="000000" w:themeColor="text1"/>
              </w:rPr>
            </w:pPr>
            <w:r w:rsidRPr="00863EE4">
              <w:rPr>
                <w:rFonts w:ascii="Arial" w:hAnsi="Arial" w:cs="Arial"/>
                <w:color w:val="000000" w:themeColor="text1"/>
              </w:rPr>
              <w:t>CPC at 90 days, n (%)</w:t>
            </w:r>
          </w:p>
        </w:tc>
        <w:tc>
          <w:tcPr>
            <w:tcW w:w="400" w:type="dxa"/>
            <w:tcBorders>
              <w:top w:val="nil"/>
              <w:left w:val="nil"/>
              <w:bottom w:val="single" w:sz="8" w:space="0" w:color="auto"/>
              <w:right w:val="nil"/>
            </w:tcBorders>
            <w:shd w:val="clear" w:color="auto" w:fill="auto"/>
            <w:noWrap/>
            <w:vAlign w:val="bottom"/>
            <w:hideMark/>
          </w:tcPr>
          <w:p w14:paraId="69F9D71C"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w:t>
            </w:r>
          </w:p>
        </w:tc>
        <w:tc>
          <w:tcPr>
            <w:tcW w:w="1900" w:type="dxa"/>
            <w:tcBorders>
              <w:top w:val="nil"/>
              <w:left w:val="nil"/>
              <w:bottom w:val="single" w:sz="8" w:space="0" w:color="auto"/>
              <w:right w:val="nil"/>
            </w:tcBorders>
            <w:shd w:val="clear" w:color="auto" w:fill="auto"/>
            <w:noWrap/>
            <w:vAlign w:val="bottom"/>
            <w:hideMark/>
          </w:tcPr>
          <w:p w14:paraId="30BE2C08"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178 ( 5.3) </w:t>
            </w:r>
          </w:p>
        </w:tc>
        <w:tc>
          <w:tcPr>
            <w:tcW w:w="260" w:type="dxa"/>
            <w:tcBorders>
              <w:top w:val="nil"/>
              <w:left w:val="nil"/>
              <w:bottom w:val="single" w:sz="8" w:space="0" w:color="auto"/>
              <w:right w:val="nil"/>
            </w:tcBorders>
            <w:shd w:val="clear" w:color="auto" w:fill="auto"/>
            <w:noWrap/>
            <w:vAlign w:val="center"/>
            <w:hideMark/>
          </w:tcPr>
          <w:p w14:paraId="0AAC071A"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w:t>
            </w:r>
          </w:p>
        </w:tc>
        <w:tc>
          <w:tcPr>
            <w:tcW w:w="1900" w:type="dxa"/>
            <w:tcBorders>
              <w:top w:val="nil"/>
              <w:left w:val="nil"/>
              <w:bottom w:val="single" w:sz="8" w:space="0" w:color="auto"/>
              <w:right w:val="nil"/>
            </w:tcBorders>
            <w:shd w:val="clear" w:color="auto" w:fill="auto"/>
            <w:noWrap/>
            <w:vAlign w:val="bottom"/>
            <w:hideMark/>
          </w:tcPr>
          <w:p w14:paraId="04991BE8" w14:textId="77777777" w:rsidR="00171D18" w:rsidRPr="00863EE4" w:rsidRDefault="00000000">
            <w:pPr>
              <w:rPr>
                <w:rFonts w:ascii="Arial" w:hAnsi="Arial" w:cs="Arial"/>
                <w:color w:val="000000" w:themeColor="text1"/>
              </w:rPr>
            </w:pPr>
            <w:r w:rsidRPr="00863EE4">
              <w:rPr>
                <w:rFonts w:ascii="Arial" w:hAnsi="Arial" w:cs="Arial"/>
                <w:color w:val="000000" w:themeColor="text1"/>
              </w:rPr>
              <w:t xml:space="preserve"> 242 ( 5.7) </w:t>
            </w:r>
          </w:p>
        </w:tc>
      </w:tr>
    </w:tbl>
    <w:p w14:paraId="533CBADE" w14:textId="77777777" w:rsidR="00F84960" w:rsidRPr="00863EE4" w:rsidRDefault="00000000">
      <w:pPr>
        <w:rPr>
          <w:rFonts w:ascii="Arial" w:hAnsi="Arial" w:cs="Arial"/>
          <w:color w:val="000000" w:themeColor="text1"/>
          <w:lang w:val="en-GB"/>
        </w:rPr>
      </w:pPr>
      <w:r w:rsidRPr="00863EE4">
        <w:rPr>
          <w:rFonts w:ascii="Arial" w:hAnsi="Arial" w:cs="Arial"/>
          <w:color w:val="000000" w:themeColor="text1"/>
          <w:lang w:val="en-GB"/>
        </w:rPr>
        <w:t>IQR, interquartile range; VF, ventricular fibrillation; pVT, pulseless ventricular tachycardia; PEA, pulseless electrical activity; ROSC, return of spontaneous circulation; CPR, cardiopulmonary resuscitation; EMS, emergency medical services; CPC, cerebral performance category.</w:t>
      </w:r>
    </w:p>
    <w:p w14:paraId="5BD9C983" w14:textId="59FC3D76" w:rsidR="00F84960" w:rsidRPr="00863EE4" w:rsidRDefault="00000000" w:rsidP="005A237E">
      <w:pPr>
        <w:rPr>
          <w:rFonts w:ascii="Times New Roman" w:hAnsi="Times New Roman" w:cs="Times New Roman"/>
          <w:color w:val="000000" w:themeColor="text1"/>
          <w:lang w:val="en-GB"/>
        </w:rPr>
      </w:pPr>
      <w:r w:rsidRPr="00863EE4">
        <w:rPr>
          <w:rFonts w:ascii="Arial" w:hAnsi="Arial" w:cs="Arial"/>
          <w:color w:val="000000" w:themeColor="text1"/>
          <w:vertAlign w:val="superscript"/>
          <w:lang w:val="en-GB"/>
        </w:rPr>
        <w:t xml:space="preserve">a </w:t>
      </w:r>
      <w:r w:rsidRPr="00863EE4">
        <w:rPr>
          <w:rFonts w:ascii="Arial" w:hAnsi="Arial" w:cs="Arial"/>
          <w:color w:val="000000" w:themeColor="text1"/>
          <w:lang w:val="en-GB"/>
        </w:rPr>
        <w:t xml:space="preserve">No flow time was obtained for patients with OHCA </w:t>
      </w:r>
      <w:r w:rsidR="005A237E" w:rsidRPr="00863EE4">
        <w:rPr>
          <w:rFonts w:ascii="Arial" w:hAnsi="Arial" w:cs="Arial"/>
          <w:color w:val="000000" w:themeColor="text1"/>
          <w:lang w:val="en-GB"/>
        </w:rPr>
        <w:t>witnesses</w:t>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p>
    <w:p w14:paraId="4D149D5A" w14:textId="77777777" w:rsidR="00F84960" w:rsidRPr="00863EE4" w:rsidRDefault="00F84960">
      <w:pPr>
        <w:rPr>
          <w:rFonts w:ascii="Times New Roman" w:hAnsi="Times New Roman" w:cs="Times New Roman"/>
          <w:color w:val="000000" w:themeColor="text1"/>
          <w:lang w:val="en-GB"/>
        </w:rPr>
      </w:pPr>
    </w:p>
    <w:p w14:paraId="2AE55BB7" w14:textId="77777777" w:rsidR="00F84960" w:rsidRPr="00863EE4" w:rsidRDefault="00000000">
      <w:pPr>
        <w:rPr>
          <w:rFonts w:ascii="Times New Roman" w:hAnsi="Times New Roman" w:cs="Times New Roman"/>
          <w:color w:val="000000" w:themeColor="text1"/>
          <w:lang w:val="en-GB"/>
        </w:rPr>
        <w:sectPr w:rsidR="00F84960" w:rsidRPr="00863EE4">
          <w:pgSz w:w="16838" w:h="11906" w:orient="landscape"/>
          <w:pgMar w:top="720" w:right="720" w:bottom="720" w:left="720" w:header="851" w:footer="992" w:gutter="0"/>
          <w:cols w:space="425"/>
          <w:docGrid w:type="lines" w:linePitch="360"/>
        </w:sectPr>
      </w:pPr>
      <w:r w:rsidRPr="00863EE4">
        <w:rPr>
          <w:rFonts w:ascii="Times New Roman" w:hAnsi="Times New Roman" w:cs="Times New Roman"/>
          <w:color w:val="000000" w:themeColor="text1"/>
          <w:lang w:val="en-GB"/>
        </w:rPr>
        <w:br w:type="page"/>
      </w:r>
    </w:p>
    <w:p w14:paraId="3BFC430A" w14:textId="3CCED0A7" w:rsidR="00F84960"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 xml:space="preserve">Supplementary Table </w:t>
      </w:r>
      <w:r w:rsidR="005F10E8" w:rsidRPr="00863EE4">
        <w:rPr>
          <w:rFonts w:ascii="Times New Roman" w:hAnsi="Times New Roman" w:cs="Times New Roman"/>
          <w:b/>
          <w:bCs/>
          <w:color w:val="000000" w:themeColor="text1"/>
          <w:lang w:val="en-GB"/>
        </w:rPr>
        <w:t>3</w:t>
      </w:r>
      <w:r w:rsidRPr="00863EE4">
        <w:rPr>
          <w:rFonts w:ascii="Times New Roman" w:hAnsi="Times New Roman" w:cs="Times New Roman" w:hint="eastAsia"/>
          <w:b/>
          <w:bCs/>
          <w:color w:val="000000" w:themeColor="text1"/>
          <w:lang w:val="en-GB"/>
        </w:rPr>
        <w:t>.</w:t>
      </w:r>
      <w:r w:rsidRPr="00863EE4">
        <w:rPr>
          <w:rFonts w:ascii="Times New Roman" w:hAnsi="Times New Roman" w:cs="Times New Roman"/>
          <w:b/>
          <w:bCs/>
          <w:color w:val="000000" w:themeColor="text1"/>
          <w:lang w:val="en-GB"/>
        </w:rPr>
        <w:t xml:space="preserve"> Prognostic ability of </w:t>
      </w:r>
      <w:r w:rsidR="005A237E" w:rsidRPr="00863EE4">
        <w:rPr>
          <w:rFonts w:ascii="Times New Roman" w:hAnsi="Times New Roman" w:cs="Times New Roman"/>
          <w:b/>
          <w:bCs/>
          <w:color w:val="000000" w:themeColor="text1"/>
          <w:lang w:val="en-GB"/>
        </w:rPr>
        <w:t>M</w:t>
      </w:r>
      <w:r w:rsidRPr="00863EE4">
        <w:rPr>
          <w:rFonts w:ascii="Times New Roman" w:hAnsi="Times New Roman" w:cs="Times New Roman"/>
          <w:b/>
          <w:bCs/>
          <w:color w:val="000000" w:themeColor="text1"/>
          <w:lang w:val="en-GB"/>
        </w:rPr>
        <w:t>odel 1 in the validation set</w:t>
      </w:r>
    </w:p>
    <w:tbl>
      <w:tblPr>
        <w:tblW w:w="9000" w:type="dxa"/>
        <w:tblCellMar>
          <w:left w:w="99" w:type="dxa"/>
          <w:right w:w="99" w:type="dxa"/>
        </w:tblCellMar>
        <w:tblLook w:val="04A0" w:firstRow="1" w:lastRow="0" w:firstColumn="1" w:lastColumn="0" w:noHBand="0" w:noVBand="1"/>
      </w:tblPr>
      <w:tblGrid>
        <w:gridCol w:w="1500"/>
        <w:gridCol w:w="1500"/>
        <w:gridCol w:w="1500"/>
        <w:gridCol w:w="1500"/>
        <w:gridCol w:w="1500"/>
        <w:gridCol w:w="1500"/>
      </w:tblGrid>
      <w:tr w:rsidR="00863EE4" w:rsidRPr="00863EE4" w14:paraId="6406A9E5" w14:textId="77777777" w:rsidTr="00FA22C6">
        <w:trPr>
          <w:trHeight w:val="400"/>
        </w:trPr>
        <w:tc>
          <w:tcPr>
            <w:tcW w:w="1500" w:type="dxa"/>
            <w:tcBorders>
              <w:top w:val="single" w:sz="4" w:space="0" w:color="auto"/>
              <w:left w:val="nil"/>
              <w:bottom w:val="single" w:sz="4" w:space="0" w:color="auto"/>
              <w:right w:val="nil"/>
            </w:tcBorders>
            <w:shd w:val="clear" w:color="auto" w:fill="auto"/>
            <w:noWrap/>
            <w:vAlign w:val="center"/>
            <w:hideMark/>
          </w:tcPr>
          <w:p w14:paraId="57A49C04"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Probability</w:t>
            </w:r>
          </w:p>
        </w:tc>
        <w:tc>
          <w:tcPr>
            <w:tcW w:w="1500" w:type="dxa"/>
            <w:tcBorders>
              <w:top w:val="single" w:sz="4" w:space="0" w:color="auto"/>
              <w:left w:val="nil"/>
              <w:bottom w:val="single" w:sz="4" w:space="0" w:color="auto"/>
              <w:right w:val="nil"/>
            </w:tcBorders>
            <w:shd w:val="clear" w:color="auto" w:fill="auto"/>
            <w:noWrap/>
            <w:vAlign w:val="center"/>
            <w:hideMark/>
          </w:tcPr>
          <w:p w14:paraId="610226EF"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Accuracy </w:t>
            </w:r>
          </w:p>
        </w:tc>
        <w:tc>
          <w:tcPr>
            <w:tcW w:w="1500" w:type="dxa"/>
            <w:tcBorders>
              <w:top w:val="single" w:sz="4" w:space="0" w:color="auto"/>
              <w:left w:val="nil"/>
              <w:bottom w:val="single" w:sz="4" w:space="0" w:color="auto"/>
              <w:right w:val="nil"/>
            </w:tcBorders>
            <w:shd w:val="clear" w:color="auto" w:fill="auto"/>
            <w:noWrap/>
            <w:vAlign w:val="center"/>
            <w:hideMark/>
          </w:tcPr>
          <w:p w14:paraId="2A9C84B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Sensitivity</w:t>
            </w:r>
          </w:p>
        </w:tc>
        <w:tc>
          <w:tcPr>
            <w:tcW w:w="1500" w:type="dxa"/>
            <w:tcBorders>
              <w:top w:val="single" w:sz="4" w:space="0" w:color="auto"/>
              <w:left w:val="nil"/>
              <w:bottom w:val="single" w:sz="4" w:space="0" w:color="auto"/>
              <w:right w:val="nil"/>
            </w:tcBorders>
            <w:shd w:val="clear" w:color="auto" w:fill="auto"/>
            <w:noWrap/>
            <w:vAlign w:val="center"/>
            <w:hideMark/>
          </w:tcPr>
          <w:p w14:paraId="519CAE9C"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Specificity</w:t>
            </w:r>
          </w:p>
        </w:tc>
        <w:tc>
          <w:tcPr>
            <w:tcW w:w="1500" w:type="dxa"/>
            <w:tcBorders>
              <w:top w:val="single" w:sz="4" w:space="0" w:color="auto"/>
              <w:left w:val="nil"/>
              <w:bottom w:val="single" w:sz="4" w:space="0" w:color="auto"/>
              <w:right w:val="nil"/>
            </w:tcBorders>
            <w:shd w:val="clear" w:color="auto" w:fill="auto"/>
            <w:noWrap/>
            <w:vAlign w:val="center"/>
            <w:hideMark/>
          </w:tcPr>
          <w:p w14:paraId="02E364C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PPV</w:t>
            </w:r>
          </w:p>
        </w:tc>
        <w:tc>
          <w:tcPr>
            <w:tcW w:w="1500" w:type="dxa"/>
            <w:tcBorders>
              <w:top w:val="single" w:sz="4" w:space="0" w:color="auto"/>
              <w:left w:val="nil"/>
              <w:bottom w:val="single" w:sz="4" w:space="0" w:color="auto"/>
              <w:right w:val="nil"/>
            </w:tcBorders>
            <w:shd w:val="clear" w:color="auto" w:fill="auto"/>
            <w:noWrap/>
            <w:vAlign w:val="center"/>
            <w:hideMark/>
          </w:tcPr>
          <w:p w14:paraId="689CD79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NPV</w:t>
            </w:r>
          </w:p>
        </w:tc>
      </w:tr>
      <w:tr w:rsidR="00863EE4" w:rsidRPr="00863EE4" w14:paraId="2791ECCA" w14:textId="77777777" w:rsidTr="00FA22C6">
        <w:trPr>
          <w:trHeight w:val="400"/>
        </w:trPr>
        <w:tc>
          <w:tcPr>
            <w:tcW w:w="1500" w:type="dxa"/>
            <w:tcBorders>
              <w:top w:val="single" w:sz="4" w:space="0" w:color="auto"/>
              <w:left w:val="nil"/>
              <w:bottom w:val="nil"/>
              <w:right w:val="nil"/>
            </w:tcBorders>
            <w:shd w:val="clear" w:color="auto" w:fill="auto"/>
            <w:noWrap/>
            <w:vAlign w:val="center"/>
            <w:hideMark/>
          </w:tcPr>
          <w:p w14:paraId="6EB0AD53"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0.99</w:t>
            </w:r>
          </w:p>
        </w:tc>
        <w:tc>
          <w:tcPr>
            <w:tcW w:w="1500" w:type="dxa"/>
            <w:tcBorders>
              <w:top w:val="single" w:sz="4" w:space="0" w:color="auto"/>
              <w:left w:val="nil"/>
              <w:bottom w:val="nil"/>
              <w:right w:val="nil"/>
            </w:tcBorders>
            <w:shd w:val="clear" w:color="auto" w:fill="auto"/>
            <w:noWrap/>
            <w:vAlign w:val="center"/>
            <w:hideMark/>
          </w:tcPr>
          <w:p w14:paraId="0AF64204"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0.415 </w:t>
            </w:r>
          </w:p>
        </w:tc>
        <w:tc>
          <w:tcPr>
            <w:tcW w:w="1500" w:type="dxa"/>
            <w:tcBorders>
              <w:top w:val="single" w:sz="4" w:space="0" w:color="auto"/>
              <w:left w:val="nil"/>
              <w:bottom w:val="nil"/>
              <w:right w:val="nil"/>
            </w:tcBorders>
            <w:shd w:val="clear" w:color="auto" w:fill="auto"/>
            <w:noWrap/>
            <w:vAlign w:val="center"/>
            <w:hideMark/>
          </w:tcPr>
          <w:p w14:paraId="244F467B"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0.225 </w:t>
            </w:r>
          </w:p>
        </w:tc>
        <w:tc>
          <w:tcPr>
            <w:tcW w:w="1500" w:type="dxa"/>
            <w:tcBorders>
              <w:top w:val="single" w:sz="4" w:space="0" w:color="auto"/>
              <w:left w:val="nil"/>
              <w:bottom w:val="nil"/>
              <w:right w:val="nil"/>
            </w:tcBorders>
            <w:shd w:val="clear" w:color="auto" w:fill="auto"/>
            <w:noWrap/>
            <w:vAlign w:val="center"/>
            <w:hideMark/>
          </w:tcPr>
          <w:p w14:paraId="104FAAE9"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0.996 </w:t>
            </w:r>
          </w:p>
        </w:tc>
        <w:tc>
          <w:tcPr>
            <w:tcW w:w="1500" w:type="dxa"/>
            <w:tcBorders>
              <w:top w:val="single" w:sz="4" w:space="0" w:color="auto"/>
              <w:left w:val="nil"/>
              <w:bottom w:val="nil"/>
              <w:right w:val="nil"/>
            </w:tcBorders>
            <w:shd w:val="clear" w:color="auto" w:fill="auto"/>
            <w:noWrap/>
            <w:vAlign w:val="center"/>
            <w:hideMark/>
          </w:tcPr>
          <w:p w14:paraId="5B5C786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0.998 </w:t>
            </w:r>
          </w:p>
        </w:tc>
        <w:tc>
          <w:tcPr>
            <w:tcW w:w="1500" w:type="dxa"/>
            <w:tcBorders>
              <w:top w:val="single" w:sz="4" w:space="0" w:color="auto"/>
              <w:left w:val="nil"/>
              <w:bottom w:val="nil"/>
              <w:right w:val="nil"/>
            </w:tcBorders>
            <w:shd w:val="clear" w:color="auto" w:fill="auto"/>
            <w:noWrap/>
            <w:vAlign w:val="center"/>
            <w:hideMark/>
          </w:tcPr>
          <w:p w14:paraId="0583AD09"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0.162 </w:t>
            </w:r>
          </w:p>
        </w:tc>
      </w:tr>
      <w:tr w:rsidR="00863EE4" w:rsidRPr="00863EE4" w14:paraId="250F75D9" w14:textId="77777777" w:rsidTr="00FA22C6">
        <w:trPr>
          <w:trHeight w:val="400"/>
        </w:trPr>
        <w:tc>
          <w:tcPr>
            <w:tcW w:w="1500" w:type="dxa"/>
            <w:tcBorders>
              <w:top w:val="nil"/>
              <w:left w:val="nil"/>
              <w:bottom w:val="nil"/>
              <w:right w:val="nil"/>
            </w:tcBorders>
            <w:shd w:val="clear" w:color="auto" w:fill="auto"/>
            <w:noWrap/>
            <w:vAlign w:val="center"/>
            <w:hideMark/>
          </w:tcPr>
          <w:p w14:paraId="2435D5E7"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0.95</w:t>
            </w:r>
          </w:p>
        </w:tc>
        <w:tc>
          <w:tcPr>
            <w:tcW w:w="1500" w:type="dxa"/>
            <w:tcBorders>
              <w:top w:val="nil"/>
              <w:left w:val="nil"/>
              <w:bottom w:val="nil"/>
              <w:right w:val="nil"/>
            </w:tcBorders>
            <w:shd w:val="clear" w:color="auto" w:fill="auto"/>
            <w:noWrap/>
            <w:vAlign w:val="center"/>
            <w:hideMark/>
          </w:tcPr>
          <w:p w14:paraId="405BD49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0.707 </w:t>
            </w:r>
          </w:p>
        </w:tc>
        <w:tc>
          <w:tcPr>
            <w:tcW w:w="1500" w:type="dxa"/>
            <w:tcBorders>
              <w:top w:val="nil"/>
              <w:left w:val="nil"/>
              <w:bottom w:val="nil"/>
              <w:right w:val="nil"/>
            </w:tcBorders>
            <w:shd w:val="clear" w:color="auto" w:fill="auto"/>
            <w:noWrap/>
            <w:vAlign w:val="center"/>
            <w:hideMark/>
          </w:tcPr>
          <w:p w14:paraId="1DF6636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0.667 </w:t>
            </w:r>
          </w:p>
        </w:tc>
        <w:tc>
          <w:tcPr>
            <w:tcW w:w="1500" w:type="dxa"/>
            <w:tcBorders>
              <w:top w:val="nil"/>
              <w:left w:val="nil"/>
              <w:bottom w:val="nil"/>
              <w:right w:val="nil"/>
            </w:tcBorders>
            <w:shd w:val="clear" w:color="auto" w:fill="auto"/>
            <w:noWrap/>
            <w:vAlign w:val="center"/>
            <w:hideMark/>
          </w:tcPr>
          <w:p w14:paraId="104FCD52"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0.973 </w:t>
            </w:r>
          </w:p>
        </w:tc>
        <w:tc>
          <w:tcPr>
            <w:tcW w:w="1500" w:type="dxa"/>
            <w:tcBorders>
              <w:top w:val="nil"/>
              <w:left w:val="nil"/>
              <w:bottom w:val="nil"/>
              <w:right w:val="nil"/>
            </w:tcBorders>
            <w:shd w:val="clear" w:color="auto" w:fill="auto"/>
            <w:noWrap/>
            <w:vAlign w:val="center"/>
            <w:hideMark/>
          </w:tcPr>
          <w:p w14:paraId="60847C08"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0.994 </w:t>
            </w:r>
          </w:p>
        </w:tc>
        <w:tc>
          <w:tcPr>
            <w:tcW w:w="1500" w:type="dxa"/>
            <w:tcBorders>
              <w:top w:val="nil"/>
              <w:left w:val="nil"/>
              <w:bottom w:val="nil"/>
              <w:right w:val="nil"/>
            </w:tcBorders>
            <w:shd w:val="clear" w:color="auto" w:fill="auto"/>
            <w:noWrap/>
            <w:vAlign w:val="center"/>
            <w:hideMark/>
          </w:tcPr>
          <w:p w14:paraId="5597366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0.306 </w:t>
            </w:r>
          </w:p>
        </w:tc>
      </w:tr>
      <w:tr w:rsidR="00863EE4" w:rsidRPr="00863EE4" w14:paraId="0068A7A7" w14:textId="77777777" w:rsidTr="00FA22C6">
        <w:trPr>
          <w:trHeight w:val="400"/>
        </w:trPr>
        <w:tc>
          <w:tcPr>
            <w:tcW w:w="1500" w:type="dxa"/>
            <w:tcBorders>
              <w:top w:val="nil"/>
              <w:left w:val="nil"/>
              <w:bottom w:val="nil"/>
              <w:right w:val="nil"/>
            </w:tcBorders>
            <w:shd w:val="clear" w:color="auto" w:fill="auto"/>
            <w:noWrap/>
            <w:vAlign w:val="center"/>
            <w:hideMark/>
          </w:tcPr>
          <w:p w14:paraId="5D28CA8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0.9</w:t>
            </w:r>
          </w:p>
        </w:tc>
        <w:tc>
          <w:tcPr>
            <w:tcW w:w="1500" w:type="dxa"/>
            <w:tcBorders>
              <w:top w:val="nil"/>
              <w:left w:val="nil"/>
              <w:bottom w:val="nil"/>
              <w:right w:val="nil"/>
            </w:tcBorders>
            <w:shd w:val="clear" w:color="auto" w:fill="auto"/>
            <w:noWrap/>
            <w:vAlign w:val="center"/>
            <w:hideMark/>
          </w:tcPr>
          <w:p w14:paraId="00EEFFA1"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0.796 </w:t>
            </w:r>
          </w:p>
        </w:tc>
        <w:tc>
          <w:tcPr>
            <w:tcW w:w="1500" w:type="dxa"/>
            <w:tcBorders>
              <w:top w:val="nil"/>
              <w:left w:val="nil"/>
              <w:bottom w:val="nil"/>
              <w:right w:val="nil"/>
            </w:tcBorders>
            <w:shd w:val="clear" w:color="auto" w:fill="auto"/>
            <w:noWrap/>
            <w:vAlign w:val="center"/>
            <w:hideMark/>
          </w:tcPr>
          <w:p w14:paraId="6BD181C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0.774 </w:t>
            </w:r>
          </w:p>
        </w:tc>
        <w:tc>
          <w:tcPr>
            <w:tcW w:w="1500" w:type="dxa"/>
            <w:tcBorders>
              <w:top w:val="nil"/>
              <w:left w:val="nil"/>
              <w:bottom w:val="nil"/>
              <w:right w:val="nil"/>
            </w:tcBorders>
            <w:shd w:val="clear" w:color="auto" w:fill="auto"/>
            <w:noWrap/>
            <w:vAlign w:val="center"/>
            <w:hideMark/>
          </w:tcPr>
          <w:p w14:paraId="5F6BA0C7"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0.941 </w:t>
            </w:r>
          </w:p>
        </w:tc>
        <w:tc>
          <w:tcPr>
            <w:tcW w:w="1500" w:type="dxa"/>
            <w:tcBorders>
              <w:top w:val="nil"/>
              <w:left w:val="nil"/>
              <w:bottom w:val="nil"/>
              <w:right w:val="nil"/>
            </w:tcBorders>
            <w:shd w:val="clear" w:color="auto" w:fill="auto"/>
            <w:noWrap/>
            <w:vAlign w:val="center"/>
            <w:hideMark/>
          </w:tcPr>
          <w:p w14:paraId="3F03EB9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0.989 </w:t>
            </w:r>
          </w:p>
        </w:tc>
        <w:tc>
          <w:tcPr>
            <w:tcW w:w="1500" w:type="dxa"/>
            <w:tcBorders>
              <w:top w:val="nil"/>
              <w:left w:val="nil"/>
              <w:bottom w:val="nil"/>
              <w:right w:val="nil"/>
            </w:tcBorders>
            <w:shd w:val="clear" w:color="auto" w:fill="auto"/>
            <w:noWrap/>
            <w:vAlign w:val="center"/>
            <w:hideMark/>
          </w:tcPr>
          <w:p w14:paraId="14724FB6"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0.386 </w:t>
            </w:r>
          </w:p>
        </w:tc>
      </w:tr>
      <w:tr w:rsidR="00863EE4" w:rsidRPr="00863EE4" w14:paraId="72602FCB" w14:textId="77777777" w:rsidTr="00FA22C6">
        <w:trPr>
          <w:trHeight w:val="400"/>
        </w:trPr>
        <w:tc>
          <w:tcPr>
            <w:tcW w:w="1500" w:type="dxa"/>
            <w:tcBorders>
              <w:top w:val="nil"/>
              <w:left w:val="nil"/>
              <w:bottom w:val="nil"/>
              <w:right w:val="nil"/>
            </w:tcBorders>
            <w:shd w:val="clear" w:color="auto" w:fill="auto"/>
            <w:noWrap/>
            <w:vAlign w:val="center"/>
            <w:hideMark/>
          </w:tcPr>
          <w:p w14:paraId="49F45D6D"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0.8</w:t>
            </w:r>
          </w:p>
        </w:tc>
        <w:tc>
          <w:tcPr>
            <w:tcW w:w="1500" w:type="dxa"/>
            <w:tcBorders>
              <w:top w:val="nil"/>
              <w:left w:val="nil"/>
              <w:bottom w:val="nil"/>
              <w:right w:val="nil"/>
            </w:tcBorders>
            <w:shd w:val="clear" w:color="auto" w:fill="auto"/>
            <w:noWrap/>
            <w:vAlign w:val="center"/>
            <w:hideMark/>
          </w:tcPr>
          <w:p w14:paraId="3EB0FB7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0.887 </w:t>
            </w:r>
          </w:p>
        </w:tc>
        <w:tc>
          <w:tcPr>
            <w:tcW w:w="1500" w:type="dxa"/>
            <w:tcBorders>
              <w:top w:val="nil"/>
              <w:left w:val="nil"/>
              <w:bottom w:val="nil"/>
              <w:right w:val="nil"/>
            </w:tcBorders>
            <w:shd w:val="clear" w:color="auto" w:fill="auto"/>
            <w:noWrap/>
            <w:vAlign w:val="center"/>
            <w:hideMark/>
          </w:tcPr>
          <w:p w14:paraId="26AABB93"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0.888 </w:t>
            </w:r>
          </w:p>
        </w:tc>
        <w:tc>
          <w:tcPr>
            <w:tcW w:w="1500" w:type="dxa"/>
            <w:tcBorders>
              <w:top w:val="nil"/>
              <w:left w:val="nil"/>
              <w:bottom w:val="nil"/>
              <w:right w:val="nil"/>
            </w:tcBorders>
            <w:shd w:val="clear" w:color="auto" w:fill="auto"/>
            <w:noWrap/>
            <w:vAlign w:val="center"/>
            <w:hideMark/>
          </w:tcPr>
          <w:p w14:paraId="7EEABF9B"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0.874 </w:t>
            </w:r>
          </w:p>
        </w:tc>
        <w:tc>
          <w:tcPr>
            <w:tcW w:w="1500" w:type="dxa"/>
            <w:tcBorders>
              <w:top w:val="nil"/>
              <w:left w:val="nil"/>
              <w:bottom w:val="nil"/>
              <w:right w:val="nil"/>
            </w:tcBorders>
            <w:shd w:val="clear" w:color="auto" w:fill="auto"/>
            <w:noWrap/>
            <w:vAlign w:val="center"/>
            <w:hideMark/>
          </w:tcPr>
          <w:p w14:paraId="0EC588E9"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0.979 </w:t>
            </w:r>
          </w:p>
        </w:tc>
        <w:tc>
          <w:tcPr>
            <w:tcW w:w="1500" w:type="dxa"/>
            <w:tcBorders>
              <w:top w:val="nil"/>
              <w:left w:val="nil"/>
              <w:bottom w:val="nil"/>
              <w:right w:val="nil"/>
            </w:tcBorders>
            <w:shd w:val="clear" w:color="auto" w:fill="auto"/>
            <w:noWrap/>
            <w:vAlign w:val="center"/>
            <w:hideMark/>
          </w:tcPr>
          <w:p w14:paraId="4B21FFD3"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0.542 </w:t>
            </w:r>
          </w:p>
        </w:tc>
      </w:tr>
      <w:tr w:rsidR="00863EE4" w:rsidRPr="00863EE4" w14:paraId="15ED792E" w14:textId="77777777" w:rsidTr="00FA22C6">
        <w:trPr>
          <w:trHeight w:val="400"/>
        </w:trPr>
        <w:tc>
          <w:tcPr>
            <w:tcW w:w="1500" w:type="dxa"/>
            <w:tcBorders>
              <w:top w:val="nil"/>
              <w:left w:val="nil"/>
              <w:bottom w:val="nil"/>
              <w:right w:val="nil"/>
            </w:tcBorders>
            <w:shd w:val="clear" w:color="auto" w:fill="auto"/>
            <w:noWrap/>
            <w:vAlign w:val="center"/>
            <w:hideMark/>
          </w:tcPr>
          <w:p w14:paraId="6F167F6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0.6</w:t>
            </w:r>
          </w:p>
        </w:tc>
        <w:tc>
          <w:tcPr>
            <w:tcW w:w="1500" w:type="dxa"/>
            <w:tcBorders>
              <w:top w:val="nil"/>
              <w:left w:val="nil"/>
              <w:bottom w:val="nil"/>
              <w:right w:val="nil"/>
            </w:tcBorders>
            <w:shd w:val="clear" w:color="auto" w:fill="auto"/>
            <w:noWrap/>
            <w:vAlign w:val="center"/>
            <w:hideMark/>
          </w:tcPr>
          <w:p w14:paraId="4D22413F"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0.926 </w:t>
            </w:r>
          </w:p>
        </w:tc>
        <w:tc>
          <w:tcPr>
            <w:tcW w:w="1500" w:type="dxa"/>
            <w:tcBorders>
              <w:top w:val="nil"/>
              <w:left w:val="nil"/>
              <w:bottom w:val="nil"/>
              <w:right w:val="nil"/>
            </w:tcBorders>
            <w:shd w:val="clear" w:color="auto" w:fill="auto"/>
            <w:noWrap/>
            <w:vAlign w:val="center"/>
            <w:hideMark/>
          </w:tcPr>
          <w:p w14:paraId="362DFBF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0.963 </w:t>
            </w:r>
          </w:p>
        </w:tc>
        <w:tc>
          <w:tcPr>
            <w:tcW w:w="1500" w:type="dxa"/>
            <w:tcBorders>
              <w:top w:val="nil"/>
              <w:left w:val="nil"/>
              <w:bottom w:val="nil"/>
              <w:right w:val="nil"/>
            </w:tcBorders>
            <w:shd w:val="clear" w:color="auto" w:fill="auto"/>
            <w:noWrap/>
            <w:vAlign w:val="center"/>
            <w:hideMark/>
          </w:tcPr>
          <w:p w14:paraId="1D27B954"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0.680 </w:t>
            </w:r>
          </w:p>
        </w:tc>
        <w:tc>
          <w:tcPr>
            <w:tcW w:w="1500" w:type="dxa"/>
            <w:tcBorders>
              <w:top w:val="nil"/>
              <w:left w:val="nil"/>
              <w:bottom w:val="nil"/>
              <w:right w:val="nil"/>
            </w:tcBorders>
            <w:shd w:val="clear" w:color="auto" w:fill="auto"/>
            <w:noWrap/>
            <w:vAlign w:val="center"/>
            <w:hideMark/>
          </w:tcPr>
          <w:p w14:paraId="17FD7E6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0.952 </w:t>
            </w:r>
          </w:p>
        </w:tc>
        <w:tc>
          <w:tcPr>
            <w:tcW w:w="1500" w:type="dxa"/>
            <w:tcBorders>
              <w:top w:val="nil"/>
              <w:left w:val="nil"/>
              <w:bottom w:val="nil"/>
              <w:right w:val="nil"/>
            </w:tcBorders>
            <w:shd w:val="clear" w:color="auto" w:fill="auto"/>
            <w:noWrap/>
            <w:vAlign w:val="center"/>
            <w:hideMark/>
          </w:tcPr>
          <w:p w14:paraId="72E6A8F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0.736 </w:t>
            </w:r>
          </w:p>
        </w:tc>
      </w:tr>
      <w:tr w:rsidR="00863EE4" w:rsidRPr="00863EE4" w14:paraId="05EC830E" w14:textId="77777777" w:rsidTr="00FA22C6">
        <w:trPr>
          <w:trHeight w:val="400"/>
        </w:trPr>
        <w:tc>
          <w:tcPr>
            <w:tcW w:w="1500" w:type="dxa"/>
            <w:tcBorders>
              <w:top w:val="nil"/>
              <w:left w:val="nil"/>
              <w:bottom w:val="nil"/>
              <w:right w:val="nil"/>
            </w:tcBorders>
            <w:shd w:val="clear" w:color="auto" w:fill="auto"/>
            <w:noWrap/>
            <w:vAlign w:val="center"/>
            <w:hideMark/>
          </w:tcPr>
          <w:p w14:paraId="524EA503"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0.4</w:t>
            </w:r>
          </w:p>
        </w:tc>
        <w:tc>
          <w:tcPr>
            <w:tcW w:w="1500" w:type="dxa"/>
            <w:tcBorders>
              <w:top w:val="nil"/>
              <w:left w:val="nil"/>
              <w:bottom w:val="nil"/>
              <w:right w:val="nil"/>
            </w:tcBorders>
            <w:shd w:val="clear" w:color="auto" w:fill="auto"/>
            <w:noWrap/>
            <w:vAlign w:val="center"/>
            <w:hideMark/>
          </w:tcPr>
          <w:p w14:paraId="2E1D52FC"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0.925 </w:t>
            </w:r>
          </w:p>
        </w:tc>
        <w:tc>
          <w:tcPr>
            <w:tcW w:w="1500" w:type="dxa"/>
            <w:tcBorders>
              <w:top w:val="nil"/>
              <w:left w:val="nil"/>
              <w:bottom w:val="nil"/>
              <w:right w:val="nil"/>
            </w:tcBorders>
            <w:shd w:val="clear" w:color="auto" w:fill="auto"/>
            <w:noWrap/>
            <w:vAlign w:val="center"/>
            <w:hideMark/>
          </w:tcPr>
          <w:p w14:paraId="360560CB"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0.984 </w:t>
            </w:r>
          </w:p>
        </w:tc>
        <w:tc>
          <w:tcPr>
            <w:tcW w:w="1500" w:type="dxa"/>
            <w:tcBorders>
              <w:top w:val="nil"/>
              <w:left w:val="nil"/>
              <w:bottom w:val="nil"/>
              <w:right w:val="nil"/>
            </w:tcBorders>
            <w:shd w:val="clear" w:color="auto" w:fill="auto"/>
            <w:noWrap/>
            <w:vAlign w:val="center"/>
            <w:hideMark/>
          </w:tcPr>
          <w:p w14:paraId="075F1E05"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0.535 </w:t>
            </w:r>
          </w:p>
        </w:tc>
        <w:tc>
          <w:tcPr>
            <w:tcW w:w="1500" w:type="dxa"/>
            <w:tcBorders>
              <w:top w:val="nil"/>
              <w:left w:val="nil"/>
              <w:bottom w:val="nil"/>
              <w:right w:val="nil"/>
            </w:tcBorders>
            <w:shd w:val="clear" w:color="auto" w:fill="auto"/>
            <w:noWrap/>
            <w:vAlign w:val="center"/>
            <w:hideMark/>
          </w:tcPr>
          <w:p w14:paraId="670F6A39"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0.933 </w:t>
            </w:r>
          </w:p>
        </w:tc>
        <w:tc>
          <w:tcPr>
            <w:tcW w:w="1500" w:type="dxa"/>
            <w:tcBorders>
              <w:top w:val="nil"/>
              <w:left w:val="nil"/>
              <w:bottom w:val="nil"/>
              <w:right w:val="nil"/>
            </w:tcBorders>
            <w:shd w:val="clear" w:color="auto" w:fill="auto"/>
            <w:noWrap/>
            <w:vAlign w:val="center"/>
            <w:hideMark/>
          </w:tcPr>
          <w:p w14:paraId="556B06B0"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0.832 </w:t>
            </w:r>
          </w:p>
        </w:tc>
      </w:tr>
      <w:tr w:rsidR="00863EE4" w:rsidRPr="00863EE4" w14:paraId="4724F9D1" w14:textId="77777777" w:rsidTr="00FA22C6">
        <w:trPr>
          <w:trHeight w:val="400"/>
        </w:trPr>
        <w:tc>
          <w:tcPr>
            <w:tcW w:w="1500" w:type="dxa"/>
            <w:tcBorders>
              <w:top w:val="nil"/>
              <w:left w:val="nil"/>
              <w:bottom w:val="nil"/>
              <w:right w:val="nil"/>
            </w:tcBorders>
            <w:shd w:val="clear" w:color="auto" w:fill="auto"/>
            <w:noWrap/>
            <w:vAlign w:val="center"/>
            <w:hideMark/>
          </w:tcPr>
          <w:p w14:paraId="5D6C5FE4"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0.2</w:t>
            </w:r>
          </w:p>
        </w:tc>
        <w:tc>
          <w:tcPr>
            <w:tcW w:w="1500" w:type="dxa"/>
            <w:tcBorders>
              <w:top w:val="nil"/>
              <w:left w:val="nil"/>
              <w:bottom w:val="nil"/>
              <w:right w:val="nil"/>
            </w:tcBorders>
            <w:shd w:val="clear" w:color="auto" w:fill="auto"/>
            <w:noWrap/>
            <w:vAlign w:val="center"/>
            <w:hideMark/>
          </w:tcPr>
          <w:p w14:paraId="21A78353"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0.895 </w:t>
            </w:r>
          </w:p>
        </w:tc>
        <w:tc>
          <w:tcPr>
            <w:tcW w:w="1500" w:type="dxa"/>
            <w:tcBorders>
              <w:top w:val="nil"/>
              <w:left w:val="nil"/>
              <w:bottom w:val="nil"/>
              <w:right w:val="nil"/>
            </w:tcBorders>
            <w:shd w:val="clear" w:color="auto" w:fill="auto"/>
            <w:noWrap/>
            <w:vAlign w:val="center"/>
            <w:hideMark/>
          </w:tcPr>
          <w:p w14:paraId="3265C44C"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0.996 </w:t>
            </w:r>
          </w:p>
        </w:tc>
        <w:tc>
          <w:tcPr>
            <w:tcW w:w="1500" w:type="dxa"/>
            <w:tcBorders>
              <w:top w:val="nil"/>
              <w:left w:val="nil"/>
              <w:bottom w:val="nil"/>
              <w:right w:val="nil"/>
            </w:tcBorders>
            <w:shd w:val="clear" w:color="auto" w:fill="auto"/>
            <w:noWrap/>
            <w:vAlign w:val="center"/>
            <w:hideMark/>
          </w:tcPr>
          <w:p w14:paraId="0528537B"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0.221 </w:t>
            </w:r>
          </w:p>
        </w:tc>
        <w:tc>
          <w:tcPr>
            <w:tcW w:w="1500" w:type="dxa"/>
            <w:tcBorders>
              <w:top w:val="nil"/>
              <w:left w:val="nil"/>
              <w:bottom w:val="nil"/>
              <w:right w:val="nil"/>
            </w:tcBorders>
            <w:shd w:val="clear" w:color="auto" w:fill="auto"/>
            <w:noWrap/>
            <w:vAlign w:val="center"/>
            <w:hideMark/>
          </w:tcPr>
          <w:p w14:paraId="77174E2D"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0.894 </w:t>
            </w:r>
          </w:p>
        </w:tc>
        <w:tc>
          <w:tcPr>
            <w:tcW w:w="1500" w:type="dxa"/>
            <w:tcBorders>
              <w:top w:val="nil"/>
              <w:left w:val="nil"/>
              <w:bottom w:val="nil"/>
              <w:right w:val="nil"/>
            </w:tcBorders>
            <w:shd w:val="clear" w:color="auto" w:fill="auto"/>
            <w:noWrap/>
            <w:vAlign w:val="center"/>
            <w:hideMark/>
          </w:tcPr>
          <w:p w14:paraId="541F12E7"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0.898 </w:t>
            </w:r>
          </w:p>
        </w:tc>
      </w:tr>
      <w:tr w:rsidR="00863EE4" w:rsidRPr="00863EE4" w14:paraId="03F3BE0C" w14:textId="77777777" w:rsidTr="00FA22C6">
        <w:trPr>
          <w:trHeight w:val="420"/>
        </w:trPr>
        <w:tc>
          <w:tcPr>
            <w:tcW w:w="1500" w:type="dxa"/>
            <w:tcBorders>
              <w:top w:val="nil"/>
              <w:left w:val="nil"/>
              <w:bottom w:val="single" w:sz="8" w:space="0" w:color="auto"/>
              <w:right w:val="nil"/>
            </w:tcBorders>
            <w:shd w:val="clear" w:color="auto" w:fill="auto"/>
            <w:noWrap/>
            <w:vAlign w:val="center"/>
            <w:hideMark/>
          </w:tcPr>
          <w:p w14:paraId="70908EDB"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0.1</w:t>
            </w:r>
          </w:p>
        </w:tc>
        <w:tc>
          <w:tcPr>
            <w:tcW w:w="1500" w:type="dxa"/>
            <w:tcBorders>
              <w:top w:val="nil"/>
              <w:left w:val="nil"/>
              <w:bottom w:val="single" w:sz="8" w:space="0" w:color="auto"/>
              <w:right w:val="nil"/>
            </w:tcBorders>
            <w:shd w:val="clear" w:color="auto" w:fill="auto"/>
            <w:noWrap/>
            <w:vAlign w:val="center"/>
            <w:hideMark/>
          </w:tcPr>
          <w:p w14:paraId="74C54FC8"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0.874 </w:t>
            </w:r>
          </w:p>
        </w:tc>
        <w:tc>
          <w:tcPr>
            <w:tcW w:w="1500" w:type="dxa"/>
            <w:tcBorders>
              <w:top w:val="nil"/>
              <w:left w:val="nil"/>
              <w:bottom w:val="single" w:sz="8" w:space="0" w:color="auto"/>
              <w:right w:val="nil"/>
            </w:tcBorders>
            <w:shd w:val="clear" w:color="auto" w:fill="auto"/>
            <w:noWrap/>
            <w:vAlign w:val="center"/>
            <w:hideMark/>
          </w:tcPr>
          <w:p w14:paraId="50929EF8"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0.999 </w:t>
            </w:r>
          </w:p>
        </w:tc>
        <w:tc>
          <w:tcPr>
            <w:tcW w:w="1500" w:type="dxa"/>
            <w:tcBorders>
              <w:top w:val="nil"/>
              <w:left w:val="nil"/>
              <w:bottom w:val="single" w:sz="8" w:space="0" w:color="auto"/>
              <w:right w:val="nil"/>
            </w:tcBorders>
            <w:shd w:val="clear" w:color="auto" w:fill="auto"/>
            <w:noWrap/>
            <w:vAlign w:val="center"/>
            <w:hideMark/>
          </w:tcPr>
          <w:p w14:paraId="23E97EE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0.047 </w:t>
            </w:r>
          </w:p>
        </w:tc>
        <w:tc>
          <w:tcPr>
            <w:tcW w:w="1500" w:type="dxa"/>
            <w:tcBorders>
              <w:top w:val="nil"/>
              <w:left w:val="nil"/>
              <w:bottom w:val="single" w:sz="8" w:space="0" w:color="auto"/>
              <w:right w:val="nil"/>
            </w:tcBorders>
            <w:shd w:val="clear" w:color="auto" w:fill="auto"/>
            <w:noWrap/>
            <w:vAlign w:val="center"/>
            <w:hideMark/>
          </w:tcPr>
          <w:p w14:paraId="4FB6A349"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0.874 </w:t>
            </w:r>
          </w:p>
        </w:tc>
        <w:tc>
          <w:tcPr>
            <w:tcW w:w="1500" w:type="dxa"/>
            <w:tcBorders>
              <w:top w:val="nil"/>
              <w:left w:val="nil"/>
              <w:bottom w:val="single" w:sz="8" w:space="0" w:color="auto"/>
              <w:right w:val="nil"/>
            </w:tcBorders>
            <w:shd w:val="clear" w:color="auto" w:fill="auto"/>
            <w:noWrap/>
            <w:vAlign w:val="center"/>
            <w:hideMark/>
          </w:tcPr>
          <w:p w14:paraId="2CA2FDEA" w14:textId="77777777" w:rsidR="00FA22C6" w:rsidRPr="00863EE4" w:rsidRDefault="00000000">
            <w:pPr>
              <w:jc w:val="center"/>
              <w:rPr>
                <w:rFonts w:ascii="Arial" w:eastAsia="游ゴシック" w:hAnsi="Arial" w:cs="Arial"/>
                <w:color w:val="000000" w:themeColor="text1"/>
              </w:rPr>
            </w:pPr>
            <w:r w:rsidRPr="00863EE4">
              <w:rPr>
                <w:rFonts w:ascii="Arial" w:eastAsia="游ゴシック" w:hAnsi="Arial" w:cs="Arial"/>
                <w:color w:val="000000" w:themeColor="text1"/>
              </w:rPr>
              <w:t xml:space="preserve">0.867 </w:t>
            </w:r>
          </w:p>
        </w:tc>
      </w:tr>
    </w:tbl>
    <w:p w14:paraId="38CE8323" w14:textId="65276903" w:rsidR="00F84960" w:rsidRPr="00863EE4" w:rsidRDefault="00000000">
      <w:pPr>
        <w:jc w:val="both"/>
        <w:rPr>
          <w:rFonts w:ascii="Arial" w:hAnsi="Arial" w:cs="Arial"/>
          <w:color w:val="000000" w:themeColor="text1"/>
          <w:lang w:val="en-GB"/>
        </w:rPr>
      </w:pPr>
      <w:r w:rsidRPr="00863EE4">
        <w:rPr>
          <w:rFonts w:ascii="Arial" w:hAnsi="Arial" w:cs="Arial"/>
          <w:color w:val="000000" w:themeColor="text1"/>
          <w:lang w:val="en-GB"/>
        </w:rPr>
        <w:t>Cut-off</w:t>
      </w:r>
      <w:r w:rsidR="00D5257F" w:rsidRPr="00863EE4">
        <w:rPr>
          <w:rFonts w:ascii="Arial" w:hAnsi="Arial" w:cs="Arial"/>
          <w:color w:val="000000" w:themeColor="text1"/>
          <w:lang w:val="en-GB"/>
        </w:rPr>
        <w:t xml:space="preserve"> (probability): </w:t>
      </w:r>
      <w:r w:rsidRPr="00863EE4">
        <w:rPr>
          <w:rFonts w:ascii="Arial" w:hAnsi="Arial" w:cs="Arial"/>
          <w:color w:val="000000" w:themeColor="text1"/>
          <w:lang w:val="en-GB"/>
        </w:rPr>
        <w:t>the cut</w:t>
      </w:r>
      <w:r w:rsidR="00D5257F" w:rsidRPr="00863EE4">
        <w:rPr>
          <w:rFonts w:ascii="Arial" w:hAnsi="Arial" w:cs="Arial"/>
          <w:color w:val="000000" w:themeColor="text1"/>
          <w:lang w:val="en-GB"/>
        </w:rPr>
        <w:t xml:space="preserve">off point of the predicted probability of </w:t>
      </w:r>
      <w:r w:rsidRPr="00863EE4">
        <w:rPr>
          <w:rFonts w:ascii="Arial" w:hAnsi="Arial" w:cs="Arial"/>
          <w:color w:val="000000" w:themeColor="text1"/>
          <w:lang w:val="en-GB"/>
        </w:rPr>
        <w:t xml:space="preserve">a poor outcome. </w:t>
      </w:r>
      <w:r w:rsidR="00D5257F" w:rsidRPr="00863EE4">
        <w:rPr>
          <w:rFonts w:ascii="Arial" w:hAnsi="Arial" w:cs="Arial"/>
          <w:color w:val="000000" w:themeColor="text1"/>
          <w:lang w:val="en-GB"/>
        </w:rPr>
        <w:tab/>
      </w:r>
      <w:r w:rsidR="00D5257F" w:rsidRPr="00863EE4">
        <w:rPr>
          <w:rFonts w:ascii="Arial" w:hAnsi="Arial" w:cs="Arial"/>
          <w:color w:val="000000" w:themeColor="text1"/>
          <w:lang w:val="en-GB"/>
        </w:rPr>
        <w:tab/>
      </w:r>
      <w:r w:rsidR="00D5257F" w:rsidRPr="00863EE4">
        <w:rPr>
          <w:rFonts w:ascii="Arial" w:hAnsi="Arial" w:cs="Arial"/>
          <w:color w:val="000000" w:themeColor="text1"/>
          <w:lang w:val="en-GB"/>
        </w:rPr>
        <w:tab/>
      </w:r>
    </w:p>
    <w:p w14:paraId="6589B911" w14:textId="77777777" w:rsidR="00F84960" w:rsidRPr="00863EE4" w:rsidRDefault="00000000">
      <w:pPr>
        <w:jc w:val="both"/>
        <w:rPr>
          <w:rFonts w:ascii="Times New Roman" w:hAnsi="Times New Roman" w:cs="Times New Roman"/>
          <w:color w:val="000000" w:themeColor="text1"/>
          <w:lang w:val="en-GB"/>
        </w:rPr>
      </w:pPr>
      <w:r w:rsidRPr="00863EE4">
        <w:rPr>
          <w:rFonts w:ascii="Arial" w:hAnsi="Arial" w:cs="Arial"/>
          <w:color w:val="000000" w:themeColor="text1"/>
          <w:lang w:val="en-GB"/>
        </w:rPr>
        <w:t>PPV, positive predictive value; NPV, negative predictive value.</w:t>
      </w:r>
      <w:r w:rsidRPr="00863EE4">
        <w:rPr>
          <w:rFonts w:ascii="Arial" w:hAnsi="Arial" w:cs="Arial"/>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r w:rsidRPr="00863EE4">
        <w:rPr>
          <w:rFonts w:ascii="Times New Roman" w:hAnsi="Times New Roman" w:cs="Times New Roman"/>
          <w:color w:val="000000" w:themeColor="text1"/>
          <w:lang w:val="en-GB"/>
        </w:rPr>
        <w:tab/>
      </w:r>
    </w:p>
    <w:p w14:paraId="6F8DBBD5" w14:textId="77777777" w:rsidR="00F84960" w:rsidRPr="00863EE4" w:rsidRDefault="00F84960">
      <w:pPr>
        <w:jc w:val="both"/>
        <w:rPr>
          <w:rFonts w:ascii="Times New Roman" w:hAnsi="Times New Roman" w:cs="Times New Roman"/>
          <w:color w:val="000000" w:themeColor="text1"/>
          <w:lang w:val="en-GB"/>
        </w:rPr>
      </w:pPr>
    </w:p>
    <w:p w14:paraId="2B6BC17B" w14:textId="77777777" w:rsidR="00F84960" w:rsidRPr="00863EE4" w:rsidRDefault="00000000">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br w:type="page"/>
      </w:r>
    </w:p>
    <w:p w14:paraId="5FEA6320" w14:textId="33F489D5" w:rsidR="00FA22C6" w:rsidRPr="00863EE4" w:rsidRDefault="00000000">
      <w:pPr>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 xml:space="preserve">Supplementary Table </w:t>
      </w:r>
      <w:r w:rsidR="005F10E8" w:rsidRPr="00863EE4">
        <w:rPr>
          <w:rFonts w:ascii="Times New Roman" w:hAnsi="Times New Roman" w:cs="Times New Roman"/>
          <w:b/>
          <w:bCs/>
          <w:color w:val="000000" w:themeColor="text1"/>
          <w:lang w:val="en-GB"/>
        </w:rPr>
        <w:t>4</w:t>
      </w:r>
      <w:r w:rsidRPr="00863EE4">
        <w:rPr>
          <w:rFonts w:ascii="Times New Roman" w:hAnsi="Times New Roman" w:cs="Times New Roman"/>
          <w:b/>
          <w:bCs/>
          <w:color w:val="000000" w:themeColor="text1"/>
          <w:lang w:val="en-GB"/>
        </w:rPr>
        <w:t xml:space="preserve">. Prognostic ability of </w:t>
      </w:r>
      <w:r w:rsidR="005A237E" w:rsidRPr="00863EE4">
        <w:rPr>
          <w:rFonts w:ascii="Times New Roman" w:hAnsi="Times New Roman" w:cs="Times New Roman"/>
          <w:b/>
          <w:bCs/>
          <w:color w:val="000000" w:themeColor="text1"/>
          <w:lang w:val="en-GB"/>
        </w:rPr>
        <w:t>M</w:t>
      </w:r>
      <w:r w:rsidRPr="00863EE4">
        <w:rPr>
          <w:rFonts w:ascii="Times New Roman" w:hAnsi="Times New Roman" w:cs="Times New Roman"/>
          <w:b/>
          <w:bCs/>
          <w:color w:val="000000" w:themeColor="text1"/>
          <w:lang w:val="en-GB"/>
        </w:rPr>
        <w:t>odel 2 in the validation set</w:t>
      </w:r>
    </w:p>
    <w:tbl>
      <w:tblPr>
        <w:tblW w:w="9000" w:type="dxa"/>
        <w:tblCellMar>
          <w:left w:w="99" w:type="dxa"/>
          <w:right w:w="99" w:type="dxa"/>
        </w:tblCellMar>
        <w:tblLook w:val="04A0" w:firstRow="1" w:lastRow="0" w:firstColumn="1" w:lastColumn="0" w:noHBand="0" w:noVBand="1"/>
      </w:tblPr>
      <w:tblGrid>
        <w:gridCol w:w="1500"/>
        <w:gridCol w:w="1500"/>
        <w:gridCol w:w="1500"/>
        <w:gridCol w:w="1500"/>
        <w:gridCol w:w="1500"/>
        <w:gridCol w:w="1500"/>
      </w:tblGrid>
      <w:tr w:rsidR="00863EE4" w:rsidRPr="00863EE4" w14:paraId="648EFD99"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3DE99B7E"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Probability</w:t>
            </w:r>
          </w:p>
        </w:tc>
        <w:tc>
          <w:tcPr>
            <w:tcW w:w="1500" w:type="dxa"/>
            <w:tcBorders>
              <w:top w:val="single" w:sz="8" w:space="0" w:color="auto"/>
              <w:left w:val="nil"/>
              <w:bottom w:val="single" w:sz="4" w:space="0" w:color="auto"/>
              <w:right w:val="nil"/>
            </w:tcBorders>
            <w:shd w:val="clear" w:color="auto" w:fill="auto"/>
            <w:noWrap/>
            <w:vAlign w:val="center"/>
          </w:tcPr>
          <w:p w14:paraId="45FEF495"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Accuracy </w:t>
            </w:r>
          </w:p>
        </w:tc>
        <w:tc>
          <w:tcPr>
            <w:tcW w:w="1500" w:type="dxa"/>
            <w:tcBorders>
              <w:top w:val="single" w:sz="8" w:space="0" w:color="auto"/>
              <w:left w:val="nil"/>
              <w:bottom w:val="single" w:sz="4" w:space="0" w:color="auto"/>
              <w:right w:val="nil"/>
            </w:tcBorders>
            <w:shd w:val="clear" w:color="auto" w:fill="auto"/>
            <w:noWrap/>
            <w:vAlign w:val="center"/>
          </w:tcPr>
          <w:p w14:paraId="60F9E0B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Sensitivity</w:t>
            </w:r>
          </w:p>
        </w:tc>
        <w:tc>
          <w:tcPr>
            <w:tcW w:w="1500" w:type="dxa"/>
            <w:tcBorders>
              <w:top w:val="single" w:sz="8" w:space="0" w:color="auto"/>
              <w:left w:val="nil"/>
              <w:bottom w:val="single" w:sz="4" w:space="0" w:color="auto"/>
              <w:right w:val="nil"/>
            </w:tcBorders>
            <w:shd w:val="clear" w:color="auto" w:fill="auto"/>
            <w:noWrap/>
            <w:vAlign w:val="center"/>
          </w:tcPr>
          <w:p w14:paraId="6D2F2F49"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Specificity</w:t>
            </w:r>
          </w:p>
        </w:tc>
        <w:tc>
          <w:tcPr>
            <w:tcW w:w="1500" w:type="dxa"/>
            <w:tcBorders>
              <w:top w:val="single" w:sz="8" w:space="0" w:color="auto"/>
              <w:left w:val="nil"/>
              <w:bottom w:val="single" w:sz="4" w:space="0" w:color="auto"/>
              <w:right w:val="nil"/>
            </w:tcBorders>
            <w:shd w:val="clear" w:color="auto" w:fill="auto"/>
            <w:noWrap/>
            <w:vAlign w:val="center"/>
          </w:tcPr>
          <w:p w14:paraId="4635FD0E"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PPV</w:t>
            </w:r>
          </w:p>
        </w:tc>
        <w:tc>
          <w:tcPr>
            <w:tcW w:w="1500" w:type="dxa"/>
            <w:tcBorders>
              <w:top w:val="single" w:sz="8" w:space="0" w:color="auto"/>
              <w:left w:val="nil"/>
              <w:bottom w:val="single" w:sz="4" w:space="0" w:color="auto"/>
              <w:right w:val="nil"/>
            </w:tcBorders>
            <w:shd w:val="clear" w:color="auto" w:fill="auto"/>
            <w:noWrap/>
            <w:vAlign w:val="center"/>
          </w:tcPr>
          <w:p w14:paraId="2039CD8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NPV</w:t>
            </w:r>
          </w:p>
        </w:tc>
      </w:tr>
      <w:tr w:rsidR="00863EE4" w:rsidRPr="00863EE4" w14:paraId="66B6B34A"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5CA3C7F2"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0.99</w:t>
            </w:r>
          </w:p>
        </w:tc>
        <w:tc>
          <w:tcPr>
            <w:tcW w:w="1500" w:type="dxa"/>
            <w:tcBorders>
              <w:top w:val="single" w:sz="8" w:space="0" w:color="auto"/>
              <w:left w:val="nil"/>
              <w:bottom w:val="single" w:sz="4" w:space="0" w:color="auto"/>
              <w:right w:val="nil"/>
            </w:tcBorders>
            <w:shd w:val="clear" w:color="auto" w:fill="auto"/>
            <w:noWrap/>
            <w:vAlign w:val="center"/>
          </w:tcPr>
          <w:p w14:paraId="123A884D"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0.415 </w:t>
            </w:r>
          </w:p>
        </w:tc>
        <w:tc>
          <w:tcPr>
            <w:tcW w:w="1500" w:type="dxa"/>
            <w:tcBorders>
              <w:top w:val="single" w:sz="8" w:space="0" w:color="auto"/>
              <w:left w:val="nil"/>
              <w:bottom w:val="single" w:sz="4" w:space="0" w:color="auto"/>
              <w:right w:val="nil"/>
            </w:tcBorders>
            <w:shd w:val="clear" w:color="auto" w:fill="auto"/>
            <w:noWrap/>
            <w:vAlign w:val="center"/>
          </w:tcPr>
          <w:p w14:paraId="6A8BAF5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0.327 </w:t>
            </w:r>
          </w:p>
        </w:tc>
        <w:tc>
          <w:tcPr>
            <w:tcW w:w="1500" w:type="dxa"/>
            <w:tcBorders>
              <w:top w:val="single" w:sz="8" w:space="0" w:color="auto"/>
              <w:left w:val="nil"/>
              <w:bottom w:val="single" w:sz="4" w:space="0" w:color="auto"/>
              <w:right w:val="nil"/>
            </w:tcBorders>
            <w:shd w:val="clear" w:color="auto" w:fill="auto"/>
            <w:noWrap/>
            <w:vAlign w:val="center"/>
          </w:tcPr>
          <w:p w14:paraId="0BD26D62"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0.998 </w:t>
            </w:r>
          </w:p>
        </w:tc>
        <w:tc>
          <w:tcPr>
            <w:tcW w:w="1500" w:type="dxa"/>
            <w:tcBorders>
              <w:top w:val="single" w:sz="8" w:space="0" w:color="auto"/>
              <w:left w:val="nil"/>
              <w:bottom w:val="single" w:sz="4" w:space="0" w:color="auto"/>
              <w:right w:val="nil"/>
            </w:tcBorders>
            <w:shd w:val="clear" w:color="auto" w:fill="auto"/>
            <w:noWrap/>
            <w:vAlign w:val="center"/>
          </w:tcPr>
          <w:p w14:paraId="22BAF4BD"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0.999 </w:t>
            </w:r>
          </w:p>
        </w:tc>
        <w:tc>
          <w:tcPr>
            <w:tcW w:w="1500" w:type="dxa"/>
            <w:tcBorders>
              <w:top w:val="single" w:sz="8" w:space="0" w:color="auto"/>
              <w:left w:val="nil"/>
              <w:bottom w:val="single" w:sz="4" w:space="0" w:color="auto"/>
              <w:right w:val="nil"/>
            </w:tcBorders>
            <w:shd w:val="clear" w:color="auto" w:fill="auto"/>
            <w:noWrap/>
            <w:vAlign w:val="center"/>
          </w:tcPr>
          <w:p w14:paraId="794BA99C"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0.183 </w:t>
            </w:r>
          </w:p>
        </w:tc>
      </w:tr>
      <w:tr w:rsidR="00863EE4" w:rsidRPr="00863EE4" w14:paraId="41E3C428"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0A091433"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0.95</w:t>
            </w:r>
          </w:p>
        </w:tc>
        <w:tc>
          <w:tcPr>
            <w:tcW w:w="1500" w:type="dxa"/>
            <w:tcBorders>
              <w:top w:val="single" w:sz="8" w:space="0" w:color="auto"/>
              <w:left w:val="nil"/>
              <w:bottom w:val="single" w:sz="4" w:space="0" w:color="auto"/>
              <w:right w:val="nil"/>
            </w:tcBorders>
            <w:shd w:val="clear" w:color="auto" w:fill="auto"/>
            <w:noWrap/>
            <w:vAlign w:val="center"/>
          </w:tcPr>
          <w:p w14:paraId="195894BD"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0.729 </w:t>
            </w:r>
          </w:p>
        </w:tc>
        <w:tc>
          <w:tcPr>
            <w:tcW w:w="1500" w:type="dxa"/>
            <w:tcBorders>
              <w:top w:val="single" w:sz="8" w:space="0" w:color="auto"/>
              <w:left w:val="nil"/>
              <w:bottom w:val="single" w:sz="4" w:space="0" w:color="auto"/>
              <w:right w:val="nil"/>
            </w:tcBorders>
            <w:shd w:val="clear" w:color="auto" w:fill="auto"/>
            <w:noWrap/>
            <w:vAlign w:val="center"/>
          </w:tcPr>
          <w:p w14:paraId="764ED094"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0.692 </w:t>
            </w:r>
          </w:p>
        </w:tc>
        <w:tc>
          <w:tcPr>
            <w:tcW w:w="1500" w:type="dxa"/>
            <w:tcBorders>
              <w:top w:val="single" w:sz="8" w:space="0" w:color="auto"/>
              <w:left w:val="nil"/>
              <w:bottom w:val="single" w:sz="4" w:space="0" w:color="auto"/>
              <w:right w:val="nil"/>
            </w:tcBorders>
            <w:shd w:val="clear" w:color="auto" w:fill="auto"/>
            <w:noWrap/>
            <w:vAlign w:val="center"/>
          </w:tcPr>
          <w:p w14:paraId="48A4A744"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0.978 </w:t>
            </w:r>
          </w:p>
        </w:tc>
        <w:tc>
          <w:tcPr>
            <w:tcW w:w="1500" w:type="dxa"/>
            <w:tcBorders>
              <w:top w:val="single" w:sz="8" w:space="0" w:color="auto"/>
              <w:left w:val="nil"/>
              <w:bottom w:val="single" w:sz="4" w:space="0" w:color="auto"/>
              <w:right w:val="nil"/>
            </w:tcBorders>
            <w:shd w:val="clear" w:color="auto" w:fill="auto"/>
            <w:noWrap/>
            <w:vAlign w:val="center"/>
          </w:tcPr>
          <w:p w14:paraId="6FB1ABF3"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0.995 </w:t>
            </w:r>
          </w:p>
        </w:tc>
        <w:tc>
          <w:tcPr>
            <w:tcW w:w="1500" w:type="dxa"/>
            <w:tcBorders>
              <w:top w:val="single" w:sz="8" w:space="0" w:color="auto"/>
              <w:left w:val="nil"/>
              <w:bottom w:val="single" w:sz="4" w:space="0" w:color="auto"/>
              <w:right w:val="nil"/>
            </w:tcBorders>
            <w:shd w:val="clear" w:color="auto" w:fill="auto"/>
            <w:noWrap/>
            <w:vAlign w:val="center"/>
          </w:tcPr>
          <w:p w14:paraId="0E1E77B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0.324 </w:t>
            </w:r>
          </w:p>
        </w:tc>
      </w:tr>
      <w:tr w:rsidR="00863EE4" w:rsidRPr="00863EE4" w14:paraId="4C209E9D"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59E9051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0.9</w:t>
            </w:r>
          </w:p>
        </w:tc>
        <w:tc>
          <w:tcPr>
            <w:tcW w:w="1500" w:type="dxa"/>
            <w:tcBorders>
              <w:top w:val="single" w:sz="8" w:space="0" w:color="auto"/>
              <w:left w:val="nil"/>
              <w:bottom w:val="single" w:sz="4" w:space="0" w:color="auto"/>
              <w:right w:val="nil"/>
            </w:tcBorders>
            <w:shd w:val="clear" w:color="auto" w:fill="auto"/>
            <w:noWrap/>
            <w:vAlign w:val="center"/>
          </w:tcPr>
          <w:p w14:paraId="5B7596B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0.817 </w:t>
            </w:r>
          </w:p>
        </w:tc>
        <w:tc>
          <w:tcPr>
            <w:tcW w:w="1500" w:type="dxa"/>
            <w:tcBorders>
              <w:top w:val="single" w:sz="8" w:space="0" w:color="auto"/>
              <w:left w:val="nil"/>
              <w:bottom w:val="single" w:sz="4" w:space="0" w:color="auto"/>
              <w:right w:val="nil"/>
            </w:tcBorders>
            <w:shd w:val="clear" w:color="auto" w:fill="auto"/>
            <w:noWrap/>
            <w:vAlign w:val="center"/>
          </w:tcPr>
          <w:p w14:paraId="49244712"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0.796 </w:t>
            </w:r>
          </w:p>
        </w:tc>
        <w:tc>
          <w:tcPr>
            <w:tcW w:w="1500" w:type="dxa"/>
            <w:tcBorders>
              <w:top w:val="single" w:sz="8" w:space="0" w:color="auto"/>
              <w:left w:val="nil"/>
              <w:bottom w:val="single" w:sz="4" w:space="0" w:color="auto"/>
              <w:right w:val="nil"/>
            </w:tcBorders>
            <w:shd w:val="clear" w:color="auto" w:fill="auto"/>
            <w:noWrap/>
            <w:vAlign w:val="center"/>
          </w:tcPr>
          <w:p w14:paraId="0FC74DCA"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0.957 </w:t>
            </w:r>
          </w:p>
        </w:tc>
        <w:tc>
          <w:tcPr>
            <w:tcW w:w="1500" w:type="dxa"/>
            <w:tcBorders>
              <w:top w:val="single" w:sz="8" w:space="0" w:color="auto"/>
              <w:left w:val="nil"/>
              <w:bottom w:val="single" w:sz="4" w:space="0" w:color="auto"/>
              <w:right w:val="nil"/>
            </w:tcBorders>
            <w:shd w:val="clear" w:color="auto" w:fill="auto"/>
            <w:noWrap/>
            <w:vAlign w:val="center"/>
          </w:tcPr>
          <w:p w14:paraId="6C00067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0.992 </w:t>
            </w:r>
          </w:p>
        </w:tc>
        <w:tc>
          <w:tcPr>
            <w:tcW w:w="1500" w:type="dxa"/>
            <w:tcBorders>
              <w:top w:val="single" w:sz="8" w:space="0" w:color="auto"/>
              <w:left w:val="nil"/>
              <w:bottom w:val="single" w:sz="4" w:space="0" w:color="auto"/>
              <w:right w:val="nil"/>
            </w:tcBorders>
            <w:shd w:val="clear" w:color="auto" w:fill="auto"/>
            <w:noWrap/>
            <w:vAlign w:val="center"/>
          </w:tcPr>
          <w:p w14:paraId="5804D307"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0.415 </w:t>
            </w:r>
          </w:p>
        </w:tc>
      </w:tr>
      <w:tr w:rsidR="00863EE4" w:rsidRPr="00863EE4" w14:paraId="775260C1"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1A71DC88"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0.8</w:t>
            </w:r>
          </w:p>
        </w:tc>
        <w:tc>
          <w:tcPr>
            <w:tcW w:w="1500" w:type="dxa"/>
            <w:tcBorders>
              <w:top w:val="single" w:sz="8" w:space="0" w:color="auto"/>
              <w:left w:val="nil"/>
              <w:bottom w:val="single" w:sz="4" w:space="0" w:color="auto"/>
              <w:right w:val="nil"/>
            </w:tcBorders>
            <w:shd w:val="clear" w:color="auto" w:fill="auto"/>
            <w:noWrap/>
            <w:vAlign w:val="center"/>
          </w:tcPr>
          <w:p w14:paraId="1D260BAD"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0.896 </w:t>
            </w:r>
          </w:p>
        </w:tc>
        <w:tc>
          <w:tcPr>
            <w:tcW w:w="1500" w:type="dxa"/>
            <w:tcBorders>
              <w:top w:val="single" w:sz="8" w:space="0" w:color="auto"/>
              <w:left w:val="nil"/>
              <w:bottom w:val="single" w:sz="4" w:space="0" w:color="auto"/>
              <w:right w:val="nil"/>
            </w:tcBorders>
            <w:shd w:val="clear" w:color="auto" w:fill="auto"/>
            <w:noWrap/>
            <w:vAlign w:val="center"/>
          </w:tcPr>
          <w:p w14:paraId="579A9D2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0.897 </w:t>
            </w:r>
          </w:p>
        </w:tc>
        <w:tc>
          <w:tcPr>
            <w:tcW w:w="1500" w:type="dxa"/>
            <w:tcBorders>
              <w:top w:val="single" w:sz="8" w:space="0" w:color="auto"/>
              <w:left w:val="nil"/>
              <w:bottom w:val="single" w:sz="4" w:space="0" w:color="auto"/>
              <w:right w:val="nil"/>
            </w:tcBorders>
            <w:shd w:val="clear" w:color="auto" w:fill="auto"/>
            <w:noWrap/>
            <w:vAlign w:val="center"/>
          </w:tcPr>
          <w:p w14:paraId="618BA893"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0.890 </w:t>
            </w:r>
          </w:p>
        </w:tc>
        <w:tc>
          <w:tcPr>
            <w:tcW w:w="1500" w:type="dxa"/>
            <w:tcBorders>
              <w:top w:val="single" w:sz="8" w:space="0" w:color="auto"/>
              <w:left w:val="nil"/>
              <w:bottom w:val="single" w:sz="4" w:space="0" w:color="auto"/>
              <w:right w:val="nil"/>
            </w:tcBorders>
            <w:shd w:val="clear" w:color="auto" w:fill="auto"/>
            <w:noWrap/>
            <w:vAlign w:val="center"/>
          </w:tcPr>
          <w:p w14:paraId="45CEED3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0.982 </w:t>
            </w:r>
          </w:p>
        </w:tc>
        <w:tc>
          <w:tcPr>
            <w:tcW w:w="1500" w:type="dxa"/>
            <w:tcBorders>
              <w:top w:val="single" w:sz="8" w:space="0" w:color="auto"/>
              <w:left w:val="nil"/>
              <w:bottom w:val="single" w:sz="4" w:space="0" w:color="auto"/>
              <w:right w:val="nil"/>
            </w:tcBorders>
            <w:shd w:val="clear" w:color="auto" w:fill="auto"/>
            <w:noWrap/>
            <w:vAlign w:val="center"/>
          </w:tcPr>
          <w:p w14:paraId="2E6F1A58"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0.566 </w:t>
            </w:r>
          </w:p>
        </w:tc>
      </w:tr>
      <w:tr w:rsidR="00863EE4" w:rsidRPr="00863EE4" w14:paraId="15B4A00E"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2E56D48F"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0.6</w:t>
            </w:r>
          </w:p>
        </w:tc>
        <w:tc>
          <w:tcPr>
            <w:tcW w:w="1500" w:type="dxa"/>
            <w:tcBorders>
              <w:top w:val="single" w:sz="8" w:space="0" w:color="auto"/>
              <w:left w:val="nil"/>
              <w:bottom w:val="single" w:sz="4" w:space="0" w:color="auto"/>
              <w:right w:val="nil"/>
            </w:tcBorders>
            <w:shd w:val="clear" w:color="auto" w:fill="auto"/>
            <w:noWrap/>
            <w:vAlign w:val="center"/>
          </w:tcPr>
          <w:p w14:paraId="542542F2"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0.930 </w:t>
            </w:r>
          </w:p>
        </w:tc>
        <w:tc>
          <w:tcPr>
            <w:tcW w:w="1500" w:type="dxa"/>
            <w:tcBorders>
              <w:top w:val="single" w:sz="8" w:space="0" w:color="auto"/>
              <w:left w:val="nil"/>
              <w:bottom w:val="single" w:sz="4" w:space="0" w:color="auto"/>
              <w:right w:val="nil"/>
            </w:tcBorders>
            <w:shd w:val="clear" w:color="auto" w:fill="auto"/>
            <w:noWrap/>
            <w:vAlign w:val="center"/>
          </w:tcPr>
          <w:p w14:paraId="34862551"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0.958 </w:t>
            </w:r>
          </w:p>
        </w:tc>
        <w:tc>
          <w:tcPr>
            <w:tcW w:w="1500" w:type="dxa"/>
            <w:tcBorders>
              <w:top w:val="single" w:sz="8" w:space="0" w:color="auto"/>
              <w:left w:val="nil"/>
              <w:bottom w:val="single" w:sz="4" w:space="0" w:color="auto"/>
              <w:right w:val="nil"/>
            </w:tcBorders>
            <w:shd w:val="clear" w:color="auto" w:fill="auto"/>
            <w:noWrap/>
            <w:vAlign w:val="center"/>
          </w:tcPr>
          <w:p w14:paraId="19526161"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0.745 </w:t>
            </w:r>
          </w:p>
        </w:tc>
        <w:tc>
          <w:tcPr>
            <w:tcW w:w="1500" w:type="dxa"/>
            <w:tcBorders>
              <w:top w:val="single" w:sz="8" w:space="0" w:color="auto"/>
              <w:left w:val="nil"/>
              <w:bottom w:val="single" w:sz="4" w:space="0" w:color="auto"/>
              <w:right w:val="nil"/>
            </w:tcBorders>
            <w:shd w:val="clear" w:color="auto" w:fill="auto"/>
            <w:noWrap/>
            <w:vAlign w:val="center"/>
          </w:tcPr>
          <w:p w14:paraId="086E8E9F"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0.961 </w:t>
            </w:r>
          </w:p>
        </w:tc>
        <w:tc>
          <w:tcPr>
            <w:tcW w:w="1500" w:type="dxa"/>
            <w:tcBorders>
              <w:top w:val="single" w:sz="8" w:space="0" w:color="auto"/>
              <w:left w:val="nil"/>
              <w:bottom w:val="single" w:sz="4" w:space="0" w:color="auto"/>
              <w:right w:val="nil"/>
            </w:tcBorders>
            <w:shd w:val="clear" w:color="auto" w:fill="auto"/>
            <w:noWrap/>
            <w:vAlign w:val="center"/>
          </w:tcPr>
          <w:p w14:paraId="14622F13"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0.729 </w:t>
            </w:r>
          </w:p>
        </w:tc>
      </w:tr>
      <w:tr w:rsidR="00863EE4" w:rsidRPr="00863EE4" w14:paraId="3C00238B"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4D6CFCBF"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0.4</w:t>
            </w:r>
          </w:p>
        </w:tc>
        <w:tc>
          <w:tcPr>
            <w:tcW w:w="1500" w:type="dxa"/>
            <w:tcBorders>
              <w:top w:val="single" w:sz="8" w:space="0" w:color="auto"/>
              <w:left w:val="nil"/>
              <w:bottom w:val="single" w:sz="4" w:space="0" w:color="auto"/>
              <w:right w:val="nil"/>
            </w:tcBorders>
            <w:shd w:val="clear" w:color="auto" w:fill="auto"/>
            <w:noWrap/>
            <w:vAlign w:val="center"/>
          </w:tcPr>
          <w:p w14:paraId="6929060C"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0.933 </w:t>
            </w:r>
          </w:p>
        </w:tc>
        <w:tc>
          <w:tcPr>
            <w:tcW w:w="1500" w:type="dxa"/>
            <w:tcBorders>
              <w:top w:val="single" w:sz="8" w:space="0" w:color="auto"/>
              <w:left w:val="nil"/>
              <w:bottom w:val="single" w:sz="4" w:space="0" w:color="auto"/>
              <w:right w:val="nil"/>
            </w:tcBorders>
            <w:shd w:val="clear" w:color="auto" w:fill="auto"/>
            <w:noWrap/>
            <w:vAlign w:val="center"/>
          </w:tcPr>
          <w:p w14:paraId="65D9F251"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0.983 </w:t>
            </w:r>
          </w:p>
        </w:tc>
        <w:tc>
          <w:tcPr>
            <w:tcW w:w="1500" w:type="dxa"/>
            <w:tcBorders>
              <w:top w:val="single" w:sz="8" w:space="0" w:color="auto"/>
              <w:left w:val="nil"/>
              <w:bottom w:val="single" w:sz="4" w:space="0" w:color="auto"/>
              <w:right w:val="nil"/>
            </w:tcBorders>
            <w:shd w:val="clear" w:color="auto" w:fill="auto"/>
            <w:noWrap/>
            <w:vAlign w:val="center"/>
          </w:tcPr>
          <w:p w14:paraId="75320635"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0.605 </w:t>
            </w:r>
          </w:p>
        </w:tc>
        <w:tc>
          <w:tcPr>
            <w:tcW w:w="1500" w:type="dxa"/>
            <w:tcBorders>
              <w:top w:val="single" w:sz="8" w:space="0" w:color="auto"/>
              <w:left w:val="nil"/>
              <w:bottom w:val="single" w:sz="4" w:space="0" w:color="auto"/>
              <w:right w:val="nil"/>
            </w:tcBorders>
            <w:shd w:val="clear" w:color="auto" w:fill="auto"/>
            <w:noWrap/>
            <w:vAlign w:val="center"/>
          </w:tcPr>
          <w:p w14:paraId="1B2517F7"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0.943 </w:t>
            </w:r>
          </w:p>
        </w:tc>
        <w:tc>
          <w:tcPr>
            <w:tcW w:w="1500" w:type="dxa"/>
            <w:tcBorders>
              <w:top w:val="single" w:sz="8" w:space="0" w:color="auto"/>
              <w:left w:val="nil"/>
              <w:bottom w:val="single" w:sz="4" w:space="0" w:color="auto"/>
              <w:right w:val="nil"/>
            </w:tcBorders>
            <w:shd w:val="clear" w:color="auto" w:fill="auto"/>
            <w:noWrap/>
            <w:vAlign w:val="center"/>
          </w:tcPr>
          <w:p w14:paraId="79152A2E"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0.840 </w:t>
            </w:r>
          </w:p>
        </w:tc>
      </w:tr>
      <w:tr w:rsidR="00863EE4" w:rsidRPr="00863EE4" w14:paraId="6F2C31E3"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6C6056A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0.2</w:t>
            </w:r>
          </w:p>
        </w:tc>
        <w:tc>
          <w:tcPr>
            <w:tcW w:w="1500" w:type="dxa"/>
            <w:tcBorders>
              <w:top w:val="single" w:sz="8" w:space="0" w:color="auto"/>
              <w:left w:val="nil"/>
              <w:bottom w:val="single" w:sz="4" w:space="0" w:color="auto"/>
              <w:right w:val="nil"/>
            </w:tcBorders>
            <w:shd w:val="clear" w:color="auto" w:fill="auto"/>
            <w:noWrap/>
            <w:vAlign w:val="center"/>
          </w:tcPr>
          <w:p w14:paraId="46E8FF43"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0.912 </w:t>
            </w:r>
          </w:p>
        </w:tc>
        <w:tc>
          <w:tcPr>
            <w:tcW w:w="1500" w:type="dxa"/>
            <w:tcBorders>
              <w:top w:val="single" w:sz="8" w:space="0" w:color="auto"/>
              <w:left w:val="nil"/>
              <w:bottom w:val="single" w:sz="4" w:space="0" w:color="auto"/>
              <w:right w:val="nil"/>
            </w:tcBorders>
            <w:shd w:val="clear" w:color="auto" w:fill="auto"/>
            <w:noWrap/>
            <w:vAlign w:val="center"/>
          </w:tcPr>
          <w:p w14:paraId="739588F9"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0.994 </w:t>
            </w:r>
          </w:p>
        </w:tc>
        <w:tc>
          <w:tcPr>
            <w:tcW w:w="1500" w:type="dxa"/>
            <w:tcBorders>
              <w:top w:val="single" w:sz="8" w:space="0" w:color="auto"/>
              <w:left w:val="nil"/>
              <w:bottom w:val="single" w:sz="4" w:space="0" w:color="auto"/>
              <w:right w:val="nil"/>
            </w:tcBorders>
            <w:shd w:val="clear" w:color="auto" w:fill="auto"/>
            <w:noWrap/>
            <w:vAlign w:val="center"/>
          </w:tcPr>
          <w:p w14:paraId="4AB4BE47"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0.366 </w:t>
            </w:r>
          </w:p>
        </w:tc>
        <w:tc>
          <w:tcPr>
            <w:tcW w:w="1500" w:type="dxa"/>
            <w:tcBorders>
              <w:top w:val="single" w:sz="8" w:space="0" w:color="auto"/>
              <w:left w:val="nil"/>
              <w:bottom w:val="single" w:sz="4" w:space="0" w:color="auto"/>
              <w:right w:val="nil"/>
            </w:tcBorders>
            <w:shd w:val="clear" w:color="auto" w:fill="auto"/>
            <w:noWrap/>
            <w:vAlign w:val="center"/>
          </w:tcPr>
          <w:p w14:paraId="12F49385"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0.912 </w:t>
            </w:r>
          </w:p>
        </w:tc>
        <w:tc>
          <w:tcPr>
            <w:tcW w:w="1500" w:type="dxa"/>
            <w:tcBorders>
              <w:top w:val="single" w:sz="8" w:space="0" w:color="auto"/>
              <w:left w:val="nil"/>
              <w:bottom w:val="single" w:sz="4" w:space="0" w:color="auto"/>
              <w:right w:val="nil"/>
            </w:tcBorders>
            <w:shd w:val="clear" w:color="auto" w:fill="auto"/>
            <w:noWrap/>
            <w:vAlign w:val="center"/>
          </w:tcPr>
          <w:p w14:paraId="4BCC141B"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0.899 </w:t>
            </w:r>
          </w:p>
        </w:tc>
      </w:tr>
      <w:tr w:rsidR="00863EE4" w:rsidRPr="00863EE4" w14:paraId="49BEBFF8" w14:textId="77777777" w:rsidTr="00FA22C6">
        <w:trPr>
          <w:trHeight w:val="400"/>
        </w:trPr>
        <w:tc>
          <w:tcPr>
            <w:tcW w:w="1500" w:type="dxa"/>
            <w:tcBorders>
              <w:top w:val="single" w:sz="8" w:space="0" w:color="auto"/>
              <w:left w:val="nil"/>
              <w:bottom w:val="single" w:sz="4" w:space="0" w:color="auto"/>
              <w:right w:val="nil"/>
            </w:tcBorders>
            <w:shd w:val="clear" w:color="auto" w:fill="auto"/>
            <w:noWrap/>
            <w:vAlign w:val="center"/>
          </w:tcPr>
          <w:p w14:paraId="0D82C8C1"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0.1</w:t>
            </w:r>
          </w:p>
        </w:tc>
        <w:tc>
          <w:tcPr>
            <w:tcW w:w="1500" w:type="dxa"/>
            <w:tcBorders>
              <w:top w:val="single" w:sz="8" w:space="0" w:color="auto"/>
              <w:left w:val="nil"/>
              <w:bottom w:val="single" w:sz="4" w:space="0" w:color="auto"/>
              <w:right w:val="nil"/>
            </w:tcBorders>
            <w:shd w:val="clear" w:color="auto" w:fill="auto"/>
            <w:noWrap/>
            <w:vAlign w:val="center"/>
          </w:tcPr>
          <w:p w14:paraId="6D5C4E2E"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0.894 </w:t>
            </w:r>
          </w:p>
        </w:tc>
        <w:tc>
          <w:tcPr>
            <w:tcW w:w="1500" w:type="dxa"/>
            <w:tcBorders>
              <w:top w:val="single" w:sz="8" w:space="0" w:color="auto"/>
              <w:left w:val="nil"/>
              <w:bottom w:val="single" w:sz="4" w:space="0" w:color="auto"/>
              <w:right w:val="nil"/>
            </w:tcBorders>
            <w:shd w:val="clear" w:color="auto" w:fill="auto"/>
            <w:noWrap/>
            <w:vAlign w:val="center"/>
          </w:tcPr>
          <w:p w14:paraId="09303226"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0.998 </w:t>
            </w:r>
          </w:p>
        </w:tc>
        <w:tc>
          <w:tcPr>
            <w:tcW w:w="1500" w:type="dxa"/>
            <w:tcBorders>
              <w:top w:val="single" w:sz="8" w:space="0" w:color="auto"/>
              <w:left w:val="nil"/>
              <w:bottom w:val="single" w:sz="4" w:space="0" w:color="auto"/>
              <w:right w:val="nil"/>
            </w:tcBorders>
            <w:shd w:val="clear" w:color="auto" w:fill="auto"/>
            <w:noWrap/>
            <w:vAlign w:val="center"/>
          </w:tcPr>
          <w:p w14:paraId="1900A3F7"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0.208 </w:t>
            </w:r>
          </w:p>
        </w:tc>
        <w:tc>
          <w:tcPr>
            <w:tcW w:w="1500" w:type="dxa"/>
            <w:tcBorders>
              <w:top w:val="single" w:sz="8" w:space="0" w:color="auto"/>
              <w:left w:val="nil"/>
              <w:bottom w:val="single" w:sz="4" w:space="0" w:color="auto"/>
              <w:right w:val="nil"/>
            </w:tcBorders>
            <w:shd w:val="clear" w:color="auto" w:fill="auto"/>
            <w:noWrap/>
            <w:vAlign w:val="center"/>
          </w:tcPr>
          <w:p w14:paraId="489EEB22"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0.893 </w:t>
            </w:r>
          </w:p>
        </w:tc>
        <w:tc>
          <w:tcPr>
            <w:tcW w:w="1500" w:type="dxa"/>
            <w:tcBorders>
              <w:top w:val="single" w:sz="8" w:space="0" w:color="auto"/>
              <w:left w:val="nil"/>
              <w:bottom w:val="single" w:sz="4" w:space="0" w:color="auto"/>
              <w:right w:val="nil"/>
            </w:tcBorders>
            <w:shd w:val="clear" w:color="auto" w:fill="auto"/>
            <w:noWrap/>
            <w:vAlign w:val="center"/>
          </w:tcPr>
          <w:p w14:paraId="13AF5E3B" w14:textId="77777777" w:rsidR="00FA22C6" w:rsidRPr="00863EE4" w:rsidRDefault="00000000">
            <w:pPr>
              <w:jc w:val="center"/>
              <w:rPr>
                <w:rFonts w:ascii="Arial" w:eastAsia="游ゴシック" w:hAnsi="Arial" w:cs="Arial"/>
                <w:color w:val="000000" w:themeColor="text1"/>
                <w:lang w:val="en-GB"/>
              </w:rPr>
            </w:pPr>
            <w:r w:rsidRPr="00863EE4">
              <w:rPr>
                <w:rFonts w:ascii="Arial" w:eastAsia="游ゴシック" w:hAnsi="Arial" w:cs="Arial"/>
                <w:color w:val="000000" w:themeColor="text1"/>
                <w:lang w:val="en-GB"/>
              </w:rPr>
              <w:t xml:space="preserve">0.935 </w:t>
            </w:r>
          </w:p>
        </w:tc>
      </w:tr>
    </w:tbl>
    <w:p w14:paraId="35D77253" w14:textId="47587FE1" w:rsidR="00F84960" w:rsidRPr="00863EE4" w:rsidRDefault="00000000">
      <w:pPr>
        <w:jc w:val="both"/>
        <w:rPr>
          <w:rFonts w:ascii="Arial" w:hAnsi="Arial" w:cs="Arial"/>
          <w:color w:val="000000" w:themeColor="text1"/>
          <w:lang w:val="en-GB"/>
        </w:rPr>
      </w:pPr>
      <w:r w:rsidRPr="00863EE4">
        <w:rPr>
          <w:rFonts w:ascii="Arial" w:hAnsi="Arial" w:cs="Arial"/>
          <w:color w:val="000000" w:themeColor="text1"/>
          <w:lang w:val="en-GB"/>
        </w:rPr>
        <w:t>Cut-off</w:t>
      </w:r>
      <w:r w:rsidR="00D5257F" w:rsidRPr="00863EE4">
        <w:rPr>
          <w:rFonts w:ascii="Arial" w:hAnsi="Arial" w:cs="Arial"/>
          <w:color w:val="000000" w:themeColor="text1"/>
          <w:lang w:val="en-GB"/>
        </w:rPr>
        <w:t xml:space="preserve"> (probability): </w:t>
      </w:r>
      <w:r w:rsidRPr="00863EE4">
        <w:rPr>
          <w:rFonts w:ascii="Arial" w:hAnsi="Arial" w:cs="Arial"/>
          <w:color w:val="000000" w:themeColor="text1"/>
          <w:lang w:val="en-GB"/>
        </w:rPr>
        <w:t>the cut</w:t>
      </w:r>
      <w:r w:rsidR="00D5257F" w:rsidRPr="00863EE4">
        <w:rPr>
          <w:rFonts w:ascii="Arial" w:hAnsi="Arial" w:cs="Arial"/>
          <w:color w:val="000000" w:themeColor="text1"/>
          <w:lang w:val="en-GB"/>
        </w:rPr>
        <w:t xml:space="preserve">off point of the predicted probability of </w:t>
      </w:r>
      <w:r w:rsidRPr="00863EE4">
        <w:rPr>
          <w:rFonts w:ascii="Arial" w:hAnsi="Arial" w:cs="Arial"/>
          <w:color w:val="000000" w:themeColor="text1"/>
          <w:lang w:val="en-GB"/>
        </w:rPr>
        <w:t xml:space="preserve">a poor outcome. </w:t>
      </w:r>
      <w:r w:rsidR="00D5257F" w:rsidRPr="00863EE4">
        <w:rPr>
          <w:rFonts w:ascii="Arial" w:hAnsi="Arial" w:cs="Arial"/>
          <w:color w:val="000000" w:themeColor="text1"/>
          <w:lang w:val="en-GB"/>
        </w:rPr>
        <w:tab/>
      </w:r>
      <w:r w:rsidR="00D5257F" w:rsidRPr="00863EE4">
        <w:rPr>
          <w:rFonts w:ascii="Arial" w:hAnsi="Arial" w:cs="Arial"/>
          <w:color w:val="000000" w:themeColor="text1"/>
          <w:lang w:val="en-GB"/>
        </w:rPr>
        <w:tab/>
      </w:r>
      <w:r w:rsidR="00D5257F" w:rsidRPr="00863EE4">
        <w:rPr>
          <w:rFonts w:ascii="Arial" w:hAnsi="Arial" w:cs="Arial"/>
          <w:color w:val="000000" w:themeColor="text1"/>
          <w:lang w:val="en-GB"/>
        </w:rPr>
        <w:tab/>
      </w:r>
    </w:p>
    <w:p w14:paraId="25499CD7" w14:textId="77777777" w:rsidR="00F84960" w:rsidRPr="00863EE4" w:rsidRDefault="00000000">
      <w:pPr>
        <w:jc w:val="both"/>
        <w:rPr>
          <w:rFonts w:ascii="Times New Roman" w:hAnsi="Times New Roman" w:cs="Times New Roman"/>
          <w:color w:val="000000" w:themeColor="text1"/>
          <w:lang w:val="en-GB"/>
        </w:rPr>
      </w:pPr>
      <w:r w:rsidRPr="00863EE4">
        <w:rPr>
          <w:rFonts w:ascii="Arial" w:hAnsi="Arial" w:cs="Arial"/>
          <w:color w:val="000000" w:themeColor="text1"/>
          <w:lang w:val="en-GB"/>
        </w:rPr>
        <w:t>PPV, positive predictive value; NPV, negative predictive value.</w:t>
      </w:r>
      <w:r w:rsidRPr="00863EE4">
        <w:rPr>
          <w:rFonts w:ascii="Arial" w:hAnsi="Arial" w:cs="Arial"/>
          <w:color w:val="000000" w:themeColor="text1"/>
          <w:lang w:val="en-GB"/>
        </w:rPr>
        <w:tab/>
      </w:r>
    </w:p>
    <w:p w14:paraId="1412B0E9" w14:textId="77777777" w:rsidR="00F84960" w:rsidRPr="00863EE4" w:rsidRDefault="00F84960">
      <w:pPr>
        <w:jc w:val="both"/>
        <w:rPr>
          <w:rFonts w:ascii="Times New Roman" w:hAnsi="Times New Roman" w:cs="Times New Roman"/>
          <w:color w:val="000000" w:themeColor="text1"/>
          <w:lang w:val="en-GB"/>
        </w:rPr>
      </w:pPr>
    </w:p>
    <w:p w14:paraId="2C199517" w14:textId="77777777" w:rsidR="00F84960" w:rsidRPr="00863EE4" w:rsidRDefault="00000000" w:rsidP="007D2288">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br w:type="page"/>
      </w:r>
    </w:p>
    <w:p w14:paraId="6C7960E7" w14:textId="77777777" w:rsidR="00F84960" w:rsidRPr="00863EE4" w:rsidRDefault="00000000">
      <w:pPr>
        <w:jc w:val="both"/>
        <w:rPr>
          <w:rFonts w:ascii="Times New Roman" w:hAnsi="Times New Roman" w:cs="Times New Roman"/>
          <w:b/>
          <w:bCs/>
          <w:color w:val="000000" w:themeColor="text1"/>
          <w:lang w:val="en-GB"/>
        </w:rPr>
      </w:pPr>
      <w:r w:rsidRPr="00863EE4">
        <w:rPr>
          <w:rFonts w:ascii="Times New Roman" w:hAnsi="Times New Roman" w:cs="Times New Roman"/>
          <w:b/>
          <w:bCs/>
          <w:color w:val="000000" w:themeColor="text1"/>
          <w:lang w:val="en-GB"/>
        </w:rPr>
        <w:lastRenderedPageBreak/>
        <w:t>Reference</w:t>
      </w:r>
      <w:r w:rsidR="0071480C" w:rsidRPr="00863EE4">
        <w:rPr>
          <w:rFonts w:ascii="Times New Roman" w:hAnsi="Times New Roman" w:cs="Times New Roman"/>
          <w:b/>
          <w:bCs/>
          <w:color w:val="000000" w:themeColor="text1"/>
          <w:lang w:val="en-GB"/>
        </w:rPr>
        <w:t>s</w:t>
      </w:r>
    </w:p>
    <w:p w14:paraId="07877E0D" w14:textId="0F859580" w:rsidR="00F84960" w:rsidRPr="00863EE4" w:rsidRDefault="00000000" w:rsidP="00A3779F">
      <w:pPr>
        <w:pStyle w:val="af0"/>
        <w:numPr>
          <w:ilvl w:val="0"/>
          <w:numId w:val="1"/>
        </w:numPr>
        <w:ind w:leftChars="0"/>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Kitamura T, Iwami T, Atsumi T, Endo T, Kanna T, Kuroda Y, et al. The profile of Japanese Association for Acute Medicine - out-of-hospital cardiac arrest registry in 2014-2015. Acute Med Surg. 2018;5:249-58.</w:t>
      </w:r>
    </w:p>
    <w:p w14:paraId="73FB5D36" w14:textId="77777777" w:rsidR="00F84960" w:rsidRPr="00863EE4" w:rsidRDefault="00000000" w:rsidP="00D8270C">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Iwami T, Kawamura T, Hiraide A, </w:t>
      </w:r>
      <w:r w:rsidR="00D8270C" w:rsidRPr="00863EE4">
        <w:rPr>
          <w:rFonts w:ascii="Times New Roman" w:hAnsi="Times New Roman" w:cs="Times New Roman"/>
          <w:color w:val="000000" w:themeColor="text1"/>
          <w:lang w:val="en-GB"/>
        </w:rPr>
        <w:t xml:space="preserve">Berg RA, Hayashi Y, Nishiuchi T, </w:t>
      </w:r>
      <w:r w:rsidRPr="00863EE4">
        <w:rPr>
          <w:rFonts w:ascii="Times New Roman" w:hAnsi="Times New Roman" w:cs="Times New Roman"/>
          <w:color w:val="000000" w:themeColor="text1"/>
          <w:lang w:val="en-GB"/>
        </w:rPr>
        <w:t>et al. Effectiveness of bystander-initiated cardiac-only resuscitation for patients with out-of-hospital cardiac arrest. Circulation 2007;116:2900-7.</w:t>
      </w:r>
    </w:p>
    <w:p w14:paraId="0D33CC11" w14:textId="77777777" w:rsidR="00F84960" w:rsidRPr="00863EE4" w:rsidRDefault="00000000" w:rsidP="00D8270C">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Iwami T, Nichol G, Hiraide A, </w:t>
      </w:r>
      <w:r w:rsidR="00D8270C" w:rsidRPr="00863EE4">
        <w:rPr>
          <w:rFonts w:ascii="Times New Roman" w:hAnsi="Times New Roman" w:cs="Times New Roman"/>
          <w:color w:val="000000" w:themeColor="text1"/>
          <w:lang w:val="en-GB"/>
        </w:rPr>
        <w:t xml:space="preserve">Hayashi Y, Nishiuchi T, Kajino K, </w:t>
      </w:r>
      <w:r w:rsidRPr="00863EE4">
        <w:rPr>
          <w:rFonts w:ascii="Times New Roman" w:hAnsi="Times New Roman" w:cs="Times New Roman"/>
          <w:color w:val="000000" w:themeColor="text1"/>
          <w:lang w:val="en-GB"/>
        </w:rPr>
        <w:t>et al. Continuous improvements in "chain of survival" increased survival after out-of-hospital cardiac arrests: a large-scale population-based study. Circulation 2009;119:728-34.</w:t>
      </w:r>
    </w:p>
    <w:p w14:paraId="17286DF0" w14:textId="77777777" w:rsidR="00F84960" w:rsidRPr="00863EE4" w:rsidRDefault="00000000">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Japan Resuscitation Council. 2015 Japanese Guidelines for Emergency Care and Cardiopulmonary Resuscitation. Tokyo: Igaku-Shoin; 2016 (in Japnanese).</w:t>
      </w:r>
    </w:p>
    <w:p w14:paraId="050E47CA" w14:textId="22B928F6" w:rsidR="00F84960" w:rsidRPr="00863EE4" w:rsidRDefault="00000000" w:rsidP="00D8270C">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Kitamura T, Kiyohara K, Sakai T,</w:t>
      </w:r>
      <w:r w:rsidR="00D8270C" w:rsidRPr="00863EE4">
        <w:rPr>
          <w:color w:val="000000" w:themeColor="text1"/>
        </w:rPr>
        <w:t xml:space="preserve"> </w:t>
      </w:r>
      <w:r w:rsidR="00D8270C" w:rsidRPr="00863EE4">
        <w:rPr>
          <w:rFonts w:ascii="Times New Roman" w:hAnsi="Times New Roman" w:cs="Times New Roman"/>
          <w:color w:val="000000" w:themeColor="text1"/>
          <w:lang w:val="en-GB"/>
        </w:rPr>
        <w:t>Matsuyama T, Hatakeyama T, Shimamoto T,</w:t>
      </w:r>
      <w:r w:rsidRPr="00863EE4">
        <w:rPr>
          <w:rFonts w:ascii="Times New Roman" w:hAnsi="Times New Roman" w:cs="Times New Roman"/>
          <w:color w:val="000000" w:themeColor="text1"/>
          <w:lang w:val="en-GB"/>
        </w:rPr>
        <w:t xml:space="preserve"> et al. Public-</w:t>
      </w:r>
      <w:r w:rsidR="00D8270C" w:rsidRPr="00863EE4">
        <w:rPr>
          <w:rFonts w:ascii="Times New Roman" w:hAnsi="Times New Roman" w:cs="Times New Roman"/>
          <w:color w:val="000000" w:themeColor="text1"/>
          <w:lang w:val="en-GB"/>
        </w:rPr>
        <w:t>a</w:t>
      </w:r>
      <w:r w:rsidRPr="00863EE4">
        <w:rPr>
          <w:rFonts w:ascii="Times New Roman" w:hAnsi="Times New Roman" w:cs="Times New Roman"/>
          <w:color w:val="000000" w:themeColor="text1"/>
          <w:lang w:val="en-GB"/>
        </w:rPr>
        <w:t xml:space="preserve">ccess </w:t>
      </w:r>
      <w:r w:rsidR="00D8270C" w:rsidRPr="00863EE4">
        <w:rPr>
          <w:rFonts w:ascii="Times New Roman" w:hAnsi="Times New Roman" w:cs="Times New Roman"/>
          <w:color w:val="000000" w:themeColor="text1"/>
          <w:lang w:val="en-GB"/>
        </w:rPr>
        <w:t>d</w:t>
      </w:r>
      <w:r w:rsidRPr="00863EE4">
        <w:rPr>
          <w:rFonts w:ascii="Times New Roman" w:hAnsi="Times New Roman" w:cs="Times New Roman"/>
          <w:color w:val="000000" w:themeColor="text1"/>
          <w:lang w:val="en-GB"/>
        </w:rPr>
        <w:t xml:space="preserve">efibrillation and </w:t>
      </w:r>
      <w:r w:rsidR="00D8270C" w:rsidRPr="00863EE4">
        <w:rPr>
          <w:rFonts w:ascii="Times New Roman" w:hAnsi="Times New Roman" w:cs="Times New Roman"/>
          <w:color w:val="000000" w:themeColor="text1"/>
          <w:lang w:val="en-GB"/>
        </w:rPr>
        <w:t>o</w:t>
      </w:r>
      <w:r w:rsidRPr="00863EE4">
        <w:rPr>
          <w:rFonts w:ascii="Times New Roman" w:hAnsi="Times New Roman" w:cs="Times New Roman"/>
          <w:color w:val="000000" w:themeColor="text1"/>
          <w:lang w:val="en-GB"/>
        </w:rPr>
        <w:t>ut-of-</w:t>
      </w:r>
      <w:r w:rsidR="00D8270C" w:rsidRPr="00863EE4">
        <w:rPr>
          <w:rFonts w:ascii="Times New Roman" w:hAnsi="Times New Roman" w:cs="Times New Roman"/>
          <w:color w:val="000000" w:themeColor="text1"/>
          <w:lang w:val="en-GB"/>
        </w:rPr>
        <w:t>h</w:t>
      </w:r>
      <w:r w:rsidRPr="00863EE4">
        <w:rPr>
          <w:rFonts w:ascii="Times New Roman" w:hAnsi="Times New Roman" w:cs="Times New Roman"/>
          <w:color w:val="000000" w:themeColor="text1"/>
          <w:lang w:val="en-GB"/>
        </w:rPr>
        <w:t xml:space="preserve">ospital </w:t>
      </w:r>
      <w:r w:rsidR="00D8270C" w:rsidRPr="00863EE4">
        <w:rPr>
          <w:rFonts w:ascii="Times New Roman" w:hAnsi="Times New Roman" w:cs="Times New Roman"/>
          <w:color w:val="000000" w:themeColor="text1"/>
          <w:lang w:val="en-GB"/>
        </w:rPr>
        <w:t>c</w:t>
      </w:r>
      <w:r w:rsidRPr="00863EE4">
        <w:rPr>
          <w:rFonts w:ascii="Times New Roman" w:hAnsi="Times New Roman" w:cs="Times New Roman"/>
          <w:color w:val="000000" w:themeColor="text1"/>
          <w:lang w:val="en-GB"/>
        </w:rPr>
        <w:t xml:space="preserve">ardiac </w:t>
      </w:r>
      <w:r w:rsidR="00D8270C" w:rsidRPr="00863EE4">
        <w:rPr>
          <w:rFonts w:ascii="Times New Roman" w:hAnsi="Times New Roman" w:cs="Times New Roman"/>
          <w:color w:val="000000" w:themeColor="text1"/>
          <w:lang w:val="en-GB"/>
        </w:rPr>
        <w:t>a</w:t>
      </w:r>
      <w:r w:rsidRPr="00863EE4">
        <w:rPr>
          <w:rFonts w:ascii="Times New Roman" w:hAnsi="Times New Roman" w:cs="Times New Roman"/>
          <w:color w:val="000000" w:themeColor="text1"/>
          <w:lang w:val="en-GB"/>
        </w:rPr>
        <w:t>rrest in Japan. N Engl J Med</w:t>
      </w:r>
      <w:r w:rsidR="00D8270C"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2016;375:1649-59.</w:t>
      </w:r>
    </w:p>
    <w:p w14:paraId="0FE4BB52" w14:textId="10BC2A85" w:rsidR="00F84960" w:rsidRPr="00863EE4" w:rsidRDefault="00000000">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Kitamura T, Iwami T, Kawamura T, Nagao K, Tanaka H, Hiraide A. Nationwide </w:t>
      </w:r>
      <w:r w:rsidR="00D8270C" w:rsidRPr="00863EE4">
        <w:rPr>
          <w:rFonts w:ascii="Times New Roman" w:hAnsi="Times New Roman" w:cs="Times New Roman"/>
          <w:color w:val="000000" w:themeColor="text1"/>
          <w:lang w:val="en-GB"/>
        </w:rPr>
        <w:t>p</w:t>
      </w:r>
      <w:r w:rsidRPr="00863EE4">
        <w:rPr>
          <w:rFonts w:ascii="Times New Roman" w:hAnsi="Times New Roman" w:cs="Times New Roman"/>
          <w:color w:val="000000" w:themeColor="text1"/>
          <w:lang w:val="en-GB"/>
        </w:rPr>
        <w:t>ublic-</w:t>
      </w:r>
      <w:r w:rsidR="00D8270C" w:rsidRPr="00863EE4">
        <w:rPr>
          <w:rFonts w:ascii="Times New Roman" w:hAnsi="Times New Roman" w:cs="Times New Roman"/>
          <w:color w:val="000000" w:themeColor="text1"/>
          <w:lang w:val="en-GB"/>
        </w:rPr>
        <w:t>a</w:t>
      </w:r>
      <w:r w:rsidRPr="00863EE4">
        <w:rPr>
          <w:rFonts w:ascii="Times New Roman" w:hAnsi="Times New Roman" w:cs="Times New Roman"/>
          <w:color w:val="000000" w:themeColor="text1"/>
          <w:lang w:val="en-GB"/>
        </w:rPr>
        <w:t xml:space="preserve">ccess </w:t>
      </w:r>
      <w:r w:rsidR="00D8270C" w:rsidRPr="00863EE4">
        <w:rPr>
          <w:rFonts w:ascii="Times New Roman" w:hAnsi="Times New Roman" w:cs="Times New Roman"/>
          <w:color w:val="000000" w:themeColor="text1"/>
          <w:lang w:val="en-GB"/>
        </w:rPr>
        <w:t>d</w:t>
      </w:r>
      <w:r w:rsidRPr="00863EE4">
        <w:rPr>
          <w:rFonts w:ascii="Times New Roman" w:hAnsi="Times New Roman" w:cs="Times New Roman"/>
          <w:color w:val="000000" w:themeColor="text1"/>
          <w:lang w:val="en-GB"/>
        </w:rPr>
        <w:t>efibrillation in Japan. N Engl J Med</w:t>
      </w:r>
      <w:r w:rsidR="00D8270C" w:rsidRPr="00863EE4">
        <w:rPr>
          <w:rFonts w:ascii="Times New Roman" w:hAnsi="Times New Roman" w:cs="Times New Roman"/>
          <w:color w:val="000000" w:themeColor="text1"/>
          <w:lang w:val="en-GB"/>
        </w:rPr>
        <w:t>.</w:t>
      </w:r>
      <w:r w:rsidRPr="00863EE4">
        <w:rPr>
          <w:rFonts w:ascii="Times New Roman" w:hAnsi="Times New Roman" w:cs="Times New Roman"/>
          <w:color w:val="000000" w:themeColor="text1"/>
          <w:lang w:val="en-GB"/>
        </w:rPr>
        <w:t xml:space="preserve"> 2010;362:994-1004.</w:t>
      </w:r>
    </w:p>
    <w:p w14:paraId="54F2EF56" w14:textId="77777777" w:rsidR="00F84960" w:rsidRPr="00863EE4" w:rsidRDefault="00000000" w:rsidP="00DF0E52">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 xml:space="preserve">Jacobs I, Nadkarni V, Bahr J, </w:t>
      </w:r>
      <w:r w:rsidR="00DF0E52" w:rsidRPr="00863EE4">
        <w:rPr>
          <w:rFonts w:ascii="Times New Roman" w:hAnsi="Times New Roman" w:cs="Times New Roman"/>
          <w:color w:val="000000" w:themeColor="text1"/>
          <w:lang w:val="en-GB"/>
        </w:rPr>
        <w:t xml:space="preserve">Berg RA, Billi JE, Bossaert L, </w:t>
      </w:r>
      <w:r w:rsidRPr="00863EE4">
        <w:rPr>
          <w:rFonts w:ascii="Times New Roman" w:hAnsi="Times New Roman" w:cs="Times New Roman"/>
          <w:color w:val="000000" w:themeColor="text1"/>
          <w:lang w:val="en-GB"/>
        </w:rPr>
        <w:t>et al. Cardiac arrest and cardiopulmonary resuscitation outcome reports: update and simplification of the Utstein templates for resuscitation registries: a statement for healthcare professionals from a task force of the International Liaison Committee on Resuscitation (American Heart Association, European Resuscitation Council, Australian Resuscitation Council, New Zealand Resuscitation Council, Heart and Stroke Foundation of Canada, InterAmerican Heart Foundation, Resuscitation Councils of Southern Africa). Circulation 2004;110:3385-97.</w:t>
      </w:r>
    </w:p>
    <w:p w14:paraId="06D49914" w14:textId="36090D9F" w:rsidR="00152DB7" w:rsidRPr="00863EE4" w:rsidRDefault="00000000">
      <w:pPr>
        <w:pStyle w:val="af0"/>
        <w:numPr>
          <w:ilvl w:val="0"/>
          <w:numId w:val="1"/>
        </w:numPr>
        <w:ind w:leftChars="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Krstajic D, Buturovic LJ, Leahy DE, Thomas S. Cross-validation pitfalls when selecting and assessing regression and classification models. J Cheminformatics. 2014;6:10.</w:t>
      </w:r>
    </w:p>
    <w:p w14:paraId="250137C9" w14:textId="77777777" w:rsidR="00F84960" w:rsidRPr="00863EE4" w:rsidRDefault="00000000">
      <w:pPr>
        <w:pStyle w:val="af0"/>
        <w:ind w:leftChars="0" w:left="360"/>
        <w:jc w:val="both"/>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tab/>
      </w:r>
    </w:p>
    <w:p w14:paraId="3AC5D13E" w14:textId="77777777" w:rsidR="00544797" w:rsidRPr="00863EE4" w:rsidRDefault="00544797">
      <w:pPr>
        <w:jc w:val="both"/>
        <w:rPr>
          <w:rFonts w:ascii="Times New Roman" w:hAnsi="Times New Roman" w:cs="Times New Roman"/>
          <w:color w:val="000000" w:themeColor="text1"/>
          <w:lang w:val="en-GB"/>
        </w:rPr>
      </w:pPr>
    </w:p>
    <w:p w14:paraId="51F90C57" w14:textId="77777777" w:rsidR="00544797" w:rsidRPr="00863EE4" w:rsidRDefault="00544797">
      <w:pPr>
        <w:jc w:val="both"/>
        <w:rPr>
          <w:rFonts w:ascii="Times New Roman" w:hAnsi="Times New Roman" w:cs="Times New Roman"/>
          <w:color w:val="000000" w:themeColor="text1"/>
          <w:lang w:val="en-GB"/>
        </w:rPr>
      </w:pPr>
    </w:p>
    <w:p w14:paraId="5A5B571F" w14:textId="77777777" w:rsidR="00F84960" w:rsidRPr="00863EE4" w:rsidRDefault="00000000" w:rsidP="003505C7">
      <w:pPr>
        <w:rPr>
          <w:rFonts w:ascii="Times New Roman" w:hAnsi="Times New Roman" w:cs="Times New Roman"/>
          <w:color w:val="000000" w:themeColor="text1"/>
          <w:lang w:val="en-GB"/>
        </w:rPr>
      </w:pPr>
      <w:r w:rsidRPr="00863EE4">
        <w:rPr>
          <w:rFonts w:ascii="Times New Roman" w:hAnsi="Times New Roman" w:cs="Times New Roman"/>
          <w:color w:val="000000" w:themeColor="text1"/>
          <w:lang w:val="en-GB"/>
        </w:rPr>
        <w:fldChar w:fldCharType="begin"/>
      </w:r>
      <w:r w:rsidRPr="00863EE4">
        <w:rPr>
          <w:rFonts w:ascii="Times New Roman" w:hAnsi="Times New Roman" w:cs="Times New Roman"/>
          <w:color w:val="000000" w:themeColor="text1"/>
          <w:lang w:val="en-GB"/>
        </w:rPr>
        <w:instrText xml:space="preserve"> ADDIN EN.REFLIST </w:instrText>
      </w:r>
      <w:r w:rsidRPr="00863EE4">
        <w:rPr>
          <w:rFonts w:ascii="Times New Roman" w:hAnsi="Times New Roman" w:cs="Times New Roman"/>
          <w:color w:val="000000" w:themeColor="text1"/>
          <w:lang w:val="en-GB"/>
        </w:rPr>
        <w:fldChar w:fldCharType="separate"/>
      </w:r>
      <w:r w:rsidRPr="00863EE4">
        <w:rPr>
          <w:rFonts w:ascii="Times New Roman" w:hAnsi="Times New Roman" w:cs="Times New Roman"/>
          <w:color w:val="000000" w:themeColor="text1"/>
          <w:lang w:val="en-GB"/>
        </w:rPr>
        <w:fldChar w:fldCharType="end"/>
      </w:r>
    </w:p>
    <w:sectPr w:rsidR="00F84960" w:rsidRPr="00863EE4">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l Bayan">
    <w:panose1 w:val="00000000000000000000"/>
    <w:charset w:val="B2"/>
    <w:family w:val="auto"/>
    <w:pitch w:val="variable"/>
    <w:sig w:usb0="00002001" w:usb1="00000000" w:usb2="00000008" w:usb3="00000000" w:csb0="00000040" w:csb1="00000000"/>
  </w:font>
  <w:font w:name="Segoe UI Symbol">
    <w:panose1 w:val="020B0502040204020203"/>
    <w:charset w:val="00"/>
    <w:family w:val="swiss"/>
    <w:pitch w:val="variable"/>
    <w:sig w:usb0="800001E3" w:usb1="1200FFEF" w:usb2="00040000" w:usb3="00000000" w:csb0="00000001" w:csb1="00000000"/>
  </w:font>
  <w:font w:name="游ゴシック">
    <w:altName w:val="Yu Gothic"/>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4363"/>
    <w:multiLevelType w:val="multilevel"/>
    <w:tmpl w:val="12784363"/>
    <w:lvl w:ilvl="0">
      <w:start w:val="1"/>
      <w:numFmt w:val="decimal"/>
      <w:lvlText w:val="%1."/>
      <w:lvlJc w:val="left"/>
      <w:pPr>
        <w:ind w:left="360" w:hanging="36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num w:numId="1" w16cid:durableId="1711686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DateAndTime/>
  <w:bordersDoNotSurroundHeader/>
  <w:bordersDoNotSurroundFooter/>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1NDWzMDI2szA3NjNX0lEKTi0uzszPAykwrgUAyerWZiwAAAA="/>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Al Bayan&lt;/FontName&gt;&lt;FontSize&gt;10&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F62203"/>
    <w:rsid w:val="00004BD0"/>
    <w:rsid w:val="00021435"/>
    <w:rsid w:val="000247E3"/>
    <w:rsid w:val="00026209"/>
    <w:rsid w:val="00033773"/>
    <w:rsid w:val="00041E0D"/>
    <w:rsid w:val="00060BDE"/>
    <w:rsid w:val="00064E29"/>
    <w:rsid w:val="00075CD4"/>
    <w:rsid w:val="000811F4"/>
    <w:rsid w:val="00082F81"/>
    <w:rsid w:val="00085358"/>
    <w:rsid w:val="000872D6"/>
    <w:rsid w:val="000B6232"/>
    <w:rsid w:val="000D169F"/>
    <w:rsid w:val="000D6965"/>
    <w:rsid w:val="000E76E3"/>
    <w:rsid w:val="000F6305"/>
    <w:rsid w:val="00102D4F"/>
    <w:rsid w:val="00117495"/>
    <w:rsid w:val="001261C4"/>
    <w:rsid w:val="001469A3"/>
    <w:rsid w:val="00150B60"/>
    <w:rsid w:val="00152DB7"/>
    <w:rsid w:val="00162E16"/>
    <w:rsid w:val="00171D18"/>
    <w:rsid w:val="0019402B"/>
    <w:rsid w:val="001A2550"/>
    <w:rsid w:val="001A4B29"/>
    <w:rsid w:val="001A4F09"/>
    <w:rsid w:val="001B5506"/>
    <w:rsid w:val="001E293B"/>
    <w:rsid w:val="001E620D"/>
    <w:rsid w:val="00204C44"/>
    <w:rsid w:val="00206F3F"/>
    <w:rsid w:val="00221E44"/>
    <w:rsid w:val="002307D5"/>
    <w:rsid w:val="00232CBE"/>
    <w:rsid w:val="00240B27"/>
    <w:rsid w:val="00243C42"/>
    <w:rsid w:val="002445D6"/>
    <w:rsid w:val="00260D8D"/>
    <w:rsid w:val="00276972"/>
    <w:rsid w:val="0028197E"/>
    <w:rsid w:val="002A4C11"/>
    <w:rsid w:val="002B3348"/>
    <w:rsid w:val="002C223D"/>
    <w:rsid w:val="002C24F5"/>
    <w:rsid w:val="002D27BE"/>
    <w:rsid w:val="002E09F0"/>
    <w:rsid w:val="00302C89"/>
    <w:rsid w:val="00304D13"/>
    <w:rsid w:val="00305C02"/>
    <w:rsid w:val="003135C4"/>
    <w:rsid w:val="003346EC"/>
    <w:rsid w:val="003505C7"/>
    <w:rsid w:val="00351F5D"/>
    <w:rsid w:val="00365746"/>
    <w:rsid w:val="00383E30"/>
    <w:rsid w:val="003A1EDB"/>
    <w:rsid w:val="003A21BB"/>
    <w:rsid w:val="003B5441"/>
    <w:rsid w:val="003B5E65"/>
    <w:rsid w:val="003C5B2D"/>
    <w:rsid w:val="003C6C41"/>
    <w:rsid w:val="003D4F62"/>
    <w:rsid w:val="003D6F79"/>
    <w:rsid w:val="003E3F4C"/>
    <w:rsid w:val="003F0834"/>
    <w:rsid w:val="003F1CFA"/>
    <w:rsid w:val="003F2C3D"/>
    <w:rsid w:val="00405826"/>
    <w:rsid w:val="0040769F"/>
    <w:rsid w:val="00413EBB"/>
    <w:rsid w:val="00420849"/>
    <w:rsid w:val="0042293D"/>
    <w:rsid w:val="00434CA6"/>
    <w:rsid w:val="0044407B"/>
    <w:rsid w:val="00444117"/>
    <w:rsid w:val="004472E2"/>
    <w:rsid w:val="00450B2C"/>
    <w:rsid w:val="00461829"/>
    <w:rsid w:val="004631B2"/>
    <w:rsid w:val="0046772D"/>
    <w:rsid w:val="00481A63"/>
    <w:rsid w:val="004843BB"/>
    <w:rsid w:val="004A138D"/>
    <w:rsid w:val="004A34FF"/>
    <w:rsid w:val="004C3217"/>
    <w:rsid w:val="004C498B"/>
    <w:rsid w:val="004C703B"/>
    <w:rsid w:val="00517177"/>
    <w:rsid w:val="00523785"/>
    <w:rsid w:val="00530C59"/>
    <w:rsid w:val="00544797"/>
    <w:rsid w:val="00554FD0"/>
    <w:rsid w:val="0058212E"/>
    <w:rsid w:val="005A0770"/>
    <w:rsid w:val="005A237E"/>
    <w:rsid w:val="005A30FE"/>
    <w:rsid w:val="005B2123"/>
    <w:rsid w:val="005B3106"/>
    <w:rsid w:val="005D6A21"/>
    <w:rsid w:val="005D6FC0"/>
    <w:rsid w:val="005E16E9"/>
    <w:rsid w:val="005F10E8"/>
    <w:rsid w:val="00611770"/>
    <w:rsid w:val="00616582"/>
    <w:rsid w:val="00616903"/>
    <w:rsid w:val="00640E2E"/>
    <w:rsid w:val="0064134D"/>
    <w:rsid w:val="00641EE4"/>
    <w:rsid w:val="00645085"/>
    <w:rsid w:val="006521D4"/>
    <w:rsid w:val="006604A1"/>
    <w:rsid w:val="00662379"/>
    <w:rsid w:val="0067356F"/>
    <w:rsid w:val="006929FB"/>
    <w:rsid w:val="006A01E1"/>
    <w:rsid w:val="006A5574"/>
    <w:rsid w:val="006B26E9"/>
    <w:rsid w:val="006B7174"/>
    <w:rsid w:val="006C678C"/>
    <w:rsid w:val="006C6F7D"/>
    <w:rsid w:val="006E2BA4"/>
    <w:rsid w:val="006E4BBC"/>
    <w:rsid w:val="007123E2"/>
    <w:rsid w:val="0071480C"/>
    <w:rsid w:val="00716A38"/>
    <w:rsid w:val="00747A5C"/>
    <w:rsid w:val="0076087F"/>
    <w:rsid w:val="00766D5C"/>
    <w:rsid w:val="0078517E"/>
    <w:rsid w:val="00790BB0"/>
    <w:rsid w:val="00794D1B"/>
    <w:rsid w:val="007B533A"/>
    <w:rsid w:val="007B614C"/>
    <w:rsid w:val="007C5E98"/>
    <w:rsid w:val="007D19B8"/>
    <w:rsid w:val="007D2288"/>
    <w:rsid w:val="007F17F8"/>
    <w:rsid w:val="007F4FB9"/>
    <w:rsid w:val="007F7C66"/>
    <w:rsid w:val="00802C5A"/>
    <w:rsid w:val="00806B9D"/>
    <w:rsid w:val="008166C1"/>
    <w:rsid w:val="008166E6"/>
    <w:rsid w:val="008339EF"/>
    <w:rsid w:val="00837D20"/>
    <w:rsid w:val="008615C9"/>
    <w:rsid w:val="00861E21"/>
    <w:rsid w:val="00863EE4"/>
    <w:rsid w:val="00871E3A"/>
    <w:rsid w:val="00891C35"/>
    <w:rsid w:val="008A446F"/>
    <w:rsid w:val="008B7DC7"/>
    <w:rsid w:val="008C2B27"/>
    <w:rsid w:val="008C3E21"/>
    <w:rsid w:val="008D1B4A"/>
    <w:rsid w:val="008F2AA9"/>
    <w:rsid w:val="008F38E6"/>
    <w:rsid w:val="00900E01"/>
    <w:rsid w:val="00910575"/>
    <w:rsid w:val="0091339A"/>
    <w:rsid w:val="009176AE"/>
    <w:rsid w:val="0092787A"/>
    <w:rsid w:val="00946B49"/>
    <w:rsid w:val="00952CB4"/>
    <w:rsid w:val="0095557F"/>
    <w:rsid w:val="00973081"/>
    <w:rsid w:val="009820B3"/>
    <w:rsid w:val="009837C0"/>
    <w:rsid w:val="009A102D"/>
    <w:rsid w:val="009A2EC9"/>
    <w:rsid w:val="009C11DD"/>
    <w:rsid w:val="009C2178"/>
    <w:rsid w:val="009D382C"/>
    <w:rsid w:val="009E723B"/>
    <w:rsid w:val="00A17F00"/>
    <w:rsid w:val="00A23160"/>
    <w:rsid w:val="00A3779F"/>
    <w:rsid w:val="00A410DB"/>
    <w:rsid w:val="00A4264C"/>
    <w:rsid w:val="00A6709E"/>
    <w:rsid w:val="00A779CC"/>
    <w:rsid w:val="00A93CAE"/>
    <w:rsid w:val="00A93CF6"/>
    <w:rsid w:val="00A9414D"/>
    <w:rsid w:val="00AA483B"/>
    <w:rsid w:val="00AA552C"/>
    <w:rsid w:val="00AC1A38"/>
    <w:rsid w:val="00AC5EF0"/>
    <w:rsid w:val="00AD4ED9"/>
    <w:rsid w:val="00AD6AF5"/>
    <w:rsid w:val="00AE66B0"/>
    <w:rsid w:val="00AF413C"/>
    <w:rsid w:val="00B31FDE"/>
    <w:rsid w:val="00B33989"/>
    <w:rsid w:val="00B33B0B"/>
    <w:rsid w:val="00B37BC9"/>
    <w:rsid w:val="00B37F2F"/>
    <w:rsid w:val="00B47623"/>
    <w:rsid w:val="00B54FA0"/>
    <w:rsid w:val="00B70553"/>
    <w:rsid w:val="00B71EE4"/>
    <w:rsid w:val="00B76991"/>
    <w:rsid w:val="00BA183B"/>
    <w:rsid w:val="00BA550C"/>
    <w:rsid w:val="00BC0AD7"/>
    <w:rsid w:val="00BC7ABF"/>
    <w:rsid w:val="00BF49AF"/>
    <w:rsid w:val="00C005CC"/>
    <w:rsid w:val="00C04647"/>
    <w:rsid w:val="00C12B63"/>
    <w:rsid w:val="00C238AB"/>
    <w:rsid w:val="00C26C49"/>
    <w:rsid w:val="00C449D5"/>
    <w:rsid w:val="00C51153"/>
    <w:rsid w:val="00C63EB5"/>
    <w:rsid w:val="00C64362"/>
    <w:rsid w:val="00C64568"/>
    <w:rsid w:val="00C65B31"/>
    <w:rsid w:val="00C747BB"/>
    <w:rsid w:val="00CA78DF"/>
    <w:rsid w:val="00D0723C"/>
    <w:rsid w:val="00D22EEE"/>
    <w:rsid w:val="00D25501"/>
    <w:rsid w:val="00D41211"/>
    <w:rsid w:val="00D5257F"/>
    <w:rsid w:val="00D537B2"/>
    <w:rsid w:val="00D66BC6"/>
    <w:rsid w:val="00D70BF2"/>
    <w:rsid w:val="00D8270C"/>
    <w:rsid w:val="00D85E3B"/>
    <w:rsid w:val="00D900B4"/>
    <w:rsid w:val="00DD451F"/>
    <w:rsid w:val="00DD4882"/>
    <w:rsid w:val="00DE2E66"/>
    <w:rsid w:val="00DE6F74"/>
    <w:rsid w:val="00DF0E52"/>
    <w:rsid w:val="00DF2CB2"/>
    <w:rsid w:val="00DF6660"/>
    <w:rsid w:val="00E0206F"/>
    <w:rsid w:val="00E35836"/>
    <w:rsid w:val="00E41521"/>
    <w:rsid w:val="00E44AD1"/>
    <w:rsid w:val="00E47372"/>
    <w:rsid w:val="00E522E6"/>
    <w:rsid w:val="00E6317D"/>
    <w:rsid w:val="00E70C67"/>
    <w:rsid w:val="00E87A6B"/>
    <w:rsid w:val="00E914EC"/>
    <w:rsid w:val="00E916F6"/>
    <w:rsid w:val="00EA7110"/>
    <w:rsid w:val="00EB55D1"/>
    <w:rsid w:val="00EB6A21"/>
    <w:rsid w:val="00ED2FAB"/>
    <w:rsid w:val="00EF0DDA"/>
    <w:rsid w:val="00EF135B"/>
    <w:rsid w:val="00EF5806"/>
    <w:rsid w:val="00EF5BF0"/>
    <w:rsid w:val="00F62203"/>
    <w:rsid w:val="00F62C51"/>
    <w:rsid w:val="00F6303F"/>
    <w:rsid w:val="00F7625F"/>
    <w:rsid w:val="00F80A60"/>
    <w:rsid w:val="00F84960"/>
    <w:rsid w:val="00F93B33"/>
    <w:rsid w:val="00F93E3E"/>
    <w:rsid w:val="00FA0152"/>
    <w:rsid w:val="00FA22C6"/>
    <w:rsid w:val="00FB4C3A"/>
    <w:rsid w:val="00FD3B08"/>
    <w:rsid w:val="00FE25C8"/>
    <w:rsid w:val="00FE4B34"/>
    <w:rsid w:val="047E45F6"/>
    <w:rsid w:val="35C6469B"/>
    <w:rsid w:val="492929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CB872BA"/>
  <w15:docId w15:val="{DA029554-60C3-41F5-829C-8AF3A651B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4362"/>
    <w:rPr>
      <w:rFonts w:ascii="ＭＳ Ｐゴシック" w:eastAsia="ＭＳ Ｐゴシック" w:hAnsi="ＭＳ Ｐゴシック" w:cs="ＭＳ Ｐゴシック"/>
      <w:sz w:val="24"/>
      <w:szCs w:val="24"/>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ＭＳ 明朝" w:eastAsia="ＭＳ 明朝"/>
      <w:sz w:val="18"/>
      <w:szCs w:val="18"/>
    </w:rPr>
  </w:style>
  <w:style w:type="character" w:styleId="a5">
    <w:name w:val="annotation reference"/>
    <w:basedOn w:val="a0"/>
    <w:uiPriority w:val="99"/>
    <w:semiHidden/>
    <w:unhideWhenUsed/>
    <w:rPr>
      <w:sz w:val="16"/>
      <w:szCs w:val="16"/>
    </w:rPr>
  </w:style>
  <w:style w:type="paragraph" w:styleId="a6">
    <w:name w:val="annotation text"/>
    <w:basedOn w:val="a"/>
    <w:link w:val="a7"/>
    <w:uiPriority w:val="99"/>
    <w:unhideWhenUsed/>
    <w:rPr>
      <w:sz w:val="20"/>
      <w:szCs w:val="20"/>
    </w:rPr>
  </w:style>
  <w:style w:type="paragraph" w:styleId="a8">
    <w:name w:val="annotation subject"/>
    <w:basedOn w:val="a6"/>
    <w:next w:val="a6"/>
    <w:link w:val="a9"/>
    <w:uiPriority w:val="99"/>
    <w:semiHidden/>
    <w:unhideWhenUsed/>
    <w:rPr>
      <w:b/>
      <w:bCs/>
    </w:rPr>
  </w:style>
  <w:style w:type="character" w:styleId="aa">
    <w:name w:val="FollowedHyperlink"/>
    <w:basedOn w:val="a0"/>
    <w:uiPriority w:val="99"/>
    <w:semiHidden/>
    <w:unhideWhenUsed/>
    <w:rPr>
      <w:color w:val="954F72" w:themeColor="followedHyperlink"/>
      <w:u w:val="single"/>
    </w:rPr>
  </w:style>
  <w:style w:type="paragraph" w:styleId="ab">
    <w:name w:val="footer"/>
    <w:basedOn w:val="a"/>
    <w:link w:val="ac"/>
    <w:uiPriority w:val="99"/>
    <w:unhideWhenUsed/>
    <w:pPr>
      <w:tabs>
        <w:tab w:val="center" w:pos="4252"/>
        <w:tab w:val="right" w:pos="8504"/>
      </w:tabs>
      <w:snapToGrid w:val="0"/>
    </w:pPr>
  </w:style>
  <w:style w:type="character" w:styleId="ad">
    <w:name w:val="Hyperlink"/>
    <w:basedOn w:val="a0"/>
    <w:uiPriority w:val="99"/>
    <w:unhideWhenUsed/>
    <w:rPr>
      <w:color w:val="0563C1" w:themeColor="hyperlink"/>
      <w:u w:val="single"/>
    </w:rPr>
  </w:style>
  <w:style w:type="character" w:styleId="ae">
    <w:name w:val="page number"/>
    <w:basedOn w:val="a0"/>
    <w:uiPriority w:val="99"/>
    <w:semiHidden/>
    <w:unhideWhenUsed/>
  </w:style>
  <w:style w:type="table" w:styleId="af">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qFormat/>
    <w:pPr>
      <w:widowControl w:val="0"/>
      <w:jc w:val="center"/>
    </w:pPr>
    <w:rPr>
      <w:rFonts w:ascii="Al Bayan" w:eastAsia="游明朝" w:hAnsi="Al Bayan" w:cs="Al Bayan"/>
      <w:kern w:val="2"/>
      <w:sz w:val="20"/>
    </w:rPr>
  </w:style>
  <w:style w:type="character" w:customStyle="1" w:styleId="EndNoteBibliographyTitle0">
    <w:name w:val="EndNote Bibliography Title (文字)"/>
    <w:basedOn w:val="a0"/>
    <w:link w:val="EndNoteBibliographyTitle"/>
    <w:rPr>
      <w:rFonts w:ascii="Al Bayan" w:eastAsia="游明朝" w:hAnsi="Al Bayan" w:cs="Al Bayan"/>
      <w:kern w:val="2"/>
      <w:szCs w:val="24"/>
      <w:lang w:val="en-US" w:eastAsia="ja-JP"/>
    </w:rPr>
  </w:style>
  <w:style w:type="paragraph" w:customStyle="1" w:styleId="EndNoteBibliography">
    <w:name w:val="EndNote Bibliography"/>
    <w:basedOn w:val="a"/>
    <w:link w:val="EndNoteBibliography0"/>
    <w:qFormat/>
    <w:pPr>
      <w:widowControl w:val="0"/>
      <w:jc w:val="both"/>
    </w:pPr>
    <w:rPr>
      <w:rFonts w:ascii="Al Bayan" w:eastAsia="游明朝" w:hAnsi="Al Bayan" w:cs="Al Bayan"/>
      <w:kern w:val="2"/>
      <w:sz w:val="20"/>
    </w:rPr>
  </w:style>
  <w:style w:type="character" w:customStyle="1" w:styleId="EndNoteBibliography0">
    <w:name w:val="EndNote Bibliography (文字)"/>
    <w:basedOn w:val="a0"/>
    <w:link w:val="EndNoteBibliography"/>
    <w:qFormat/>
    <w:rPr>
      <w:rFonts w:ascii="Al Bayan" w:eastAsia="游明朝" w:hAnsi="Al Bayan" w:cs="Al Bayan"/>
      <w:kern w:val="2"/>
      <w:szCs w:val="24"/>
      <w:lang w:val="en-US" w:eastAsia="ja-JP"/>
    </w:rPr>
  </w:style>
  <w:style w:type="character" w:customStyle="1" w:styleId="ac">
    <w:name w:val="フッター (文字)"/>
    <w:basedOn w:val="a0"/>
    <w:link w:val="ab"/>
    <w:uiPriority w:val="99"/>
    <w:rPr>
      <w:rFonts w:ascii="ＭＳ Ｐゴシック" w:eastAsia="ＭＳ Ｐゴシック" w:hAnsi="ＭＳ Ｐゴシック" w:cs="ＭＳ Ｐゴシック"/>
      <w:kern w:val="0"/>
      <w:sz w:val="24"/>
    </w:rPr>
  </w:style>
  <w:style w:type="character" w:customStyle="1" w:styleId="UnresolvedMention1">
    <w:name w:val="Unresolved Mention1"/>
    <w:basedOn w:val="a0"/>
    <w:uiPriority w:val="99"/>
    <w:semiHidden/>
    <w:unhideWhenUsed/>
    <w:rPr>
      <w:color w:val="605E5C"/>
      <w:shd w:val="clear" w:color="auto" w:fill="E1DFDD"/>
    </w:rPr>
  </w:style>
  <w:style w:type="character" w:customStyle="1" w:styleId="a4">
    <w:name w:val="吹き出し (文字)"/>
    <w:basedOn w:val="a0"/>
    <w:link w:val="a3"/>
    <w:uiPriority w:val="99"/>
    <w:semiHidden/>
    <w:rPr>
      <w:rFonts w:ascii="ＭＳ 明朝" w:eastAsia="ＭＳ 明朝" w:hAnsi="ＭＳ Ｐゴシック" w:cs="ＭＳ Ｐゴシック"/>
      <w:kern w:val="0"/>
      <w:sz w:val="18"/>
      <w:szCs w:val="18"/>
    </w:rPr>
  </w:style>
  <w:style w:type="paragraph" w:styleId="af0">
    <w:name w:val="List Paragraph"/>
    <w:basedOn w:val="a"/>
    <w:uiPriority w:val="34"/>
    <w:qFormat/>
    <w:pPr>
      <w:ind w:leftChars="400" w:left="840"/>
    </w:pPr>
  </w:style>
  <w:style w:type="character" w:customStyle="1" w:styleId="a7">
    <w:name w:val="コメント文字列 (文字)"/>
    <w:basedOn w:val="a0"/>
    <w:link w:val="a6"/>
    <w:uiPriority w:val="99"/>
    <w:rPr>
      <w:rFonts w:ascii="ＭＳ Ｐゴシック" w:eastAsia="ＭＳ Ｐゴシック" w:hAnsi="ＭＳ Ｐゴシック" w:cs="ＭＳ Ｐゴシック"/>
      <w:kern w:val="0"/>
      <w:sz w:val="20"/>
      <w:szCs w:val="20"/>
    </w:rPr>
  </w:style>
  <w:style w:type="character" w:customStyle="1" w:styleId="a9">
    <w:name w:val="コメント内容 (文字)"/>
    <w:basedOn w:val="a7"/>
    <w:link w:val="a8"/>
    <w:uiPriority w:val="99"/>
    <w:semiHidden/>
    <w:rPr>
      <w:rFonts w:ascii="ＭＳ Ｐゴシック" w:eastAsia="ＭＳ Ｐゴシック" w:hAnsi="ＭＳ Ｐゴシック" w:cs="ＭＳ Ｐゴシック"/>
      <w:b/>
      <w:bCs/>
      <w:kern w:val="0"/>
      <w:sz w:val="20"/>
      <w:szCs w:val="20"/>
    </w:rPr>
  </w:style>
  <w:style w:type="paragraph" w:customStyle="1" w:styleId="Revision1">
    <w:name w:val="Revision1"/>
    <w:hidden/>
    <w:uiPriority w:val="99"/>
    <w:semiHidden/>
    <w:rPr>
      <w:rFonts w:ascii="ＭＳ Ｐゴシック" w:eastAsia="ＭＳ Ｐゴシック" w:hAnsi="ＭＳ Ｐゴシック" w:cs="ＭＳ Ｐゴシック"/>
      <w:sz w:val="24"/>
      <w:szCs w:val="24"/>
      <w:lang w:val="en-US" w:eastAsia="ja-JP"/>
    </w:rPr>
  </w:style>
  <w:style w:type="paragraph" w:styleId="af1">
    <w:name w:val="header"/>
    <w:basedOn w:val="a"/>
    <w:link w:val="af2"/>
    <w:uiPriority w:val="99"/>
    <w:unhideWhenUsed/>
    <w:rsid w:val="00D41211"/>
    <w:pPr>
      <w:tabs>
        <w:tab w:val="center" w:pos="4513"/>
        <w:tab w:val="right" w:pos="9026"/>
      </w:tabs>
    </w:pPr>
  </w:style>
  <w:style w:type="character" w:customStyle="1" w:styleId="af2">
    <w:name w:val="ヘッダー (文字)"/>
    <w:basedOn w:val="a0"/>
    <w:link w:val="af1"/>
    <w:uiPriority w:val="99"/>
    <w:rsid w:val="00D41211"/>
    <w:rPr>
      <w:rFonts w:ascii="ＭＳ Ｐゴシック" w:eastAsia="ＭＳ Ｐゴシック" w:hAnsi="ＭＳ Ｐゴシック" w:cs="ＭＳ Ｐゴシック"/>
      <w:sz w:val="24"/>
      <w:szCs w:val="24"/>
      <w:lang w:val="en-US" w:eastAsia="ja-JP"/>
    </w:rPr>
  </w:style>
  <w:style w:type="paragraph" w:styleId="af3">
    <w:name w:val="Revision"/>
    <w:hidden/>
    <w:uiPriority w:val="99"/>
    <w:semiHidden/>
    <w:rsid w:val="00640E2E"/>
    <w:rPr>
      <w:rFonts w:ascii="ＭＳ Ｐゴシック" w:eastAsia="ＭＳ Ｐゴシック" w:hAnsi="ＭＳ Ｐゴシック" w:cs="ＭＳ Ｐゴシック"/>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numbering" Target="numbering.xml"/><Relationship Id="rId7" Type="http://schemas.openxmlformats.org/officeDocument/2006/relationships/image" Target="media/image1.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5720418F-6418-4B22-A95C-D7A3A48660E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2412</Words>
  <Characters>13752</Characters>
  <Application>Microsoft Office Word</Application>
  <DocSecurity>0</DocSecurity>
  <Lines>114</Lines>
  <Paragraphs>32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Norihiro Nishioka</cp:lastModifiedBy>
  <cp:revision>4</cp:revision>
  <dcterms:created xsi:type="dcterms:W3CDTF">2023-07-27T15:29:00Z</dcterms:created>
  <dcterms:modified xsi:type="dcterms:W3CDTF">2023-07-27T15:45:00Z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1033-11.2.0.10224</vt:lpwstr>
  </property>
</Properties>
</file>