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CFBE" w14:textId="77777777" w:rsidR="002B5934" w:rsidRDefault="002B5934" w:rsidP="002B5934">
      <w:pPr>
        <w:rPr>
          <w:rFonts w:ascii="Calibri" w:hAnsi="Calibri" w:cs="Calibri"/>
          <w:sz w:val="24"/>
        </w:rPr>
      </w:pPr>
      <w:r>
        <w:rPr>
          <w:rFonts w:ascii="Calibri" w:eastAsia="SimSun" w:hAnsi="Calibri" w:cs="Calibri"/>
          <w:b/>
          <w:sz w:val="24"/>
        </w:rPr>
        <w:t>Supplementary Table 1. Baseline characteristics of patients in the meta-analysis.</w:t>
      </w:r>
    </w:p>
    <w:tbl>
      <w:tblPr>
        <w:tblW w:w="5000" w:type="pct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1813"/>
        <w:gridCol w:w="1003"/>
        <w:gridCol w:w="889"/>
        <w:gridCol w:w="1902"/>
        <w:gridCol w:w="2580"/>
        <w:gridCol w:w="2306"/>
        <w:gridCol w:w="1945"/>
        <w:gridCol w:w="1851"/>
        <w:gridCol w:w="1109"/>
      </w:tblGrid>
      <w:tr w:rsidR="002B5934" w14:paraId="714B0A5D" w14:textId="77777777" w:rsidTr="002B5934">
        <w:trPr>
          <w:trHeight w:val="737"/>
        </w:trPr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447AED" w14:textId="77777777" w:rsidR="002B5934" w:rsidRDefault="002B5934">
            <w:pPr>
              <w:widowControl/>
              <w:jc w:val="center"/>
              <w:rPr>
                <w:rFonts w:ascii="Calibri" w:eastAsia="DengXian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Author, year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2C93D8" w14:textId="77777777" w:rsidR="002B5934" w:rsidRDefault="002B5934">
            <w:pPr>
              <w:widowControl/>
              <w:jc w:val="center"/>
              <w:rPr>
                <w:rFonts w:ascii="Calibri" w:eastAsia="DengXian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Mean age</w:t>
            </w:r>
          </w:p>
          <w:p w14:paraId="25306C5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(years)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B9C35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Male (%)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86AF3F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Disease duration (years)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FE064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Previous TNF antagonist use (%)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431446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Immunomodulators use at baseline (%)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6DBCC4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Corticosteroid use at baseline (%)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EF5E1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Disease site (I/C/IC, %)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F90BEB" w14:textId="77777777" w:rsidR="002B5934" w:rsidRDefault="002B5934">
            <w:pPr>
              <w:jc w:val="center"/>
              <w:rPr>
                <w:rFonts w:ascii="DengXian" w:eastAsia="DengXian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Mean CDAI</w:t>
            </w:r>
          </w:p>
        </w:tc>
      </w:tr>
      <w:tr w:rsidR="002B5934" w14:paraId="5D3B1481" w14:textId="77777777" w:rsidTr="002B5934">
        <w:trPr>
          <w:trHeight w:val="90"/>
        </w:trPr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D98360" w14:textId="77777777" w:rsidR="002B5934" w:rsidRDefault="002B5934">
            <w:pPr>
              <w:widowControl/>
              <w:jc w:val="center"/>
              <w:rPr>
                <w:rFonts w:ascii="Calibri" w:hAnsi="Calibri" w:cs="Calibri" w:hint="eastAsia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Feagan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Brian G. 2017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91E1C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37.5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904CD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39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E0A60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13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D3C4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88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0EF17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26</w:t>
            </w:r>
          </w:p>
        </w:tc>
        <w:tc>
          <w:tcPr>
            <w:tcW w:w="63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527BD6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65822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31/55/81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3F01F7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297.5 (Median)</w:t>
            </w:r>
          </w:p>
        </w:tc>
      </w:tr>
      <w:tr w:rsidR="002B5934" w14:paraId="12B52C52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E866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 xml:space="preserve">Sands, B. E. </w:t>
            </w:r>
          </w:p>
          <w:p w14:paraId="7CC7330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2017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E497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36.5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7E72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37.8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3A1B2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12.2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F1D8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100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BB0A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5124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BAB5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27/29/44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747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318.6</w:t>
            </w:r>
          </w:p>
        </w:tc>
      </w:tr>
      <w:tr w:rsidR="002B5934" w14:paraId="22D6D997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1FB06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D'Haens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Geert 2022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045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37·5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B2FA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026C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8·8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BBB71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96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2A52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6D7D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2DA3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15/36/50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AA05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313·0</w:t>
            </w:r>
          </w:p>
        </w:tc>
      </w:tr>
      <w:tr w:rsidR="002B5934" w14:paraId="0AC1CC84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64C8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D'Haens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Geert 2022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376C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39·6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02A3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0B19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11·7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8A78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95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F7AB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3EA24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465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14/39/47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83FB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314·2</w:t>
            </w:r>
          </w:p>
        </w:tc>
      </w:tr>
      <w:tr w:rsidR="002B5934" w14:paraId="4CF41736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FA6C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 xml:space="preserve">Sands, B. E. </w:t>
            </w:r>
          </w:p>
          <w:p w14:paraId="043E6E2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2022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373D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38.8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F5A52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48.6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8A826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9.6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781A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611A7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04A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FD52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17/39/43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152D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313.9</w:t>
            </w:r>
          </w:p>
        </w:tc>
      </w:tr>
      <w:tr w:rsidR="002B5934" w14:paraId="1BC73AF4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B5E4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Sandborn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W. J. 2022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D176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38.8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767B7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59.2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2B22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8.8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9070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FDD0E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36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0346F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851B4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29/42/29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335E4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309.0</w:t>
            </w:r>
          </w:p>
        </w:tc>
      </w:tr>
      <w:tr w:rsidR="002B5934" w14:paraId="74FDEAE6" w14:textId="77777777" w:rsidTr="002B5934">
        <w:trPr>
          <w:trHeight w:val="737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D754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Sandborn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W. J. 2012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958C4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39.0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F62F2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41.3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3AE9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12.3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E8890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99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9D9BF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361A1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5576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--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6ABE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323.9</w:t>
            </w:r>
          </w:p>
        </w:tc>
      </w:tr>
      <w:tr w:rsidR="002B5934" w14:paraId="50446A50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970E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Feagan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B. G. 2016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DA87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37.3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570F8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42.7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B9E5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12.2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6CEBE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62605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D3CDF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5138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14/17/69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BD3A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322.5</w:t>
            </w:r>
          </w:p>
        </w:tc>
      </w:tr>
      <w:tr w:rsidR="002B5934" w14:paraId="60B0D8F7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F706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t>Feagan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B. G. 2016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FEF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39.2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C6E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46.7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DCFC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9.3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8FE4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68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0B73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1EB3C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A3B5B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23/20/57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3F4B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302.8</w:t>
            </w:r>
          </w:p>
        </w:tc>
      </w:tr>
      <w:tr w:rsidR="002B5934" w14:paraId="117CCA40" w14:textId="77777777" w:rsidTr="002B5934">
        <w:trPr>
          <w:trHeight w:val="90"/>
        </w:trPr>
        <w:tc>
          <w:tcPr>
            <w:tcW w:w="59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B80618E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</w:rPr>
              <w:lastRenderedPageBreak/>
              <w:t>Sandborn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</w:rPr>
              <w:t>, W. J. 2022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2B7F06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38.8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AB4B52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59.2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196D7A2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8.8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2DB57B7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53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3C0D6AD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F8AAD3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BE43C9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29/42/29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33B356A" w14:textId="77777777" w:rsidR="002B5934" w:rsidRDefault="002B593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309</w:t>
            </w:r>
          </w:p>
        </w:tc>
      </w:tr>
    </w:tbl>
    <w:p w14:paraId="7B67A934" w14:textId="77777777" w:rsidR="002B5934" w:rsidRDefault="002B5934" w:rsidP="002B5934">
      <w:pPr>
        <w:rPr>
          <w:rFonts w:ascii="DengXian" w:eastAsia="DengXian"/>
          <w:sz w:val="24"/>
        </w:rPr>
      </w:pPr>
      <w:r>
        <w:rPr>
          <w:rFonts w:ascii="Calibri" w:hAnsi="Calibri" w:cs="Calibri"/>
          <w:color w:val="000000"/>
          <w:sz w:val="24"/>
        </w:rPr>
        <w:t xml:space="preserve">TNF, Tumor Necrosis Factor; I, Ileum; C, Colon; IC, </w:t>
      </w:r>
      <w:proofErr w:type="gramStart"/>
      <w:r>
        <w:rPr>
          <w:rFonts w:ascii="Calibri" w:hAnsi="Calibri" w:cs="Calibri"/>
          <w:color w:val="000000"/>
          <w:sz w:val="24"/>
        </w:rPr>
        <w:t>Ileum</w:t>
      </w:r>
      <w:proofErr w:type="gramEnd"/>
      <w:r>
        <w:rPr>
          <w:rFonts w:ascii="Calibri" w:hAnsi="Calibri" w:cs="Calibri"/>
          <w:color w:val="000000"/>
          <w:sz w:val="24"/>
        </w:rPr>
        <w:t xml:space="preserve"> and colon; CDAI, Crohn’s Disease Activity Index.</w:t>
      </w:r>
    </w:p>
    <w:p w14:paraId="52D32A53" w14:textId="77777777" w:rsidR="002B5934" w:rsidRDefault="002B5934" w:rsidP="002B5934">
      <w:pPr>
        <w:rPr>
          <w:rFonts w:ascii="DengXian" w:eastAsia="DengXian" w:hint="eastAsia"/>
          <w:sz w:val="24"/>
        </w:rPr>
      </w:pPr>
    </w:p>
    <w:p w14:paraId="0A0B8481" w14:textId="77777777" w:rsidR="002B5934" w:rsidRDefault="002B5934" w:rsidP="002B5934">
      <w:pPr>
        <w:widowControl/>
        <w:snapToGrid/>
        <w:rPr>
          <w:rFonts w:ascii="DengXian" w:eastAsia="DengXian" w:hAnsi="Times New Roman"/>
          <w:snapToGrid w:val="0"/>
          <w:sz w:val="24"/>
        </w:rPr>
        <w:sectPr w:rsidR="002B5934"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14:paraId="76E6EDE0" w14:textId="70A7A7E2" w:rsidR="002B5934" w:rsidRDefault="002B5934" w:rsidP="002B5934">
      <w:pPr>
        <w:rPr>
          <w:rFonts w:ascii="DengXian" w:eastAsia="DengXian"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3A3A3C16" wp14:editId="4FA7BA6C">
            <wp:extent cx="6650355" cy="2808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0A03D" w14:textId="77777777" w:rsidR="002B5934" w:rsidRDefault="002B5934" w:rsidP="002B5934">
      <w:pPr>
        <w:jc w:val="center"/>
        <w:rPr>
          <w:rFonts w:asciiTheme="minorHAnsi" w:hAnsiTheme="minorHAnsi" w:cstheme="minorHAnsi" w:hint="eastAsia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SFig.1</w:t>
      </w:r>
      <w:r>
        <w:rPr>
          <w:rFonts w:asciiTheme="minorHAnsi" w:hAnsiTheme="minorHAnsi" w:cstheme="minorHAnsi"/>
          <w:sz w:val="24"/>
        </w:rPr>
        <w:t xml:space="preserve"> Quality assessment of each study included in this meta-analysis.</w:t>
      </w:r>
    </w:p>
    <w:p w14:paraId="0E50135D" w14:textId="57103418" w:rsidR="002B5934" w:rsidRDefault="002B5934" w:rsidP="002B5934">
      <w:pPr>
        <w:jc w:val="center"/>
        <w:rPr>
          <w:rFonts w:ascii="DengXian" w:eastAsia="DengXian"/>
          <w:sz w:val="24"/>
        </w:rPr>
      </w:pPr>
      <w:r>
        <w:rPr>
          <w:noProof/>
        </w:rPr>
        <w:lastRenderedPageBreak/>
        <w:drawing>
          <wp:inline distT="0" distB="0" distL="0" distR="0" wp14:anchorId="671FEE88" wp14:editId="2EDC5E08">
            <wp:extent cx="4096385" cy="66459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38A0A" w14:textId="77777777" w:rsidR="002B5934" w:rsidRDefault="002B5934" w:rsidP="002B5934">
      <w:pPr>
        <w:jc w:val="center"/>
        <w:rPr>
          <w:rFonts w:ascii="DengXian" w:eastAsia="DengXian" w:hint="eastAsia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SFig.2</w:t>
      </w:r>
      <w:r>
        <w:rPr>
          <w:rFonts w:asciiTheme="minorHAnsi" w:hAnsiTheme="minorHAnsi" w:cstheme="minorHAnsi"/>
          <w:sz w:val="24"/>
        </w:rPr>
        <w:t xml:space="preserve"> Quality assessment of studies included in this meta-analysis (Risk of bias summary).</w:t>
      </w:r>
    </w:p>
    <w:p w14:paraId="2A489AF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34"/>
    <w:rsid w:val="002B593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CD9F9"/>
  <w15:chartTrackingRefBased/>
  <w15:docId w15:val="{E957B39A-0130-4BA5-AC3D-10D9E685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34"/>
    <w:pPr>
      <w:widowControl w:val="0"/>
      <w:snapToGrid w:val="0"/>
      <w:spacing w:after="0" w:line="360" w:lineRule="auto"/>
    </w:pPr>
    <w:rPr>
      <w:rFonts w:ascii="Arial" w:eastAsia="SimHei" w:hAnsi="Arial" w:cs="Times New Roman"/>
      <w:sz w:val="28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</Words>
  <Characters>981</Characters>
  <Application>Microsoft Office Word</Application>
  <DocSecurity>0</DocSecurity>
  <Lines>8</Lines>
  <Paragraphs>2</Paragraphs>
  <ScaleCrop>false</ScaleCrop>
  <Company>Springer Nature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2023-09-05T10:07:00Z</dcterms:created>
  <dcterms:modified xsi:type="dcterms:W3CDTF">2023-09-05T10:07:00Z</dcterms:modified>
</cp:coreProperties>
</file>