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2" w:lineRule="auto"/>
        <w:rPr>
          <w:rFonts w:ascii="Arial"/>
          <w:sz w:val="21"/>
        </w:rPr>
      </w:pPr>
    </w:p>
    <w:p>
      <w:pPr>
        <w:spacing w:before="58" w:line="339" w:lineRule="exact"/>
        <w:ind w:left="4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position w:val="5"/>
          <w:sz w:val="20"/>
          <w:szCs w:val="20"/>
        </w:rPr>
        <w:t>Supplementary</w:t>
      </w:r>
      <w:r>
        <w:rPr>
          <w:rFonts w:ascii="Arial" w:hAnsi="Arial" w:eastAsia="Arial" w:cs="Arial"/>
          <w:spacing w:val="36"/>
          <w:position w:val="5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position w:val="5"/>
          <w:sz w:val="20"/>
          <w:szCs w:val="20"/>
        </w:rPr>
        <w:t>Figure</w:t>
      </w:r>
      <w:r>
        <w:rPr>
          <w:rFonts w:ascii="Arial" w:hAnsi="Arial" w:eastAsia="Arial" w:cs="Arial"/>
          <w:spacing w:val="35"/>
          <w:position w:val="5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pacing w:val="35"/>
          <w:position w:val="5"/>
          <w:sz w:val="20"/>
          <w:szCs w:val="20"/>
        </w:rPr>
        <w:t>1</w:t>
      </w:r>
    </w:p>
    <w:p>
      <w:pPr>
        <w:sectPr>
          <w:headerReference r:id="rId5" w:type="default"/>
          <w:footerReference r:id="rId6" w:type="default"/>
          <w:pgSz w:w="11906" w:h="16839"/>
          <w:pgMar w:top="1347" w:right="1661" w:bottom="0" w:left="1440" w:header="0" w:footer="0" w:gutter="0"/>
          <w:cols w:space="720" w:num="1"/>
        </w:sectPr>
      </w:pPr>
    </w:p>
    <w:p>
      <w:pPr>
        <w:spacing w:before="8" w:line="10858" w:lineRule="exact"/>
        <w:textAlignment w:val="center"/>
      </w:pPr>
      <w:r>
        <w:drawing>
          <wp:inline distT="0" distB="0" distL="0" distR="0">
            <wp:extent cx="5696585" cy="689419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6711" cy="689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6" w:h="16839"/>
          <w:pgMar w:top="1431" w:right="1494" w:bottom="0" w:left="1440" w:header="0" w:footer="0" w:gutter="0"/>
          <w:cols w:space="720" w:num="1"/>
        </w:sectPr>
      </w:pPr>
    </w:p>
    <w:p>
      <w:pPr>
        <w:spacing w:before="8" w:line="6903" w:lineRule="exact"/>
        <w:textAlignment w:val="center"/>
      </w:pPr>
      <w:r>
        <w:drawing>
          <wp:inline distT="0" distB="0" distL="0" distR="0">
            <wp:extent cx="5373370" cy="438277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3623" cy="438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8" w:line="339" w:lineRule="exact"/>
        <w:ind w:left="14"/>
        <w:outlineLvl w:val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position w:val="3"/>
          <w:sz w:val="20"/>
          <w:szCs w:val="20"/>
        </w:rPr>
        <w:t>Fig</w:t>
      </w:r>
      <w:r>
        <w:rPr>
          <w:rFonts w:ascii="Arial" w:hAnsi="Arial" w:eastAsia="Arial" w:cs="Arial"/>
          <w:b/>
          <w:bCs/>
          <w:spacing w:val="5"/>
          <w:position w:val="3"/>
          <w:sz w:val="20"/>
          <w:szCs w:val="20"/>
        </w:rPr>
        <w:t>.</w:t>
      </w:r>
      <w:r>
        <w:rPr>
          <w:rFonts w:ascii="Arial" w:hAnsi="Arial" w:eastAsia="Arial" w:cs="Arial"/>
          <w:spacing w:val="4"/>
          <w:position w:val="3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position w:val="3"/>
          <w:sz w:val="20"/>
          <w:szCs w:val="20"/>
        </w:rPr>
        <w:t>S</w:t>
      </w:r>
      <w:r>
        <w:rPr>
          <w:rFonts w:ascii="Arial" w:hAnsi="Arial" w:eastAsia="Arial" w:cs="Arial"/>
          <w:b/>
          <w:bCs/>
          <w:spacing w:val="4"/>
          <w:position w:val="3"/>
          <w:sz w:val="20"/>
          <w:szCs w:val="20"/>
        </w:rPr>
        <w:t>1.</w:t>
      </w:r>
    </w:p>
    <w:p>
      <w:pPr>
        <w:spacing w:before="92" w:line="272" w:lineRule="auto"/>
        <w:ind w:left="7" w:firstLine="3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Arial" w:hAnsi="Arial" w:eastAsia="Arial" w:cs="Arial"/>
          <w:b/>
          <w:bCs/>
          <w:spacing w:val="-1"/>
          <w:sz w:val="22"/>
          <w:szCs w:val="22"/>
        </w:rPr>
        <w:t>(A)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KEGG pathway enrichment analysis. </w:t>
      </w:r>
      <w:r>
        <w:rPr>
          <w:rFonts w:ascii="Arial" w:hAnsi="Arial" w:eastAsia="Arial" w:cs="Arial"/>
          <w:b/>
          <w:bCs/>
          <w:spacing w:val="-1"/>
          <w:sz w:val="22"/>
          <w:szCs w:val="22"/>
        </w:rPr>
        <w:t>(B)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Differences in C</w:t>
      </w:r>
      <w:r>
        <w:rPr>
          <w:rFonts w:ascii="Arial" w:hAnsi="Arial" w:eastAsia="Arial" w:cs="Arial"/>
          <w:sz w:val="22"/>
          <w:szCs w:val="22"/>
        </w:rPr>
        <w:t>D</w:t>
      </w:r>
      <w:r>
        <w:rPr>
          <w:rFonts w:ascii="Arial" w:hAnsi="Arial" w:eastAsia="Arial" w:cs="Arial"/>
          <w:spacing w:val="-1"/>
          <w:sz w:val="22"/>
          <w:szCs w:val="22"/>
        </w:rPr>
        <w:t xml:space="preserve">274 </w:t>
      </w:r>
      <w:r>
        <w:rPr>
          <w:rFonts w:ascii="Arial" w:hAnsi="Arial" w:eastAsia="Arial" w:cs="Arial"/>
          <w:sz w:val="22"/>
          <w:szCs w:val="22"/>
        </w:rPr>
        <w:t>expression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levels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in          </w:t>
      </w:r>
      <w:r>
        <w:rPr>
          <w:rFonts w:ascii="Arial" w:hAnsi="Arial" w:eastAsia="Arial" w:cs="Arial"/>
          <w:spacing w:val="-1"/>
          <w:sz w:val="22"/>
          <w:szCs w:val="22"/>
        </w:rPr>
        <w:t>different</w:t>
      </w:r>
      <w:r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>
        <w:rPr>
          <w:rFonts w:ascii="Arial" w:hAnsi="Arial" w:eastAsia="Arial" w:cs="Arial"/>
          <w:spacing w:val="-1"/>
          <w:sz w:val="22"/>
          <w:szCs w:val="22"/>
        </w:rPr>
        <w:t>tumors</w:t>
      </w:r>
      <w:r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>
        <w:rPr>
          <w:rFonts w:ascii="Arial" w:hAnsi="Arial" w:eastAsia="Arial" w:cs="Arial"/>
          <w:spacing w:val="-1"/>
          <w:sz w:val="22"/>
          <w:szCs w:val="22"/>
        </w:rPr>
        <w:t>in</w:t>
      </w:r>
      <w:r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>
        <w:rPr>
          <w:rFonts w:ascii="Arial" w:hAnsi="Arial" w:eastAsia="Arial" w:cs="Arial"/>
          <w:spacing w:val="-1"/>
          <w:sz w:val="22"/>
          <w:szCs w:val="22"/>
        </w:rPr>
        <w:t>the</w:t>
      </w:r>
      <w:r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>
        <w:rPr>
          <w:rFonts w:ascii="Arial" w:hAnsi="Arial" w:eastAsia="Arial" w:cs="Arial"/>
          <w:spacing w:val="-1"/>
          <w:sz w:val="22"/>
          <w:szCs w:val="22"/>
        </w:rPr>
        <w:t>TIMER</w:t>
      </w:r>
      <w:r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>
        <w:rPr>
          <w:rFonts w:ascii="Arial" w:hAnsi="Arial" w:eastAsia="Arial" w:cs="Arial"/>
          <w:spacing w:val="-1"/>
          <w:sz w:val="22"/>
          <w:szCs w:val="22"/>
        </w:rPr>
        <w:t>database</w:t>
      </w:r>
      <w:r>
        <w:rPr>
          <w:rFonts w:ascii="Arial" w:hAnsi="Arial" w:eastAsia="Arial" w:cs="Arial"/>
          <w:spacing w:val="-2"/>
          <w:sz w:val="22"/>
          <w:szCs w:val="22"/>
        </w:rPr>
        <w:t xml:space="preserve">; </w:t>
      </w:r>
      <w:r>
        <w:rPr>
          <w:rFonts w:ascii="Arial" w:hAnsi="Arial" w:eastAsia="Arial" w:cs="Arial"/>
          <w:b/>
          <w:bCs/>
          <w:spacing w:val="-2"/>
          <w:sz w:val="22"/>
          <w:szCs w:val="22"/>
        </w:rPr>
        <w:t>(</w:t>
      </w:r>
      <w:r>
        <w:rPr>
          <w:rFonts w:ascii="Arial" w:hAnsi="Arial" w:eastAsia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eastAsia="Arial" w:cs="Arial"/>
          <w:b/>
          <w:bCs/>
          <w:spacing w:val="-2"/>
          <w:sz w:val="22"/>
          <w:szCs w:val="22"/>
        </w:rPr>
        <w:t>)</w:t>
      </w:r>
      <w:r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>
        <w:rPr>
          <w:rFonts w:ascii="Arial" w:hAnsi="Arial" w:eastAsia="Arial" w:cs="Arial"/>
          <w:spacing w:val="-1"/>
          <w:sz w:val="22"/>
          <w:szCs w:val="22"/>
        </w:rPr>
        <w:t>Survival</w:t>
      </w:r>
      <w:r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>
        <w:rPr>
          <w:rFonts w:ascii="Arial" w:hAnsi="Arial" w:eastAsia="Arial" w:cs="Arial"/>
          <w:spacing w:val="-1"/>
          <w:sz w:val="22"/>
          <w:szCs w:val="22"/>
        </w:rPr>
        <w:t>curve</w:t>
      </w:r>
      <w:r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>
        <w:rPr>
          <w:rFonts w:ascii="Arial" w:hAnsi="Arial" w:eastAsia="Arial" w:cs="Arial"/>
          <w:spacing w:val="-1"/>
          <w:sz w:val="22"/>
          <w:szCs w:val="22"/>
        </w:rPr>
        <w:t>of</w:t>
      </w:r>
      <w:r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>
        <w:rPr>
          <w:rFonts w:ascii="Arial" w:hAnsi="Arial" w:eastAsia="Arial" w:cs="Arial"/>
          <w:spacing w:val="-1"/>
          <w:sz w:val="22"/>
          <w:szCs w:val="22"/>
        </w:rPr>
        <w:t>CD</w:t>
      </w:r>
      <w:r>
        <w:rPr>
          <w:rFonts w:ascii="Arial" w:hAnsi="Arial" w:eastAsia="Arial" w:cs="Arial"/>
          <w:spacing w:val="-2"/>
          <w:sz w:val="22"/>
          <w:szCs w:val="22"/>
        </w:rPr>
        <w:t xml:space="preserve">274 </w:t>
      </w:r>
      <w:r>
        <w:rPr>
          <w:rFonts w:ascii="Arial" w:hAnsi="Arial" w:eastAsia="Arial" w:cs="Arial"/>
          <w:spacing w:val="-1"/>
          <w:sz w:val="22"/>
          <w:szCs w:val="22"/>
        </w:rPr>
        <w:t>in</w:t>
      </w:r>
      <w:r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>
        <w:rPr>
          <w:rFonts w:ascii="Arial" w:hAnsi="Arial" w:eastAsia="Arial" w:cs="Arial"/>
          <w:spacing w:val="-1"/>
          <w:sz w:val="22"/>
          <w:szCs w:val="22"/>
        </w:rPr>
        <w:t>the</w:t>
      </w:r>
      <w:r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>
        <w:rPr>
          <w:rFonts w:ascii="Arial" w:hAnsi="Arial" w:eastAsia="Arial" w:cs="Arial"/>
          <w:spacing w:val="-1"/>
          <w:sz w:val="22"/>
          <w:szCs w:val="22"/>
        </w:rPr>
        <w:t>Kaplan</w:t>
      </w:r>
      <w:r>
        <w:rPr>
          <w:rFonts w:ascii="Arial" w:hAnsi="Arial" w:eastAsia="Arial" w:cs="Arial"/>
          <w:spacing w:val="-2"/>
          <w:sz w:val="22"/>
          <w:szCs w:val="22"/>
        </w:rPr>
        <w:t xml:space="preserve">‒ </w:t>
      </w:r>
      <w:r>
        <w:rPr>
          <w:rFonts w:ascii="Arial" w:hAnsi="Arial" w:eastAsia="Arial" w:cs="Arial"/>
          <w:spacing w:val="-1"/>
          <w:sz w:val="22"/>
          <w:szCs w:val="22"/>
        </w:rPr>
        <w:t>Meier</w:t>
      </w:r>
      <w:r>
        <w:rPr>
          <w:rFonts w:ascii="Arial" w:hAnsi="Arial" w:eastAsia="Arial" w:cs="Arial"/>
          <w:sz w:val="22"/>
          <w:szCs w:val="22"/>
        </w:rPr>
        <w:t xml:space="preserve">     database</w:t>
      </w:r>
      <w:r>
        <w:rPr>
          <w:rFonts w:ascii="Arial" w:hAnsi="Arial" w:eastAsia="Arial" w:cs="Arial"/>
          <w:spacing w:val="-1"/>
          <w:sz w:val="22"/>
          <w:szCs w:val="22"/>
        </w:rPr>
        <w:t xml:space="preserve">. </w:t>
      </w:r>
      <w:r>
        <w:rPr>
          <w:rFonts w:ascii="Arial" w:hAnsi="Arial" w:eastAsia="Arial" w:cs="Arial"/>
          <w:b/>
          <w:bCs/>
          <w:spacing w:val="-1"/>
          <w:sz w:val="22"/>
          <w:szCs w:val="22"/>
        </w:rPr>
        <w:t>(</w:t>
      </w:r>
      <w:r>
        <w:rPr>
          <w:rFonts w:ascii="Arial" w:hAnsi="Arial" w:eastAsia="Arial" w:cs="Arial"/>
          <w:b/>
          <w:bCs/>
          <w:sz w:val="22"/>
          <w:szCs w:val="22"/>
        </w:rPr>
        <w:t>D</w:t>
      </w:r>
      <w:r>
        <w:rPr>
          <w:rFonts w:ascii="Arial" w:hAnsi="Arial" w:eastAsia="Arial" w:cs="Arial"/>
          <w:b/>
          <w:bCs/>
          <w:spacing w:val="-1"/>
          <w:sz w:val="22"/>
          <w:szCs w:val="22"/>
        </w:rPr>
        <w:t>)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Differences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in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CTLA</w:t>
      </w:r>
      <w:r>
        <w:rPr>
          <w:rFonts w:ascii="Arial" w:hAnsi="Arial" w:eastAsia="Arial" w:cs="Arial"/>
          <w:spacing w:val="-1"/>
          <w:sz w:val="22"/>
          <w:szCs w:val="22"/>
        </w:rPr>
        <w:t xml:space="preserve">4 </w:t>
      </w:r>
      <w:r>
        <w:rPr>
          <w:rFonts w:ascii="Arial" w:hAnsi="Arial" w:eastAsia="Arial" w:cs="Arial"/>
          <w:sz w:val="22"/>
          <w:szCs w:val="22"/>
        </w:rPr>
        <w:t>expression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levels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in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different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tumors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in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the TIMER          </w:t>
      </w:r>
      <w:r>
        <w:rPr>
          <w:rFonts w:ascii="Arial" w:hAnsi="Arial" w:eastAsia="Arial" w:cs="Arial"/>
          <w:spacing w:val="-2"/>
          <w:sz w:val="22"/>
          <w:szCs w:val="22"/>
        </w:rPr>
        <w:t>database</w:t>
      </w:r>
      <w:r>
        <w:rPr>
          <w:rFonts w:ascii="Arial" w:hAnsi="Arial" w:eastAsia="Arial" w:cs="Arial"/>
          <w:spacing w:val="-4"/>
          <w:sz w:val="22"/>
          <w:szCs w:val="22"/>
        </w:rPr>
        <w:t xml:space="preserve">. </w:t>
      </w:r>
      <w:r>
        <w:rPr>
          <w:rFonts w:ascii="Arial" w:hAnsi="Arial" w:eastAsia="Arial" w:cs="Arial"/>
          <w:b/>
          <w:bCs/>
          <w:spacing w:val="-4"/>
          <w:sz w:val="22"/>
          <w:szCs w:val="22"/>
        </w:rPr>
        <w:t>(</w:t>
      </w:r>
      <w:r>
        <w:rPr>
          <w:rFonts w:ascii="Arial" w:hAnsi="Arial" w:eastAsia="Arial" w:cs="Arial"/>
          <w:b/>
          <w:bCs/>
          <w:spacing w:val="-2"/>
          <w:sz w:val="22"/>
          <w:szCs w:val="22"/>
        </w:rPr>
        <w:t>E</w:t>
      </w:r>
      <w:r>
        <w:rPr>
          <w:rFonts w:ascii="Arial" w:hAnsi="Arial" w:eastAsia="Arial" w:cs="Arial"/>
          <w:b/>
          <w:bCs/>
          <w:spacing w:val="-3"/>
          <w:sz w:val="22"/>
          <w:szCs w:val="22"/>
        </w:rPr>
        <w:t>)</w:t>
      </w:r>
      <w:r>
        <w:rPr>
          <w:rFonts w:ascii="Arial" w:hAnsi="Arial" w:eastAsia="Arial" w:cs="Arial"/>
          <w:spacing w:val="-2"/>
          <w:sz w:val="22"/>
          <w:szCs w:val="22"/>
        </w:rPr>
        <w:t xml:space="preserve"> Survival curve of CTLA4 in the Kaplan‒ Meier database; (F) Pathway</w:t>
      </w:r>
      <w:r>
        <w:rPr>
          <w:rFonts w:ascii="Arial" w:hAnsi="Arial" w:eastAsia="Arial" w:cs="Arial"/>
          <w:sz w:val="22"/>
          <w:szCs w:val="22"/>
        </w:rPr>
        <w:t xml:space="preserve">                 enrichment</w:t>
      </w:r>
      <w:r>
        <w:rPr>
          <w:rFonts w:ascii="Arial" w:hAnsi="Arial" w:eastAsia="Arial" w:cs="Arial"/>
          <w:spacing w:val="10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of</w:t>
      </w:r>
      <w:r>
        <w:rPr>
          <w:rFonts w:ascii="Arial" w:hAnsi="Arial" w:eastAsia="Arial" w:cs="Arial"/>
          <w:spacing w:val="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immune</w:t>
      </w:r>
      <w:r>
        <w:rPr>
          <w:rFonts w:ascii="Arial" w:hAnsi="Arial" w:eastAsia="Arial" w:cs="Arial"/>
          <w:spacing w:val="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system</w:t>
      </w:r>
      <w:r>
        <w:rPr>
          <w:rFonts w:ascii="Arial" w:hAnsi="Arial" w:eastAsia="Arial" w:cs="Arial"/>
          <w:spacing w:val="6"/>
          <w:sz w:val="22"/>
          <w:szCs w:val="22"/>
        </w:rPr>
        <w:t>-</w:t>
      </w:r>
      <w:r>
        <w:rPr>
          <w:rFonts w:ascii="Arial" w:hAnsi="Arial" w:eastAsia="Arial" w:cs="Arial"/>
          <w:sz w:val="22"/>
          <w:szCs w:val="22"/>
        </w:rPr>
        <w:t>related</w:t>
      </w:r>
      <w:r>
        <w:rPr>
          <w:rFonts w:ascii="Arial" w:hAnsi="Arial" w:eastAsia="Arial" w:cs="Arial"/>
          <w:spacing w:val="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differential</w:t>
      </w:r>
      <w:r>
        <w:rPr>
          <w:rFonts w:ascii="Arial" w:hAnsi="Arial" w:eastAsia="Arial" w:cs="Arial"/>
          <w:spacing w:val="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genes</w:t>
      </w:r>
      <w:r>
        <w:rPr>
          <w:rFonts w:ascii="Arial" w:hAnsi="Arial" w:eastAsia="Arial" w:cs="Arial"/>
          <w:spacing w:val="6"/>
          <w:sz w:val="22"/>
          <w:szCs w:val="22"/>
        </w:rPr>
        <w:t xml:space="preserve"> (</w:t>
      </w:r>
      <w:r>
        <w:rPr>
          <w:rFonts w:ascii="Arial" w:hAnsi="Arial" w:eastAsia="Arial" w:cs="Arial"/>
          <w:sz w:val="22"/>
          <w:szCs w:val="22"/>
        </w:rPr>
        <w:t>orange</w:t>
      </w:r>
      <w:r>
        <w:rPr>
          <w:rFonts w:ascii="Arial" w:hAnsi="Arial" w:eastAsia="Arial" w:cs="Arial"/>
          <w:spacing w:val="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for</w:t>
      </w:r>
      <w:r>
        <w:rPr>
          <w:rFonts w:ascii="Arial" w:hAnsi="Arial" w:eastAsia="Arial" w:cs="Arial"/>
          <w:spacing w:val="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up</w:t>
      </w:r>
      <w:r>
        <w:rPr>
          <w:rFonts w:ascii="Arial" w:hAnsi="Arial" w:eastAsia="Arial" w:cs="Arial"/>
          <w:spacing w:val="6"/>
          <w:sz w:val="22"/>
          <w:szCs w:val="22"/>
        </w:rPr>
        <w:t>-</w:t>
      </w:r>
      <w:r>
        <w:rPr>
          <w:rFonts w:ascii="Arial" w:hAnsi="Arial" w:eastAsia="Arial" w:cs="Arial"/>
          <w:sz w:val="22"/>
          <w:szCs w:val="22"/>
        </w:rPr>
        <w:t>regulated</w:t>
      </w:r>
      <w:r>
        <w:rPr>
          <w:rFonts w:ascii="Arial" w:hAnsi="Arial" w:eastAsia="Arial" w:cs="Arial"/>
          <w:spacing w:val="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differential genes</w:t>
      </w:r>
      <w:r>
        <w:rPr>
          <w:rFonts w:ascii="Arial" w:hAnsi="Arial" w:eastAsia="Arial" w:cs="Arial"/>
          <w:spacing w:val="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in</w:t>
      </w:r>
      <w:r>
        <w:rPr>
          <w:rFonts w:ascii="Arial" w:hAnsi="Arial" w:eastAsia="Arial" w:cs="Arial"/>
          <w:spacing w:val="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the</w:t>
      </w:r>
      <w:r>
        <w:rPr>
          <w:rFonts w:ascii="Arial" w:hAnsi="Arial" w:eastAsia="Arial" w:cs="Arial"/>
          <w:spacing w:val="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immune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system</w:t>
      </w:r>
      <w:r>
        <w:rPr>
          <w:rFonts w:ascii="Arial" w:hAnsi="Arial" w:eastAsia="Arial" w:cs="Arial"/>
          <w:spacing w:val="3"/>
          <w:sz w:val="22"/>
          <w:szCs w:val="22"/>
        </w:rPr>
        <w:t xml:space="preserve">, </w:t>
      </w:r>
      <w:r>
        <w:rPr>
          <w:rFonts w:ascii="Arial" w:hAnsi="Arial" w:eastAsia="Arial" w:cs="Arial"/>
          <w:sz w:val="22"/>
          <w:szCs w:val="22"/>
        </w:rPr>
        <w:t>blue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for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down</w:t>
      </w:r>
      <w:r>
        <w:rPr>
          <w:rFonts w:ascii="Arial" w:hAnsi="Arial" w:eastAsia="Arial" w:cs="Arial"/>
          <w:spacing w:val="3"/>
          <w:sz w:val="22"/>
          <w:szCs w:val="22"/>
        </w:rPr>
        <w:t>-</w:t>
      </w:r>
      <w:r>
        <w:rPr>
          <w:rFonts w:ascii="Arial" w:hAnsi="Arial" w:eastAsia="Arial" w:cs="Arial"/>
          <w:sz w:val="22"/>
          <w:szCs w:val="22"/>
        </w:rPr>
        <w:t>regulated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differential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genes</w:t>
      </w:r>
      <w:r>
        <w:rPr>
          <w:rFonts w:ascii="Arial" w:hAnsi="Arial" w:eastAsia="Arial" w:cs="Arial"/>
          <w:spacing w:val="3"/>
          <w:sz w:val="22"/>
          <w:szCs w:val="22"/>
        </w:rPr>
        <w:t>)</w:t>
      </w:r>
      <w:r>
        <w:rPr>
          <w:rFonts w:ascii="微软雅黑" w:hAnsi="微软雅黑" w:eastAsia="微软雅黑" w:cs="微软雅黑"/>
          <w:spacing w:val="3"/>
          <w:sz w:val="22"/>
          <w:szCs w:val="22"/>
        </w:rPr>
        <w:t>。</w:t>
      </w:r>
    </w:p>
    <w:sectPr>
      <w:pgSz w:w="11906" w:h="16839"/>
      <w:pgMar w:top="1431" w:right="1454" w:bottom="0" w:left="14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FgAAAGRycy9QSwECFAAUAAAACACHTuJAs0lY7tAAAAAFAQAADwAAAAAAAAABACAAAAA4AAAA&#10;ZHJzL2Rvd25yZXYueG1sUEsBAhQAFAAAAAgAh07iQDAyd1LdAgAAJAYAAA4AAAAAAAAAAQAgAAAA&#10;NQEAAGRycy9lMm9Eb2MueG1sUEsFBgAAAAAGAAYAWQEAAIQ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BDE90C1"/>
    <w:rsid w:val="DE257BB5"/>
    <w:rsid w:val="FEB648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Office_5.4.1.7920_F1E327BC-269C-435d-A152-05C5408002CA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2023-07-03T10:49:00Z</dcterms:created>
  <dc:creator>Sruthi Keerthana Priya (Integra)</dc:creator>
  <cp:lastModifiedBy>John.D</cp:lastModifiedBy>
  <dcterms:modified xsi:type="dcterms:W3CDTF">2023-07-14T18:44:25Z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2023-07-13T19:32:45Z</vt:filetime>
  </property>
  <property fmtid="{D5CDD505-2E9C-101B-9397-08002B2CF9AE}" pid="4" name="UsrData">
    <vt:lpwstr>64afe0d739f1df001f2bc772</vt:lpwstr>
  </property>
  <property fmtid="{D5CDD505-2E9C-101B-9397-08002B2CF9AE}" pid="5" name="KSOProductBuildVer">
    <vt:lpwstr>2052-5.4.1.7920</vt:lpwstr>
  </property>
  <property fmtid="{D5CDD505-2E9C-101B-9397-08002B2CF9AE}" pid="6" name="ICV">
    <vt:lpwstr>D04F3BD8D1D7FB47F9E0AF640C17BE4D_42</vt:lpwstr>
  </property>
</Properties>
</file>