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29ABE" w14:textId="1AD9E850" w:rsidR="00CD4CC2" w:rsidRDefault="008A23E2">
      <w:pPr>
        <w:rPr>
          <w:rFonts w:ascii="Times New Roman" w:hAnsi="Times New Roman" w:cs="Times New Roman"/>
          <w:lang w:val="en-US"/>
        </w:rPr>
      </w:pPr>
      <w:r>
        <w:rPr>
          <w:rFonts w:ascii="Times New Roman" w:hAnsi="Times New Roman" w:cs="Times New Roman"/>
          <w:lang w:val="en-US"/>
        </w:rPr>
        <w:t xml:space="preserve">Supplement </w:t>
      </w:r>
    </w:p>
    <w:p w14:paraId="34B20653" w14:textId="3F5413E5" w:rsidR="00B82DF5" w:rsidRDefault="005E0CB1">
      <w:pPr>
        <w:rPr>
          <w:rFonts w:ascii="Times New Roman" w:hAnsi="Times New Roman" w:cs="Times New Roman"/>
          <w:lang w:val="en-US"/>
        </w:rPr>
      </w:pPr>
      <w:r w:rsidRPr="005E0CB1">
        <w:rPr>
          <w:rFonts w:ascii="Times New Roman" w:hAnsi="Times New Roman" w:cs="Times New Roman"/>
          <w:noProof/>
          <w:lang w:val="en-US"/>
        </w:rPr>
        <w:drawing>
          <wp:inline distT="0" distB="0" distL="0" distR="0" wp14:anchorId="176A2D56" wp14:editId="2D8AC27D">
            <wp:extent cx="5731510" cy="73767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7376795"/>
                    </a:xfrm>
                    <a:prstGeom prst="rect">
                      <a:avLst/>
                    </a:prstGeom>
                  </pic:spPr>
                </pic:pic>
              </a:graphicData>
            </a:graphic>
          </wp:inline>
        </w:drawing>
      </w:r>
    </w:p>
    <w:p w14:paraId="178C13E8" w14:textId="220090A5" w:rsidR="005E0CB1" w:rsidRDefault="005E0CB1">
      <w:pPr>
        <w:rPr>
          <w:rFonts w:ascii="Times New Roman" w:hAnsi="Times New Roman" w:cs="Times New Roman"/>
          <w:lang w:val="en-US"/>
        </w:rPr>
      </w:pPr>
      <w:r>
        <w:rPr>
          <w:rFonts w:ascii="Times New Roman" w:hAnsi="Times New Roman" w:cs="Times New Roman"/>
          <w:lang w:val="en-US"/>
        </w:rPr>
        <w:t>Figure S1. Teleseismic body waveform fitting for the preferred joint inversion slip model. Both data (black) and synthetics (red) are in displacement, with station ID and component name (P or SH) indicated at the beginning of each waveform pair. Nex to the station ID are azimuth (upper) and distance (lower) of the station in degree. Maximum displacement amplitude in micrometer is shown at the end of each waveform pair.</w:t>
      </w:r>
    </w:p>
    <w:p w14:paraId="7DA0AF1B" w14:textId="51705F8B" w:rsidR="00B82DF5" w:rsidRDefault="00D62005">
      <w:pPr>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5F0E2E7C" wp14:editId="7C8D7A92">
            <wp:extent cx="5731510" cy="24618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461895"/>
                    </a:xfrm>
                    <a:prstGeom prst="rect">
                      <a:avLst/>
                    </a:prstGeom>
                  </pic:spPr>
                </pic:pic>
              </a:graphicData>
            </a:graphic>
          </wp:inline>
        </w:drawing>
      </w:r>
    </w:p>
    <w:p w14:paraId="2582F139" w14:textId="3D855691" w:rsidR="00265F03" w:rsidRDefault="00265F03">
      <w:pPr>
        <w:rPr>
          <w:rFonts w:ascii="Times New Roman" w:hAnsi="Times New Roman" w:cs="Times New Roman"/>
          <w:lang w:val="en-US"/>
        </w:rPr>
      </w:pPr>
      <w:r>
        <w:rPr>
          <w:rFonts w:ascii="Times New Roman" w:hAnsi="Times New Roman" w:cs="Times New Roman"/>
          <w:lang w:val="en-US"/>
        </w:rPr>
        <w:t>Figure S2. (a) Sea floor vertical deformation constrained by tsunami waveform inversion [</w:t>
      </w:r>
      <w:r w:rsidR="0032435A" w:rsidRPr="00A15212">
        <w:rPr>
          <w:rFonts w:ascii="Times New Roman" w:hAnsi="Times New Roman" w:cs="Times New Roman"/>
          <w:lang w:val="en-US"/>
        </w:rPr>
        <w:t>Romano et al., 2021</w:t>
      </w:r>
      <w:r>
        <w:rPr>
          <w:rFonts w:ascii="Times New Roman" w:hAnsi="Times New Roman" w:cs="Times New Roman"/>
          <w:lang w:val="en-US"/>
        </w:rPr>
        <w:t>]</w:t>
      </w:r>
      <w:r w:rsidR="00BA4F7E">
        <w:rPr>
          <w:rFonts w:ascii="Times New Roman" w:hAnsi="Times New Roman" w:cs="Times New Roman"/>
          <w:lang w:val="en-US"/>
        </w:rPr>
        <w:t xml:space="preserve"> (b)</w:t>
      </w:r>
      <w:r w:rsidR="0032435A">
        <w:rPr>
          <w:rFonts w:ascii="Times New Roman" w:hAnsi="Times New Roman" w:cs="Times New Roman"/>
          <w:lang w:val="en-US"/>
        </w:rPr>
        <w:t xml:space="preserve"> Sea floor vertical deformation from preferred joint inversion slip model. (c) Difference between (a) and (b). </w:t>
      </w:r>
    </w:p>
    <w:p w14:paraId="20C142BA" w14:textId="17C75EF5" w:rsidR="00113C17" w:rsidRDefault="00113C17">
      <w:pPr>
        <w:rPr>
          <w:rFonts w:ascii="Times New Roman" w:hAnsi="Times New Roman" w:cs="Times New Roman"/>
          <w:lang w:val="en-US"/>
        </w:rPr>
      </w:pPr>
      <w:r>
        <w:rPr>
          <w:noProof/>
        </w:rPr>
        <w:drawing>
          <wp:inline distT="0" distB="0" distL="0" distR="0" wp14:anchorId="2BD94C7E" wp14:editId="185A186E">
            <wp:extent cx="5731510" cy="5469890"/>
            <wp:effectExtent l="0" t="0" r="2540" b="0"/>
            <wp:docPr id="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469890"/>
                    </a:xfrm>
                    <a:prstGeom prst="rect">
                      <a:avLst/>
                    </a:prstGeom>
                    <a:noFill/>
                    <a:ln>
                      <a:noFill/>
                    </a:ln>
                  </pic:spPr>
                </pic:pic>
              </a:graphicData>
            </a:graphic>
          </wp:inline>
        </w:drawing>
      </w:r>
    </w:p>
    <w:p w14:paraId="7E0D6899" w14:textId="6904EDDA" w:rsidR="00F505FF" w:rsidRDefault="00F505FF">
      <w:pPr>
        <w:rPr>
          <w:rFonts w:ascii="Times New Roman" w:hAnsi="Times New Roman" w:cs="Times New Roman"/>
          <w:lang w:val="en-US"/>
        </w:rPr>
      </w:pPr>
      <w:r>
        <w:rPr>
          <w:rFonts w:ascii="Times New Roman" w:hAnsi="Times New Roman" w:cs="Times New Roman"/>
          <w:lang w:val="en-US"/>
        </w:rPr>
        <w:lastRenderedPageBreak/>
        <w:t xml:space="preserve">Figure </w:t>
      </w:r>
      <w:r w:rsidR="005C6D91">
        <w:rPr>
          <w:rFonts w:ascii="Times New Roman" w:hAnsi="Times New Roman" w:cs="Times New Roman"/>
          <w:lang w:val="en-US"/>
        </w:rPr>
        <w:t>S3</w:t>
      </w:r>
      <w:r w:rsidR="00C347BE">
        <w:rPr>
          <w:rFonts w:ascii="Times New Roman" w:hAnsi="Times New Roman" w:cs="Times New Roman"/>
          <w:lang w:val="en-US"/>
        </w:rPr>
        <w:t>. Illustration of the surface wave relocation</w:t>
      </w:r>
      <w:r w:rsidR="00EE249C">
        <w:rPr>
          <w:rFonts w:ascii="Times New Roman" w:hAnsi="Times New Roman" w:cs="Times New Roman"/>
          <w:lang w:val="en-US"/>
        </w:rPr>
        <w:t xml:space="preserve"> method</w:t>
      </w:r>
      <w:r w:rsidR="00C347BE">
        <w:rPr>
          <w:rFonts w:ascii="Times New Roman" w:hAnsi="Times New Roman" w:cs="Times New Roman"/>
          <w:lang w:val="en-US"/>
        </w:rPr>
        <w:t xml:space="preserve">. </w:t>
      </w:r>
      <w:r w:rsidR="000665AC" w:rsidRPr="000665AC">
        <w:rPr>
          <w:rFonts w:ascii="Times New Roman" w:hAnsi="Times New Roman" w:cs="Times New Roman"/>
          <w:lang w:val="en-US"/>
        </w:rPr>
        <w:t>(a) One example for two events having highly similar surface waveforms. (b) The relationship between the station azimuth and the time shift derived using cross-correlation</w:t>
      </w:r>
      <w:r w:rsidR="00847C73">
        <w:rPr>
          <w:rFonts w:ascii="Times New Roman" w:hAnsi="Times New Roman" w:cs="Times New Roman"/>
          <w:lang w:val="en-US"/>
        </w:rPr>
        <w:t xml:space="preserve"> for surface waves</w:t>
      </w:r>
      <w:r w:rsidR="000665AC" w:rsidRPr="000665AC">
        <w:rPr>
          <w:rFonts w:ascii="Times New Roman" w:hAnsi="Times New Roman" w:cs="Times New Roman"/>
          <w:lang w:val="en-US"/>
        </w:rPr>
        <w:t xml:space="preserve"> between the target event, 202103042312 and the reference event. (c) Same as (b) but using synthetic waveforms</w:t>
      </w:r>
      <w:r w:rsidR="00954D8A">
        <w:rPr>
          <w:rFonts w:ascii="Times New Roman" w:hAnsi="Times New Roman" w:cs="Times New Roman"/>
          <w:lang w:val="en-US"/>
        </w:rPr>
        <w:t xml:space="preserve"> for events with focal mechanism derived in </w:t>
      </w:r>
      <w:r w:rsidR="00ED4CBB">
        <w:rPr>
          <w:rFonts w:ascii="Times New Roman" w:hAnsi="Times New Roman" w:cs="Times New Roman"/>
          <w:lang w:val="en-US"/>
        </w:rPr>
        <w:t>Lythgoe et al. (submitted)</w:t>
      </w:r>
      <w:r w:rsidR="000665AC" w:rsidRPr="000665AC">
        <w:rPr>
          <w:rFonts w:ascii="Times New Roman" w:hAnsi="Times New Roman" w:cs="Times New Roman"/>
          <w:lang w:val="en-US"/>
        </w:rPr>
        <w:t xml:space="preserve">. The inset in (c) shows the histogram of the mis-location derived using synthetic data. (d) Illustration of the principle of the surface wave relocation technique. </w:t>
      </w:r>
    </w:p>
    <w:p w14:paraId="7FBDF55C" w14:textId="36CAFFFB" w:rsidR="00B4342A" w:rsidRDefault="00DD7123">
      <w:pPr>
        <w:rPr>
          <w:rFonts w:ascii="Times New Roman" w:hAnsi="Times New Roman" w:cs="Times New Roman"/>
          <w:lang w:val="en-US"/>
        </w:rPr>
      </w:pPr>
      <w:r>
        <w:rPr>
          <w:noProof/>
        </w:rPr>
        <w:drawing>
          <wp:inline distT="0" distB="0" distL="0" distR="0" wp14:anchorId="6AA1932A" wp14:editId="00B68B53">
            <wp:extent cx="5731510" cy="6252210"/>
            <wp:effectExtent l="0" t="0" r="2540" b="0"/>
            <wp:docPr id="9" name="图片 9"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 散点图&#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252210"/>
                    </a:xfrm>
                    <a:prstGeom prst="rect">
                      <a:avLst/>
                    </a:prstGeom>
                    <a:noFill/>
                    <a:ln>
                      <a:noFill/>
                    </a:ln>
                  </pic:spPr>
                </pic:pic>
              </a:graphicData>
            </a:graphic>
          </wp:inline>
        </w:drawing>
      </w:r>
    </w:p>
    <w:p w14:paraId="770B72EC" w14:textId="7D25BD20" w:rsidR="00B4342A" w:rsidRDefault="00B4342A">
      <w:pPr>
        <w:rPr>
          <w:rFonts w:ascii="Times New Roman" w:hAnsi="Times New Roman" w:cs="Times New Roman"/>
          <w:lang w:val="en-US"/>
        </w:rPr>
      </w:pPr>
      <w:r>
        <w:rPr>
          <w:rFonts w:ascii="Times New Roman" w:hAnsi="Times New Roman" w:cs="Times New Roman"/>
          <w:lang w:val="en-US"/>
        </w:rPr>
        <w:t>Figure S</w:t>
      </w:r>
      <w:r w:rsidR="005C6D91">
        <w:rPr>
          <w:rFonts w:ascii="Times New Roman" w:hAnsi="Times New Roman" w:cs="Times New Roman"/>
          <w:lang w:val="en-US"/>
        </w:rPr>
        <w:t>4</w:t>
      </w:r>
      <w:r>
        <w:rPr>
          <w:rFonts w:ascii="Times New Roman" w:hAnsi="Times New Roman" w:cs="Times New Roman"/>
          <w:lang w:val="en-US"/>
        </w:rPr>
        <w:t>. The relationship between the S-P differential travel-time</w:t>
      </w:r>
      <w:r w:rsidR="00935CBC">
        <w:rPr>
          <w:rFonts w:ascii="Times New Roman" w:hAnsi="Times New Roman" w:cs="Times New Roman"/>
          <w:lang w:val="en-US"/>
        </w:rPr>
        <w:t>s</w:t>
      </w:r>
      <w:r>
        <w:rPr>
          <w:rFonts w:ascii="Times New Roman" w:hAnsi="Times New Roman" w:cs="Times New Roman"/>
          <w:lang w:val="en-US"/>
        </w:rPr>
        <w:t xml:space="preserve"> </w:t>
      </w:r>
      <w:r w:rsidR="0050321F">
        <w:rPr>
          <w:rFonts w:ascii="Times New Roman" w:hAnsi="Times New Roman" w:cs="Times New Roman"/>
          <w:lang w:val="en-US"/>
        </w:rPr>
        <w:t xml:space="preserve">manually picked </w:t>
      </w:r>
      <w:r>
        <w:rPr>
          <w:rFonts w:ascii="Times New Roman" w:hAnsi="Times New Roman" w:cs="Times New Roman"/>
          <w:lang w:val="en-US"/>
        </w:rPr>
        <w:t xml:space="preserve">from the </w:t>
      </w:r>
      <w:r w:rsidR="00961A8D">
        <w:rPr>
          <w:rFonts w:ascii="Times New Roman" w:hAnsi="Times New Roman" w:cs="Times New Roman"/>
          <w:lang w:val="en-US"/>
        </w:rPr>
        <w:t>IU.RAO station</w:t>
      </w:r>
      <w:r w:rsidR="00BD16C3">
        <w:rPr>
          <w:rFonts w:ascii="Times New Roman" w:hAnsi="Times New Roman" w:cs="Times New Roman"/>
          <w:lang w:val="en-US"/>
        </w:rPr>
        <w:t xml:space="preserve"> (blue triangle in upper-left </w:t>
      </w:r>
      <w:proofErr w:type="spellStart"/>
      <w:r w:rsidR="00BD16C3">
        <w:rPr>
          <w:rFonts w:ascii="Times New Roman" w:hAnsi="Times New Roman" w:cs="Times New Roman"/>
          <w:lang w:val="en-US"/>
        </w:rPr>
        <w:t>pannel</w:t>
      </w:r>
      <w:proofErr w:type="spellEnd"/>
      <w:r w:rsidR="00BD16C3">
        <w:rPr>
          <w:rFonts w:ascii="Times New Roman" w:hAnsi="Times New Roman" w:cs="Times New Roman"/>
          <w:lang w:val="en-US"/>
        </w:rPr>
        <w:t>)</w:t>
      </w:r>
      <w:r w:rsidR="00961A8D">
        <w:rPr>
          <w:rFonts w:ascii="Times New Roman" w:hAnsi="Times New Roman" w:cs="Times New Roman"/>
          <w:lang w:val="en-US"/>
        </w:rPr>
        <w:t xml:space="preserve"> </w:t>
      </w:r>
      <w:r w:rsidR="00CD61E5">
        <w:rPr>
          <w:rFonts w:ascii="Times New Roman" w:hAnsi="Times New Roman" w:cs="Times New Roman"/>
          <w:lang w:val="en-US"/>
        </w:rPr>
        <w:t xml:space="preserve">records and the distance </w:t>
      </w:r>
      <w:r w:rsidR="00B85237">
        <w:rPr>
          <w:rFonts w:ascii="Times New Roman" w:hAnsi="Times New Roman" w:cs="Times New Roman"/>
          <w:lang w:val="en-US"/>
        </w:rPr>
        <w:t>to</w:t>
      </w:r>
      <w:r w:rsidR="00CD61E5">
        <w:rPr>
          <w:rFonts w:ascii="Times New Roman" w:hAnsi="Times New Roman" w:cs="Times New Roman"/>
          <w:lang w:val="en-US"/>
        </w:rPr>
        <w:t xml:space="preserve"> the IU.RAO station </w:t>
      </w:r>
      <w:r w:rsidR="00B85237">
        <w:rPr>
          <w:rFonts w:ascii="Times New Roman" w:hAnsi="Times New Roman" w:cs="Times New Roman"/>
          <w:lang w:val="en-US"/>
        </w:rPr>
        <w:t>from</w:t>
      </w:r>
      <w:r w:rsidR="00CD61E5">
        <w:rPr>
          <w:rFonts w:ascii="Times New Roman" w:hAnsi="Times New Roman" w:cs="Times New Roman"/>
          <w:lang w:val="en-US"/>
        </w:rPr>
        <w:t xml:space="preserve"> earthquake epicenters in our relocated, GCMT and USGS catalogs.</w:t>
      </w:r>
      <w:r w:rsidR="00935CBC">
        <w:rPr>
          <w:rFonts w:ascii="Times New Roman" w:hAnsi="Times New Roman" w:cs="Times New Roman"/>
          <w:lang w:val="en-US"/>
        </w:rPr>
        <w:t xml:space="preserve"> </w:t>
      </w:r>
      <w:r w:rsidR="00945A04">
        <w:rPr>
          <w:rFonts w:ascii="Times New Roman" w:hAnsi="Times New Roman" w:cs="Times New Roman"/>
          <w:lang w:val="en-US"/>
        </w:rPr>
        <w:t>Compared with other two catalogs, o</w:t>
      </w:r>
      <w:r w:rsidR="00935CBC">
        <w:rPr>
          <w:rFonts w:ascii="Times New Roman" w:hAnsi="Times New Roman" w:cs="Times New Roman"/>
          <w:lang w:val="en-US"/>
        </w:rPr>
        <w:t>ur relocated catalog results in a better</w:t>
      </w:r>
      <w:r w:rsidR="00945A04">
        <w:rPr>
          <w:rFonts w:ascii="Times New Roman" w:hAnsi="Times New Roman" w:cs="Times New Roman"/>
          <w:lang w:val="en-US"/>
        </w:rPr>
        <w:t xml:space="preserve"> and more compact</w:t>
      </w:r>
      <w:r w:rsidR="00935CBC">
        <w:rPr>
          <w:rFonts w:ascii="Times New Roman" w:hAnsi="Times New Roman" w:cs="Times New Roman"/>
          <w:lang w:val="en-US"/>
        </w:rPr>
        <w:t xml:space="preserve"> lineatio</w:t>
      </w:r>
      <w:r w:rsidR="00945A04">
        <w:rPr>
          <w:rFonts w:ascii="Times New Roman" w:hAnsi="Times New Roman" w:cs="Times New Roman"/>
          <w:lang w:val="en-US"/>
        </w:rPr>
        <w:t>n.</w:t>
      </w:r>
    </w:p>
    <w:p w14:paraId="7B3B72E2" w14:textId="099A6A17" w:rsidR="00746A72" w:rsidRDefault="00950E6B">
      <w:pPr>
        <w:rPr>
          <w:rFonts w:ascii="Times New Roman" w:hAnsi="Times New Roman" w:cs="Times New Roman"/>
          <w:lang w:val="en-US"/>
        </w:rPr>
      </w:pPr>
      <w:r>
        <w:rPr>
          <w:noProof/>
        </w:rPr>
        <w:lastRenderedPageBreak/>
        <w:drawing>
          <wp:inline distT="0" distB="0" distL="0" distR="0" wp14:anchorId="638ABA2A" wp14:editId="73F142BE">
            <wp:extent cx="3947160" cy="3947160"/>
            <wp:effectExtent l="0" t="0" r="0" b="0"/>
            <wp:docPr id="8" name="图片 8" descr="图示&#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10;&#10;低可信度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7160" cy="3947160"/>
                    </a:xfrm>
                    <a:prstGeom prst="rect">
                      <a:avLst/>
                    </a:prstGeom>
                    <a:noFill/>
                    <a:ln>
                      <a:noFill/>
                    </a:ln>
                  </pic:spPr>
                </pic:pic>
              </a:graphicData>
            </a:graphic>
          </wp:inline>
        </w:drawing>
      </w:r>
    </w:p>
    <w:p w14:paraId="05D77FED" w14:textId="2BD57B46" w:rsidR="00746A72" w:rsidRDefault="00746A72">
      <w:pPr>
        <w:rPr>
          <w:rFonts w:ascii="Times New Roman" w:hAnsi="Times New Roman" w:cs="Times New Roman"/>
          <w:lang w:val="en-US"/>
        </w:rPr>
      </w:pPr>
      <w:r>
        <w:rPr>
          <w:rFonts w:ascii="Times New Roman" w:hAnsi="Times New Roman" w:cs="Times New Roman"/>
          <w:lang w:val="en-US"/>
        </w:rPr>
        <w:t>Figure S</w:t>
      </w:r>
      <w:r w:rsidR="005C6D91">
        <w:rPr>
          <w:rFonts w:ascii="Times New Roman" w:hAnsi="Times New Roman" w:cs="Times New Roman"/>
          <w:lang w:val="en-US"/>
        </w:rPr>
        <w:t>5</w:t>
      </w:r>
      <w:r>
        <w:rPr>
          <w:rFonts w:ascii="Times New Roman" w:hAnsi="Times New Roman" w:cs="Times New Roman"/>
          <w:lang w:val="en-US"/>
        </w:rPr>
        <w:t>. Stations</w:t>
      </w:r>
      <w:r w:rsidR="00950E6B">
        <w:rPr>
          <w:rFonts w:ascii="Times New Roman" w:hAnsi="Times New Roman" w:cs="Times New Roman"/>
          <w:lang w:val="en-US"/>
        </w:rPr>
        <w:t xml:space="preserve"> (blue triangles)</w:t>
      </w:r>
      <w:r>
        <w:rPr>
          <w:rFonts w:ascii="Times New Roman" w:hAnsi="Times New Roman" w:cs="Times New Roman"/>
          <w:lang w:val="en-US"/>
        </w:rPr>
        <w:t xml:space="preserve"> used to refine earthquake depth.</w:t>
      </w:r>
    </w:p>
    <w:p w14:paraId="3DC52438" w14:textId="6059771E" w:rsidR="001D6889" w:rsidRDefault="00EF3EFC" w:rsidP="006D083D">
      <w:pPr>
        <w:rPr>
          <w:rFonts w:ascii="Times New Roman" w:hAnsi="Times New Roman" w:cs="Times New Roman"/>
          <w:lang w:val="en-US"/>
        </w:rPr>
      </w:pPr>
      <w:r>
        <w:rPr>
          <w:noProof/>
        </w:rPr>
        <w:lastRenderedPageBreak/>
        <w:drawing>
          <wp:inline distT="0" distB="0" distL="0" distR="0" wp14:anchorId="63A2FCBC" wp14:editId="10CC5FB7">
            <wp:extent cx="5731510" cy="6765925"/>
            <wp:effectExtent l="0" t="0" r="2540" b="0"/>
            <wp:docPr id="7" name="图片 7"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包含 形状&#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6765925"/>
                    </a:xfrm>
                    <a:prstGeom prst="rect">
                      <a:avLst/>
                    </a:prstGeom>
                    <a:noFill/>
                    <a:ln>
                      <a:noFill/>
                    </a:ln>
                  </pic:spPr>
                </pic:pic>
              </a:graphicData>
            </a:graphic>
          </wp:inline>
        </w:drawing>
      </w:r>
    </w:p>
    <w:p w14:paraId="4482F66B" w14:textId="37E6EFA4" w:rsidR="006D083D" w:rsidRPr="00204CDD" w:rsidRDefault="006D083D" w:rsidP="006D083D">
      <w:pPr>
        <w:rPr>
          <w:rFonts w:ascii="Times New Roman" w:hAnsi="Times New Roman" w:cs="Times New Roman"/>
          <w:lang w:val="en-US"/>
        </w:rPr>
      </w:pPr>
      <w:r>
        <w:rPr>
          <w:rFonts w:ascii="Times New Roman" w:hAnsi="Times New Roman" w:cs="Times New Roman"/>
          <w:lang w:val="en-US"/>
        </w:rPr>
        <w:t>Figure S</w:t>
      </w:r>
      <w:r w:rsidR="005C6D91">
        <w:rPr>
          <w:rFonts w:ascii="Times New Roman" w:hAnsi="Times New Roman" w:cs="Times New Roman"/>
          <w:lang w:val="en-US"/>
        </w:rPr>
        <w:t>6</w:t>
      </w:r>
      <w:r>
        <w:rPr>
          <w:rFonts w:ascii="Times New Roman" w:hAnsi="Times New Roman" w:cs="Times New Roman"/>
          <w:lang w:val="en-US"/>
        </w:rPr>
        <w:t xml:space="preserve">. (a) Stacked waveforms for events having </w:t>
      </w:r>
      <w:r w:rsidR="00B0192C">
        <w:rPr>
          <w:rFonts w:ascii="Times New Roman" w:hAnsi="Times New Roman" w:cs="Times New Roman"/>
          <w:lang w:val="en-US"/>
        </w:rPr>
        <w:t>clear</w:t>
      </w:r>
      <w:r>
        <w:rPr>
          <w:rFonts w:ascii="Times New Roman" w:hAnsi="Times New Roman" w:cs="Times New Roman"/>
          <w:lang w:val="en-US"/>
        </w:rPr>
        <w:t xml:space="preserve"> </w:t>
      </w:r>
      <w:proofErr w:type="spellStart"/>
      <w:r>
        <w:rPr>
          <w:rFonts w:ascii="Times New Roman" w:hAnsi="Times New Roman" w:cs="Times New Roman"/>
          <w:lang w:val="en-US"/>
        </w:rPr>
        <w:t>sP</w:t>
      </w:r>
      <w:proofErr w:type="spellEnd"/>
      <w:r>
        <w:rPr>
          <w:rFonts w:ascii="Times New Roman" w:hAnsi="Times New Roman" w:cs="Times New Roman"/>
          <w:lang w:val="en-US"/>
        </w:rPr>
        <w:t xml:space="preserve"> phase</w:t>
      </w:r>
      <w:r w:rsidR="00B0192C">
        <w:rPr>
          <w:rFonts w:ascii="Times New Roman" w:hAnsi="Times New Roman" w:cs="Times New Roman"/>
          <w:lang w:val="en-US"/>
        </w:rPr>
        <w:t>s (marked by blue triangles)</w:t>
      </w:r>
      <w:r>
        <w:rPr>
          <w:rFonts w:ascii="Times New Roman" w:hAnsi="Times New Roman" w:cs="Times New Roman"/>
          <w:lang w:val="en-US"/>
        </w:rPr>
        <w:t>. (b) Synthetic waveforms for events with varying focal mechanisms</w:t>
      </w:r>
      <w:r w:rsidR="0072022A">
        <w:rPr>
          <w:rFonts w:ascii="Times New Roman" w:hAnsi="Times New Roman" w:cs="Times New Roman"/>
          <w:lang w:val="en-US"/>
        </w:rPr>
        <w:t xml:space="preserve"> (red numbers)</w:t>
      </w:r>
      <w:r>
        <w:rPr>
          <w:rFonts w:ascii="Times New Roman" w:hAnsi="Times New Roman" w:cs="Times New Roman"/>
          <w:lang w:val="en-US"/>
        </w:rPr>
        <w:t xml:space="preserve"> and constant depths</w:t>
      </w:r>
      <w:r w:rsidR="0072022A">
        <w:rPr>
          <w:rFonts w:ascii="Times New Roman" w:hAnsi="Times New Roman" w:cs="Times New Roman"/>
          <w:lang w:val="en-US"/>
        </w:rPr>
        <w:t xml:space="preserve"> (30 km)</w:t>
      </w:r>
      <w:r>
        <w:rPr>
          <w:rFonts w:ascii="Times New Roman" w:hAnsi="Times New Roman" w:cs="Times New Roman"/>
          <w:lang w:val="en-US"/>
        </w:rPr>
        <w:t xml:space="preserve">. In the synthetic waveforms, we clearly see that once there are </w:t>
      </w:r>
      <w:r w:rsidR="003943A9">
        <w:rPr>
          <w:rFonts w:ascii="Times New Roman" w:hAnsi="Times New Roman" w:cs="Times New Roman"/>
          <w:lang w:val="en-US"/>
        </w:rPr>
        <w:t>strong</w:t>
      </w:r>
      <w:r>
        <w:rPr>
          <w:rFonts w:ascii="Times New Roman" w:hAnsi="Times New Roman" w:cs="Times New Roman"/>
          <w:lang w:val="en-US"/>
        </w:rPr>
        <w:t xml:space="preserve"> </w:t>
      </w:r>
      <w:proofErr w:type="spellStart"/>
      <w:r>
        <w:rPr>
          <w:rFonts w:ascii="Times New Roman" w:hAnsi="Times New Roman" w:cs="Times New Roman"/>
          <w:lang w:val="en-US"/>
        </w:rPr>
        <w:t>sP</w:t>
      </w:r>
      <w:proofErr w:type="spellEnd"/>
      <w:r>
        <w:rPr>
          <w:rFonts w:ascii="Times New Roman" w:hAnsi="Times New Roman" w:cs="Times New Roman"/>
          <w:lang w:val="en-US"/>
        </w:rPr>
        <w:t xml:space="preserve"> phases</w:t>
      </w:r>
      <w:r w:rsidR="0072022A">
        <w:rPr>
          <w:rFonts w:ascii="Times New Roman" w:hAnsi="Times New Roman" w:cs="Times New Roman"/>
          <w:lang w:val="en-US"/>
        </w:rPr>
        <w:t xml:space="preserve"> (highlighted by the gray shadow)</w:t>
      </w:r>
      <w:r>
        <w:rPr>
          <w:rFonts w:ascii="Times New Roman" w:hAnsi="Times New Roman" w:cs="Times New Roman"/>
          <w:lang w:val="en-US"/>
        </w:rPr>
        <w:t xml:space="preserve">, the </w:t>
      </w:r>
      <w:proofErr w:type="spellStart"/>
      <w:r>
        <w:rPr>
          <w:rFonts w:ascii="Times New Roman" w:hAnsi="Times New Roman" w:cs="Times New Roman"/>
          <w:lang w:val="en-US"/>
        </w:rPr>
        <w:t>sP</w:t>
      </w:r>
      <w:proofErr w:type="spellEnd"/>
      <w:r>
        <w:rPr>
          <w:rFonts w:ascii="Times New Roman" w:hAnsi="Times New Roman" w:cs="Times New Roman"/>
          <w:lang w:val="en-US"/>
        </w:rPr>
        <w:t xml:space="preserve"> arriving time will not vary with the focal mechanism. </w:t>
      </w:r>
    </w:p>
    <w:p w14:paraId="53AA3A14" w14:textId="77777777" w:rsidR="006D083D" w:rsidRDefault="006D083D">
      <w:pPr>
        <w:rPr>
          <w:rFonts w:ascii="Times New Roman" w:hAnsi="Times New Roman" w:cs="Times New Roman"/>
          <w:lang w:val="en-US"/>
        </w:rPr>
      </w:pPr>
    </w:p>
    <w:p w14:paraId="6AD17249" w14:textId="580A300A" w:rsidR="00C765C9" w:rsidRDefault="00C765C9">
      <w:pPr>
        <w:rPr>
          <w:rFonts w:ascii="Times New Roman" w:hAnsi="Times New Roman" w:cs="Times New Roman"/>
          <w:lang w:val="en-US"/>
        </w:rPr>
      </w:pPr>
    </w:p>
    <w:p w14:paraId="2EF15ECD" w14:textId="4380BDD3" w:rsidR="00F16FC8" w:rsidRPr="0094079A" w:rsidRDefault="00A63615">
      <w:pPr>
        <w:rPr>
          <w:rFonts w:ascii="Times New Roman" w:hAnsi="Times New Roman" w:cs="Times New Roman"/>
          <w:lang w:val="en-US"/>
        </w:rPr>
      </w:pPr>
      <w:r>
        <w:rPr>
          <w:noProof/>
        </w:rPr>
        <w:lastRenderedPageBreak/>
        <w:drawing>
          <wp:inline distT="0" distB="0" distL="0" distR="0" wp14:anchorId="202439D4" wp14:editId="31EA9A1C">
            <wp:extent cx="5731510" cy="205486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054860"/>
                    </a:xfrm>
                    <a:prstGeom prst="rect">
                      <a:avLst/>
                    </a:prstGeom>
                    <a:noFill/>
                    <a:ln>
                      <a:noFill/>
                    </a:ln>
                  </pic:spPr>
                </pic:pic>
              </a:graphicData>
            </a:graphic>
          </wp:inline>
        </w:drawing>
      </w:r>
    </w:p>
    <w:p w14:paraId="020D0CA0" w14:textId="31843DCC" w:rsidR="00414FEE" w:rsidRDefault="00204CDD">
      <w:pPr>
        <w:rPr>
          <w:rFonts w:ascii="Times New Roman" w:hAnsi="Times New Roman" w:cs="Times New Roman"/>
          <w:lang w:val="en-US"/>
        </w:rPr>
      </w:pPr>
      <w:r>
        <w:rPr>
          <w:rFonts w:ascii="Times New Roman" w:hAnsi="Times New Roman" w:cs="Times New Roman"/>
          <w:lang w:val="en-US"/>
        </w:rPr>
        <w:t>Figure S</w:t>
      </w:r>
      <w:r w:rsidR="005C6D91">
        <w:rPr>
          <w:rFonts w:ascii="Times New Roman" w:hAnsi="Times New Roman" w:cs="Times New Roman"/>
          <w:lang w:val="en-US"/>
        </w:rPr>
        <w:t>7</w:t>
      </w:r>
      <w:r>
        <w:rPr>
          <w:rFonts w:ascii="Times New Roman" w:hAnsi="Times New Roman" w:cs="Times New Roman"/>
          <w:lang w:val="en-US"/>
        </w:rPr>
        <w:t>. Comparison between relocation using calibrated and conventional BP. (a) Seismicity (M&gt;6) distribution. The red and blue stars are events used to calibrate the travel-time error</w:t>
      </w:r>
      <w:r w:rsidR="0043443D">
        <w:rPr>
          <w:rFonts w:ascii="Times New Roman" w:hAnsi="Times New Roman" w:cs="Times New Roman"/>
          <w:lang w:val="en-US"/>
        </w:rPr>
        <w:t xml:space="preserve"> with events’ origin time shown</w:t>
      </w:r>
      <w:r>
        <w:rPr>
          <w:rFonts w:ascii="Times New Roman" w:hAnsi="Times New Roman" w:cs="Times New Roman"/>
          <w:lang w:val="en-US"/>
        </w:rPr>
        <w:t xml:space="preserve">. </w:t>
      </w:r>
      <w:r w:rsidR="006E5F83">
        <w:rPr>
          <w:rFonts w:ascii="Times New Roman" w:hAnsi="Times New Roman" w:cs="Times New Roman"/>
          <w:lang w:val="en-US"/>
        </w:rPr>
        <w:t xml:space="preserve">The travel-time error of the red star event is applied to other events to conduct conventional BP. </w:t>
      </w:r>
      <w:r>
        <w:rPr>
          <w:rFonts w:ascii="Times New Roman" w:hAnsi="Times New Roman" w:cs="Times New Roman"/>
          <w:lang w:val="en-US"/>
        </w:rPr>
        <w:t xml:space="preserve"> </w:t>
      </w:r>
      <w:r w:rsidR="006E5F83">
        <w:rPr>
          <w:rFonts w:ascii="Times New Roman" w:hAnsi="Times New Roman" w:cs="Times New Roman"/>
          <w:lang w:val="en-US"/>
        </w:rPr>
        <w:t>(b) Comparison between relocation</w:t>
      </w:r>
      <w:r w:rsidR="009270B5">
        <w:rPr>
          <w:rFonts w:ascii="Times New Roman" w:hAnsi="Times New Roman" w:cs="Times New Roman"/>
          <w:lang w:val="en-US"/>
        </w:rPr>
        <w:t xml:space="preserve"> of events with magnitude &gt; 6</w:t>
      </w:r>
      <w:r w:rsidR="006E5F83">
        <w:rPr>
          <w:rFonts w:ascii="Times New Roman" w:hAnsi="Times New Roman" w:cs="Times New Roman"/>
          <w:lang w:val="en-US"/>
        </w:rPr>
        <w:t xml:space="preserve"> using calibrated (squares) and conventional (diamonds) BP. (c) </w:t>
      </w:r>
      <w:r w:rsidR="00D07B8A">
        <w:rPr>
          <w:rFonts w:ascii="Times New Roman" w:hAnsi="Times New Roman" w:cs="Times New Roman"/>
          <w:lang w:val="en-US"/>
        </w:rPr>
        <w:t>Relocation using calibrated BP of all events</w:t>
      </w:r>
      <w:r w:rsidR="00F33C06">
        <w:rPr>
          <w:rFonts w:ascii="Times New Roman" w:hAnsi="Times New Roman" w:cs="Times New Roman"/>
          <w:lang w:val="en-US"/>
        </w:rPr>
        <w:t xml:space="preserve"> (Mw &gt; 5.5)</w:t>
      </w:r>
      <w:r w:rsidR="00D07B8A">
        <w:rPr>
          <w:rFonts w:ascii="Times New Roman" w:hAnsi="Times New Roman" w:cs="Times New Roman"/>
          <w:lang w:val="en-US"/>
        </w:rPr>
        <w:t xml:space="preserve"> relocated with the surface wave relocation method. </w:t>
      </w:r>
    </w:p>
    <w:p w14:paraId="5B6B6CE1" w14:textId="4DAC138C" w:rsidR="007F0686" w:rsidRDefault="007F0686">
      <w:pPr>
        <w:rPr>
          <w:rFonts w:ascii="Times New Roman" w:hAnsi="Times New Roman" w:cs="Times New Roman"/>
          <w:lang w:val="en-US"/>
        </w:rPr>
      </w:pPr>
      <w:r>
        <w:rPr>
          <w:noProof/>
        </w:rPr>
        <w:drawing>
          <wp:inline distT="0" distB="0" distL="0" distR="0" wp14:anchorId="3DDE6D44" wp14:editId="58364318">
            <wp:extent cx="5731510" cy="5339080"/>
            <wp:effectExtent l="0" t="0" r="2540" b="0"/>
            <wp:docPr id="4"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5339080"/>
                    </a:xfrm>
                    <a:prstGeom prst="rect">
                      <a:avLst/>
                    </a:prstGeom>
                    <a:noFill/>
                    <a:ln>
                      <a:noFill/>
                    </a:ln>
                  </pic:spPr>
                </pic:pic>
              </a:graphicData>
            </a:graphic>
          </wp:inline>
        </w:drawing>
      </w:r>
    </w:p>
    <w:p w14:paraId="2126ACF0" w14:textId="39437F12" w:rsidR="00AD7502" w:rsidRDefault="00E27DEB">
      <w:pPr>
        <w:rPr>
          <w:rFonts w:ascii="Times New Roman" w:hAnsi="Times New Roman" w:cs="Times New Roman"/>
          <w:lang w:val="en-US"/>
        </w:rPr>
      </w:pPr>
      <w:r>
        <w:rPr>
          <w:rFonts w:ascii="Times New Roman" w:hAnsi="Times New Roman" w:cs="Times New Roman"/>
          <w:lang w:val="en-US"/>
        </w:rPr>
        <w:lastRenderedPageBreak/>
        <w:t>Figure S</w:t>
      </w:r>
      <w:r w:rsidR="005C6D91">
        <w:rPr>
          <w:rFonts w:ascii="Times New Roman" w:hAnsi="Times New Roman" w:cs="Times New Roman"/>
          <w:lang w:val="en-US"/>
        </w:rPr>
        <w:t>8</w:t>
      </w:r>
      <w:r>
        <w:rPr>
          <w:rFonts w:ascii="Times New Roman" w:hAnsi="Times New Roman" w:cs="Times New Roman"/>
          <w:lang w:val="en-US"/>
        </w:rPr>
        <w:t xml:space="preserve">. Calibrated BP results for the </w:t>
      </w:r>
      <w:r w:rsidR="00CD55A4">
        <w:rPr>
          <w:rFonts w:ascii="Times New Roman" w:hAnsi="Times New Roman" w:cs="Times New Roman"/>
          <w:lang w:val="en-US"/>
        </w:rPr>
        <w:t xml:space="preserve">202103042312, </w:t>
      </w:r>
      <w:r>
        <w:rPr>
          <w:rFonts w:ascii="Times New Roman" w:hAnsi="Times New Roman" w:cs="Times New Roman"/>
          <w:lang w:val="en-US"/>
        </w:rPr>
        <w:t>202201290246, 202203021252</w:t>
      </w:r>
      <w:r w:rsidR="00475F3F">
        <w:rPr>
          <w:rFonts w:ascii="Times New Roman" w:hAnsi="Times New Roman" w:cs="Times New Roman"/>
          <w:lang w:val="en-US"/>
        </w:rPr>
        <w:t xml:space="preserve"> and </w:t>
      </w:r>
      <w:r>
        <w:rPr>
          <w:rFonts w:ascii="Times New Roman" w:hAnsi="Times New Roman" w:cs="Times New Roman"/>
          <w:lang w:val="en-US"/>
        </w:rPr>
        <w:t>202203201810 events.</w:t>
      </w:r>
    </w:p>
    <w:p w14:paraId="1AD232EE" w14:textId="6CB78536" w:rsidR="00AB218E" w:rsidRDefault="00AB218E">
      <w:pPr>
        <w:rPr>
          <w:rFonts w:ascii="Times New Roman" w:hAnsi="Times New Roman" w:cs="Times New Roman"/>
          <w:lang w:val="en-US"/>
        </w:rPr>
      </w:pPr>
      <w:r w:rsidRPr="00AB218E">
        <w:rPr>
          <w:rFonts w:ascii="Times New Roman" w:hAnsi="Times New Roman" w:cs="Times New Roman"/>
          <w:noProof/>
        </w:rPr>
        <w:drawing>
          <wp:inline distT="0" distB="0" distL="0" distR="0" wp14:anchorId="577E65BF" wp14:editId="2712376A">
            <wp:extent cx="5210810" cy="4894739"/>
            <wp:effectExtent l="0" t="0" r="8890" b="1270"/>
            <wp:docPr id="12" name="内容占位符 11" descr="图示&#10;&#10;描述已自动生成">
              <a:extLst xmlns:a="http://schemas.openxmlformats.org/drawingml/2006/main">
                <a:ext uri="{FF2B5EF4-FFF2-40B4-BE49-F238E27FC236}">
                  <a16:creationId xmlns:a16="http://schemas.microsoft.com/office/drawing/2014/main" id="{C0D78863-74CD-5799-1963-6D3E9F22D9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内容占位符 11" descr="图示&#10;&#10;描述已自动生成">
                      <a:extLst>
                        <a:ext uri="{FF2B5EF4-FFF2-40B4-BE49-F238E27FC236}">
                          <a16:creationId xmlns:a16="http://schemas.microsoft.com/office/drawing/2014/main" id="{C0D78863-74CD-5799-1963-6D3E9F22D9C7}"/>
                        </a:ext>
                      </a:extLst>
                    </pic:cNvPr>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0810" cy="4894739"/>
                    </a:xfrm>
                    <a:prstGeom prst="rect">
                      <a:avLst/>
                    </a:prstGeom>
                  </pic:spPr>
                </pic:pic>
              </a:graphicData>
            </a:graphic>
          </wp:inline>
        </w:drawing>
      </w:r>
    </w:p>
    <w:p w14:paraId="52A6B4B4" w14:textId="7382B722" w:rsidR="00AB218E" w:rsidRDefault="00586BB4">
      <w:pPr>
        <w:rPr>
          <w:rFonts w:ascii="Times New Roman" w:hAnsi="Times New Roman" w:cs="Times New Roman"/>
          <w:lang w:val="en-US"/>
        </w:rPr>
      </w:pPr>
      <w:r>
        <w:rPr>
          <w:rFonts w:ascii="Times New Roman" w:hAnsi="Times New Roman" w:cs="Times New Roman"/>
          <w:lang w:val="en-US"/>
        </w:rPr>
        <w:t>Figure S</w:t>
      </w:r>
      <w:r w:rsidR="005C6D91">
        <w:rPr>
          <w:rFonts w:ascii="Times New Roman" w:hAnsi="Times New Roman" w:cs="Times New Roman"/>
          <w:lang w:val="en-US"/>
        </w:rPr>
        <w:t>9</w:t>
      </w:r>
      <w:r>
        <w:rPr>
          <w:rFonts w:ascii="Times New Roman" w:hAnsi="Times New Roman" w:cs="Times New Roman"/>
          <w:lang w:val="en-US"/>
        </w:rPr>
        <w:t xml:space="preserve">. </w:t>
      </w:r>
      <w:r w:rsidR="00FA677B">
        <w:rPr>
          <w:rFonts w:ascii="Times New Roman" w:hAnsi="Times New Roman" w:cs="Times New Roman"/>
          <w:lang w:val="en-US"/>
        </w:rPr>
        <w:t>Rupture model for the 2006 Mw 8.</w:t>
      </w:r>
      <w:r w:rsidR="00B60C59">
        <w:rPr>
          <w:rFonts w:ascii="Times New Roman" w:hAnsi="Times New Roman" w:cs="Times New Roman"/>
          <w:lang w:val="en-US"/>
        </w:rPr>
        <w:t xml:space="preserve">3 </w:t>
      </w:r>
      <w:r w:rsidR="00F1596C">
        <w:rPr>
          <w:rFonts w:ascii="Times New Roman" w:hAnsi="Times New Roman" w:cs="Times New Roman"/>
          <w:lang w:val="en-US"/>
        </w:rPr>
        <w:t>Kuril Islands</w:t>
      </w:r>
      <w:r w:rsidR="00B60C59">
        <w:rPr>
          <w:rFonts w:ascii="Times New Roman" w:hAnsi="Times New Roman" w:cs="Times New Roman"/>
          <w:lang w:val="en-US"/>
        </w:rPr>
        <w:t xml:space="preserve"> thrust earthquake. The cosei</w:t>
      </w:r>
      <w:r w:rsidR="009D3D3A">
        <w:rPr>
          <w:rFonts w:ascii="Times New Roman" w:hAnsi="Times New Roman" w:cs="Times New Roman"/>
          <w:lang w:val="en-US"/>
        </w:rPr>
        <w:t>s</w:t>
      </w:r>
      <w:r w:rsidR="00B60C59">
        <w:rPr>
          <w:rFonts w:ascii="Times New Roman" w:hAnsi="Times New Roman" w:cs="Times New Roman"/>
          <w:lang w:val="en-US"/>
        </w:rPr>
        <w:t xml:space="preserve">mic model is from </w:t>
      </w:r>
      <w:r w:rsidR="00AB218E">
        <w:rPr>
          <w:rFonts w:ascii="Times New Roman" w:hAnsi="Times New Roman" w:cs="Times New Roman"/>
          <w:lang w:val="en-US"/>
        </w:rPr>
        <w:fldChar w:fldCharType="begin"/>
      </w:r>
      <w:r w:rsidR="000C69D0">
        <w:rPr>
          <w:rFonts w:ascii="Times New Roman" w:hAnsi="Times New Roman" w:cs="Times New Roman"/>
          <w:lang w:val="en-US"/>
        </w:rPr>
        <w:instrText xml:space="preserve"> ADDIN EN.CITE &lt;EndNote&gt;&lt;Cite AuthorYear="1"&gt;&lt;Author&gt;Lay&lt;/Author&gt;&lt;Year&gt;2009&lt;/Year&gt;&lt;RecNum&gt;409&lt;/RecNum&gt;&lt;DisplayText&gt;Lay, et al. &lt;style face="superscript"&gt;1&lt;/style&gt;&lt;/DisplayText&gt;&lt;record&gt;&lt;rec-number&gt;409&lt;/rec-number&gt;&lt;foreign-keys&gt;&lt;key app="EN" db-id="9fzvav5favprf4epwrwxztvu90xztpsxa5ff" timestamp="1668594174"&gt;409&lt;/key&gt;&lt;/foreign-keys&gt;&lt;ref-type name="Journal Article"&gt;17&lt;/ref-type&gt;&lt;contributors&gt;&lt;authors&gt;&lt;author&gt;Lay, Thorne&lt;/author&gt;&lt;author&gt;Kanamori, Hiroo&lt;/author&gt;&lt;author&gt;Ammon, Charles J&lt;/author&gt;&lt;author&gt;Hutko, Alexander R&lt;/author&gt;&lt;author&gt;Furlong, Kevin&lt;/author&gt;&lt;author&gt;Rivera, Luis&lt;/author&gt;&lt;/authors&gt;&lt;/contributors&gt;&lt;titles&gt;&lt;title&gt;The 2006–2007 Kuril Islands great earthquake sequence&lt;/title&gt;&lt;secondary-title&gt;Journal of Geophysical Research: Solid Earth&lt;/secondary-title&gt;&lt;/titles&gt;&lt;periodical&gt;&lt;full-title&gt;Journal of Geophysical Research: Solid Earth&lt;/full-title&gt;&lt;/periodical&gt;&lt;volume&gt;114&lt;/volume&gt;&lt;number&gt;B11&lt;/number&gt;&lt;dates&gt;&lt;year&gt;2009&lt;/year&gt;&lt;/dates&gt;&lt;isbn&gt;0148-0227&lt;/isbn&gt;&lt;urls&gt;&lt;/urls&gt;&lt;/record&gt;&lt;/Cite&gt;&lt;/EndNote&gt;</w:instrText>
      </w:r>
      <w:r w:rsidR="00AB218E">
        <w:rPr>
          <w:rFonts w:ascii="Times New Roman" w:hAnsi="Times New Roman" w:cs="Times New Roman"/>
          <w:lang w:val="en-US"/>
        </w:rPr>
        <w:fldChar w:fldCharType="separate"/>
      </w:r>
      <w:r w:rsidR="000C69D0">
        <w:rPr>
          <w:rFonts w:ascii="Times New Roman" w:hAnsi="Times New Roman" w:cs="Times New Roman"/>
          <w:noProof/>
          <w:lang w:val="en-US"/>
        </w:rPr>
        <w:t xml:space="preserve">Lay, et al. </w:t>
      </w:r>
      <w:r w:rsidR="000C69D0" w:rsidRPr="000C69D0">
        <w:rPr>
          <w:rFonts w:ascii="Times New Roman" w:hAnsi="Times New Roman" w:cs="Times New Roman"/>
          <w:noProof/>
          <w:vertAlign w:val="superscript"/>
          <w:lang w:val="en-US"/>
        </w:rPr>
        <w:t>1</w:t>
      </w:r>
      <w:r w:rsidR="00AB218E">
        <w:rPr>
          <w:rFonts w:ascii="Times New Roman" w:hAnsi="Times New Roman" w:cs="Times New Roman"/>
          <w:lang w:val="en-US"/>
        </w:rPr>
        <w:fldChar w:fldCharType="end"/>
      </w:r>
      <w:r w:rsidR="00AB218E">
        <w:rPr>
          <w:rFonts w:ascii="Times New Roman" w:hAnsi="Times New Roman" w:cs="Times New Roman"/>
          <w:lang w:val="en-US"/>
        </w:rPr>
        <w:t xml:space="preserve">. Residual bathymetry is from </w:t>
      </w:r>
      <w:r w:rsidR="00AB218E">
        <w:rPr>
          <w:rFonts w:ascii="Times New Roman" w:hAnsi="Times New Roman" w:cs="Times New Roman"/>
          <w:lang w:val="en-US"/>
        </w:rPr>
        <w:fldChar w:fldCharType="begin">
          <w:fldData xml:space="preserve">PEVuZE5vdGU+PENpdGUgQXV0aG9yWWVhcj0iMSI+PEF1dGhvcj5CYXNzZXR0PC9BdXRob3I+PFll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</w:fldData>
        </w:fldChar>
      </w:r>
      <w:r w:rsidR="000C69D0">
        <w:rPr>
          <w:rFonts w:ascii="Times New Roman" w:hAnsi="Times New Roman" w:cs="Times New Roman"/>
          <w:lang w:val="en-US"/>
        </w:rPr>
        <w:instrText xml:space="preserve"> ADDIN EN.CITE </w:instrText>
      </w:r>
      <w:r w:rsidR="000C69D0">
        <w:rPr>
          <w:rFonts w:ascii="Times New Roman" w:hAnsi="Times New Roman" w:cs="Times New Roman"/>
          <w:lang w:val="en-US"/>
        </w:rPr>
        <w:fldChar w:fldCharType="begin">
          <w:fldData xml:space="preserve">PEVuZE5vdGU+PENpdGUgQXV0aG9yWWVhcj0iMSI+PEF1dGhvcj5CYXNzZXR0PC9BdXRob3I+PFll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</w:fldData>
        </w:fldChar>
      </w:r>
      <w:r w:rsidR="000C69D0">
        <w:rPr>
          <w:rFonts w:ascii="Times New Roman" w:hAnsi="Times New Roman" w:cs="Times New Roman"/>
          <w:lang w:val="en-US"/>
        </w:rPr>
        <w:instrText xml:space="preserve"> ADDIN EN.CITE.DATA </w:instrText>
      </w:r>
      <w:r w:rsidR="000C69D0">
        <w:rPr>
          <w:rFonts w:ascii="Times New Roman" w:hAnsi="Times New Roman" w:cs="Times New Roman"/>
          <w:lang w:val="en-US"/>
        </w:rPr>
      </w:r>
      <w:r w:rsidR="000C69D0">
        <w:rPr>
          <w:rFonts w:ascii="Times New Roman" w:hAnsi="Times New Roman" w:cs="Times New Roman"/>
          <w:lang w:val="en-US"/>
        </w:rPr>
        <w:fldChar w:fldCharType="end"/>
      </w:r>
      <w:r w:rsidR="00AB218E">
        <w:rPr>
          <w:rFonts w:ascii="Times New Roman" w:hAnsi="Times New Roman" w:cs="Times New Roman"/>
          <w:lang w:val="en-US"/>
        </w:rPr>
        <w:fldChar w:fldCharType="separate"/>
      </w:r>
      <w:r w:rsidR="000C69D0">
        <w:rPr>
          <w:rFonts w:ascii="Times New Roman" w:hAnsi="Times New Roman" w:cs="Times New Roman"/>
          <w:noProof/>
          <w:lang w:val="en-US"/>
        </w:rPr>
        <w:t xml:space="preserve">Bassett and Watts </w:t>
      </w:r>
      <w:r w:rsidR="000C69D0" w:rsidRPr="000C69D0">
        <w:rPr>
          <w:rFonts w:ascii="Times New Roman" w:hAnsi="Times New Roman" w:cs="Times New Roman"/>
          <w:noProof/>
          <w:vertAlign w:val="superscript"/>
          <w:lang w:val="en-US"/>
        </w:rPr>
        <w:t>2</w:t>
      </w:r>
      <w:r w:rsidR="00AB218E">
        <w:rPr>
          <w:rFonts w:ascii="Times New Roman" w:hAnsi="Times New Roman" w:cs="Times New Roman"/>
          <w:lang w:val="en-US"/>
        </w:rPr>
        <w:fldChar w:fldCharType="end"/>
      </w:r>
      <w:r w:rsidR="00AB218E">
        <w:rPr>
          <w:rFonts w:ascii="Times New Roman" w:hAnsi="Times New Roman" w:cs="Times New Roman"/>
          <w:lang w:val="en-US"/>
        </w:rPr>
        <w:t>.</w:t>
      </w:r>
    </w:p>
    <w:p w14:paraId="28A90173" w14:textId="77777777" w:rsidR="00AB218E" w:rsidRDefault="00AB218E">
      <w:pPr>
        <w:rPr>
          <w:rFonts w:ascii="Times New Roman" w:hAnsi="Times New Roman" w:cs="Times New Roman"/>
          <w:lang w:val="en-US"/>
        </w:rPr>
      </w:pPr>
    </w:p>
    <w:p w14:paraId="6DFAF50A" w14:textId="77777777" w:rsidR="000C69D0" w:rsidRPr="000C69D0" w:rsidRDefault="00AB218E" w:rsidP="000C69D0">
      <w:pPr>
        <w:pStyle w:val="EndNoteBibliography"/>
        <w:spacing w:after="0"/>
        <w:ind w:left="720" w:hanging="720"/>
      </w:pPr>
      <w:r>
        <w:rPr>
          <w:rFonts w:ascii="Times New Roman" w:hAnsi="Times New Roman" w:cs="Times New Roman"/>
          <w:lang w:val="en-US"/>
        </w:rPr>
        <w:fldChar w:fldCharType="begin"/>
      </w:r>
      <w:r>
        <w:rPr>
          <w:rFonts w:ascii="Times New Roman" w:hAnsi="Times New Roman" w:cs="Times New Roman"/>
          <w:lang w:val="en-US"/>
        </w:rPr>
        <w:instrText xml:space="preserve"> ADDIN EN.REFLIST </w:instrText>
      </w:r>
      <w:r>
        <w:rPr>
          <w:rFonts w:ascii="Times New Roman" w:hAnsi="Times New Roman" w:cs="Times New Roman"/>
          <w:lang w:val="en-US"/>
        </w:rPr>
        <w:fldChar w:fldCharType="separate"/>
      </w:r>
      <w:r w:rsidR="000C69D0" w:rsidRPr="000C69D0">
        <w:t>1</w:t>
      </w:r>
      <w:r w:rsidR="000C69D0" w:rsidRPr="000C69D0">
        <w:tab/>
        <w:t>Lay, T.</w:t>
      </w:r>
      <w:r w:rsidR="000C69D0" w:rsidRPr="000C69D0">
        <w:rPr>
          <w:i/>
        </w:rPr>
        <w:t xml:space="preserve"> et al.</w:t>
      </w:r>
      <w:r w:rsidR="000C69D0" w:rsidRPr="000C69D0">
        <w:t xml:space="preserve"> The 2006–2007 Kuril Islands great earthquake sequence. </w:t>
      </w:r>
      <w:r w:rsidR="000C69D0" w:rsidRPr="000C69D0">
        <w:rPr>
          <w:i/>
        </w:rPr>
        <w:t>Journal of Geophysical Research: Solid Earth</w:t>
      </w:r>
      <w:r w:rsidR="000C69D0" w:rsidRPr="000C69D0">
        <w:t xml:space="preserve"> </w:t>
      </w:r>
      <w:r w:rsidR="000C69D0" w:rsidRPr="000C69D0">
        <w:rPr>
          <w:b/>
        </w:rPr>
        <w:t>114</w:t>
      </w:r>
      <w:r w:rsidR="000C69D0" w:rsidRPr="000C69D0">
        <w:t xml:space="preserve"> (2009).</w:t>
      </w:r>
    </w:p>
    <w:p w14:paraId="46E624BD" w14:textId="77777777" w:rsidR="000C69D0" w:rsidRPr="000C69D0" w:rsidRDefault="000C69D0" w:rsidP="000C69D0">
      <w:pPr>
        <w:pStyle w:val="EndNoteBibliography"/>
        <w:ind w:left="720" w:hanging="720"/>
      </w:pPr>
      <w:r w:rsidRPr="000C69D0">
        <w:t>2</w:t>
      </w:r>
      <w:r w:rsidRPr="000C69D0">
        <w:tab/>
        <w:t xml:space="preserve">Bassett, D. &amp; Watts, A. B. Gravity anomalies, crustal structure, and seismicity at subduction zones: 1. Seafloor roughness and subducting relief. </w:t>
      </w:r>
      <w:r w:rsidRPr="000C69D0">
        <w:rPr>
          <w:i/>
        </w:rPr>
        <w:t>Geochem Geophy Geosy</w:t>
      </w:r>
      <w:r w:rsidRPr="000C69D0">
        <w:t xml:space="preserve"> </w:t>
      </w:r>
      <w:r w:rsidRPr="000C69D0">
        <w:rPr>
          <w:b/>
        </w:rPr>
        <w:t>16</w:t>
      </w:r>
      <w:r w:rsidRPr="000C69D0">
        <w:t>, 1508-1540, doi:10.1002/2014gc005684 (2015).</w:t>
      </w:r>
    </w:p>
    <w:p w14:paraId="1455DB94" w14:textId="7F53A4CC" w:rsidR="00586BB4" w:rsidRDefault="00AB218E">
      <w:pPr>
        <w:rPr>
          <w:rFonts w:ascii="Times New Roman" w:hAnsi="Times New Roman" w:cs="Times New Roman"/>
          <w:lang w:val="en-US"/>
        </w:rPr>
      </w:pPr>
      <w:r>
        <w:rPr>
          <w:rFonts w:ascii="Times New Roman" w:hAnsi="Times New Roman" w:cs="Times New Roman"/>
          <w:lang w:val="en-US"/>
        </w:rPr>
        <w:fldChar w:fldCharType="end"/>
      </w:r>
    </w:p>
    <w:sectPr w:rsidR="00586BB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62D03" w14:textId="77777777" w:rsidR="00EC6E05" w:rsidRDefault="00EC6E05" w:rsidP="00F33C06">
      <w:pPr>
        <w:spacing w:after="0" w:line="240" w:lineRule="auto"/>
      </w:pPr>
      <w:r>
        <w:separator/>
      </w:r>
    </w:p>
  </w:endnote>
  <w:endnote w:type="continuationSeparator" w:id="0">
    <w:p w14:paraId="4C5A7C8A" w14:textId="77777777" w:rsidR="00EC6E05" w:rsidRDefault="00EC6E05" w:rsidP="00F33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95C9" w14:textId="77777777" w:rsidR="00EC6E05" w:rsidRDefault="00EC6E05" w:rsidP="00F33C06">
      <w:pPr>
        <w:spacing w:after="0" w:line="240" w:lineRule="auto"/>
      </w:pPr>
      <w:r>
        <w:separator/>
      </w:r>
    </w:p>
  </w:footnote>
  <w:footnote w:type="continuationSeparator" w:id="0">
    <w:p w14:paraId="4D04518C" w14:textId="77777777" w:rsidR="00EC6E05" w:rsidRDefault="00EC6E05" w:rsidP="00F33C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oNotDisplayPageBoundarie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zvav5favprf4epwrwxztvu90xztpsxa5ff&quot;&gt;My EndNote Library&lt;record-ids&gt;&lt;item&gt;111&lt;/item&gt;&lt;item&gt;409&lt;/item&gt;&lt;/record-ids&gt;&lt;/item&gt;&lt;/Libraries&gt;"/>
  </w:docVars>
  <w:rsids>
    <w:rsidRoot w:val="00083B9C"/>
    <w:rsid w:val="00026952"/>
    <w:rsid w:val="00031AFC"/>
    <w:rsid w:val="0004041B"/>
    <w:rsid w:val="000665AC"/>
    <w:rsid w:val="00082F46"/>
    <w:rsid w:val="00083B9C"/>
    <w:rsid w:val="000A75F7"/>
    <w:rsid w:val="000C43AA"/>
    <w:rsid w:val="000C69D0"/>
    <w:rsid w:val="000F7905"/>
    <w:rsid w:val="00101157"/>
    <w:rsid w:val="00102731"/>
    <w:rsid w:val="00113C17"/>
    <w:rsid w:val="0017046A"/>
    <w:rsid w:val="00187145"/>
    <w:rsid w:val="001B583E"/>
    <w:rsid w:val="001C6529"/>
    <w:rsid w:val="001D0087"/>
    <w:rsid w:val="001D6889"/>
    <w:rsid w:val="001F2209"/>
    <w:rsid w:val="00203EF0"/>
    <w:rsid w:val="00204CDD"/>
    <w:rsid w:val="002135EF"/>
    <w:rsid w:val="002558C0"/>
    <w:rsid w:val="00265F03"/>
    <w:rsid w:val="002A7F04"/>
    <w:rsid w:val="002B0E68"/>
    <w:rsid w:val="002B47C2"/>
    <w:rsid w:val="002B5422"/>
    <w:rsid w:val="002E3C1F"/>
    <w:rsid w:val="002F2AE8"/>
    <w:rsid w:val="00313789"/>
    <w:rsid w:val="0032435A"/>
    <w:rsid w:val="003943A9"/>
    <w:rsid w:val="003E24A6"/>
    <w:rsid w:val="003E66A1"/>
    <w:rsid w:val="00405ADA"/>
    <w:rsid w:val="00414FEE"/>
    <w:rsid w:val="004322B2"/>
    <w:rsid w:val="0043443D"/>
    <w:rsid w:val="00473CAC"/>
    <w:rsid w:val="00475F3F"/>
    <w:rsid w:val="004D1F97"/>
    <w:rsid w:val="004D3A9C"/>
    <w:rsid w:val="004E2FAE"/>
    <w:rsid w:val="004F15C7"/>
    <w:rsid w:val="0050321F"/>
    <w:rsid w:val="00505C48"/>
    <w:rsid w:val="00552019"/>
    <w:rsid w:val="00586BB4"/>
    <w:rsid w:val="005C6D91"/>
    <w:rsid w:val="005D6BC0"/>
    <w:rsid w:val="005E0CB1"/>
    <w:rsid w:val="00614335"/>
    <w:rsid w:val="00663634"/>
    <w:rsid w:val="00686DF2"/>
    <w:rsid w:val="006D083D"/>
    <w:rsid w:val="006E5F83"/>
    <w:rsid w:val="007138DB"/>
    <w:rsid w:val="0072022A"/>
    <w:rsid w:val="00746A72"/>
    <w:rsid w:val="00783B59"/>
    <w:rsid w:val="007F0686"/>
    <w:rsid w:val="007F749F"/>
    <w:rsid w:val="00847C73"/>
    <w:rsid w:val="00871428"/>
    <w:rsid w:val="00877B4F"/>
    <w:rsid w:val="008A2080"/>
    <w:rsid w:val="008A23E2"/>
    <w:rsid w:val="008B69B2"/>
    <w:rsid w:val="008D4D52"/>
    <w:rsid w:val="00916A24"/>
    <w:rsid w:val="009251EB"/>
    <w:rsid w:val="009270B5"/>
    <w:rsid w:val="00935CBC"/>
    <w:rsid w:val="0094079A"/>
    <w:rsid w:val="00945A04"/>
    <w:rsid w:val="00950E6B"/>
    <w:rsid w:val="00952357"/>
    <w:rsid w:val="00954D8A"/>
    <w:rsid w:val="00961A8D"/>
    <w:rsid w:val="009A6264"/>
    <w:rsid w:val="009D0353"/>
    <w:rsid w:val="009D3D3A"/>
    <w:rsid w:val="009F0859"/>
    <w:rsid w:val="00A21F6B"/>
    <w:rsid w:val="00A4733B"/>
    <w:rsid w:val="00A63615"/>
    <w:rsid w:val="00A801C0"/>
    <w:rsid w:val="00A96C77"/>
    <w:rsid w:val="00AB218E"/>
    <w:rsid w:val="00AD5BCF"/>
    <w:rsid w:val="00AD7502"/>
    <w:rsid w:val="00B0192C"/>
    <w:rsid w:val="00B027F7"/>
    <w:rsid w:val="00B4342A"/>
    <w:rsid w:val="00B60C59"/>
    <w:rsid w:val="00B611CE"/>
    <w:rsid w:val="00B635D4"/>
    <w:rsid w:val="00B82DF5"/>
    <w:rsid w:val="00B85237"/>
    <w:rsid w:val="00B9138F"/>
    <w:rsid w:val="00BA4F7E"/>
    <w:rsid w:val="00BB23D6"/>
    <w:rsid w:val="00BD16C3"/>
    <w:rsid w:val="00C347BE"/>
    <w:rsid w:val="00C357E9"/>
    <w:rsid w:val="00C723C2"/>
    <w:rsid w:val="00C765C9"/>
    <w:rsid w:val="00CB16DD"/>
    <w:rsid w:val="00CB3B3D"/>
    <w:rsid w:val="00CC4147"/>
    <w:rsid w:val="00CD4CC2"/>
    <w:rsid w:val="00CD55A4"/>
    <w:rsid w:val="00CD61E5"/>
    <w:rsid w:val="00CF6A5B"/>
    <w:rsid w:val="00D07B8A"/>
    <w:rsid w:val="00D21DC5"/>
    <w:rsid w:val="00D61094"/>
    <w:rsid w:val="00D62005"/>
    <w:rsid w:val="00D86ACB"/>
    <w:rsid w:val="00D96B4E"/>
    <w:rsid w:val="00DC0DB6"/>
    <w:rsid w:val="00DD7123"/>
    <w:rsid w:val="00DF789F"/>
    <w:rsid w:val="00E27DEB"/>
    <w:rsid w:val="00EC6E05"/>
    <w:rsid w:val="00ED4CBB"/>
    <w:rsid w:val="00EE249C"/>
    <w:rsid w:val="00EE5DF9"/>
    <w:rsid w:val="00EF3EFC"/>
    <w:rsid w:val="00F1596C"/>
    <w:rsid w:val="00F16FC8"/>
    <w:rsid w:val="00F33C06"/>
    <w:rsid w:val="00F41402"/>
    <w:rsid w:val="00F505FF"/>
    <w:rsid w:val="00F930D5"/>
    <w:rsid w:val="00FA677B"/>
    <w:rsid w:val="00FB11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5774C"/>
  <w15:chartTrackingRefBased/>
  <w15:docId w15:val="{3F8D499F-7579-4083-A97B-511D13F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C06"/>
  </w:style>
  <w:style w:type="paragraph" w:styleId="Footer">
    <w:name w:val="footer"/>
    <w:basedOn w:val="Normal"/>
    <w:link w:val="FooterChar"/>
    <w:uiPriority w:val="99"/>
    <w:unhideWhenUsed/>
    <w:rsid w:val="00F33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C06"/>
  </w:style>
  <w:style w:type="paragraph" w:customStyle="1" w:styleId="EndNoteBibliographyTitle">
    <w:name w:val="EndNote Bibliography Title"/>
    <w:basedOn w:val="Normal"/>
    <w:link w:val="EndNoteBibliographyTitle0"/>
    <w:rsid w:val="00AB218E"/>
    <w:pPr>
      <w:spacing w:after="0"/>
      <w:jc w:val="center"/>
    </w:pPr>
    <w:rPr>
      <w:rFonts w:ascii="Calibri" w:hAnsi="Calibri" w:cs="Calibri"/>
      <w:noProof/>
    </w:rPr>
  </w:style>
  <w:style w:type="character" w:customStyle="1" w:styleId="EndNoteBibliographyTitle0">
    <w:name w:val="EndNote Bibliography Title 字符"/>
    <w:basedOn w:val="DefaultParagraphFont"/>
    <w:link w:val="EndNoteBibliographyTitle"/>
    <w:rsid w:val="00AB218E"/>
    <w:rPr>
      <w:rFonts w:ascii="Calibri" w:hAnsi="Calibri" w:cs="Calibri"/>
      <w:noProof/>
    </w:rPr>
  </w:style>
  <w:style w:type="paragraph" w:customStyle="1" w:styleId="EndNoteBibliography">
    <w:name w:val="EndNote Bibliography"/>
    <w:basedOn w:val="Normal"/>
    <w:link w:val="EndNoteBibliography0"/>
    <w:rsid w:val="00AB218E"/>
    <w:pPr>
      <w:spacing w:line="240" w:lineRule="auto"/>
    </w:pPr>
    <w:rPr>
      <w:rFonts w:ascii="Calibri" w:hAnsi="Calibri" w:cs="Calibri"/>
      <w:noProof/>
    </w:rPr>
  </w:style>
  <w:style w:type="character" w:customStyle="1" w:styleId="EndNoteBibliography0">
    <w:name w:val="EndNote Bibliography 字符"/>
    <w:basedOn w:val="DefaultParagraphFont"/>
    <w:link w:val="EndNoteBibliography"/>
    <w:rsid w:val="00AB218E"/>
    <w:rPr>
      <w:rFonts w:ascii="Calibri" w:hAnsi="Calibri" w:cs="Calibri"/>
      <w:noProof/>
    </w:rPr>
  </w:style>
  <w:style w:type="paragraph" w:styleId="Revision">
    <w:name w:val="Revision"/>
    <w:hidden/>
    <w:uiPriority w:val="99"/>
    <w:semiHidden/>
    <w:rsid w:val="005C6D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25613</TotalTime>
  <Pages>7</Pages>
  <Words>648</Words>
  <Characters>3695</Characters>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2022-12-01T07:37:00Z</cp:lastPrinted>
  <dcterms:created xsi:type="dcterms:W3CDTF">2022-07-06T08:46:00Z</dcterms:created>
  <dcterms:modified xsi:type="dcterms:W3CDTF">2023-07-03T03:43:00Z</dcterms:modified>
</cp:coreProperties>
</file>