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numPr>
          <w:ilvl w:val="0"/>
          <w:numId w:val="0"/>
        </w:numPr>
        <w:rPr>
          <w:rFonts w:hint="default" w:ascii="Times New Roman" w:hAnsi="Times New Roman" w:cs="Times New Roman"/>
        </w:rPr>
      </w:pPr>
      <w:r>
        <w:rPr>
          <w:rFonts w:hint="default" w:ascii="Times New Roman" w:hAnsi="Times New Roman" w:cs="Times New Roman"/>
        </w:rPr>
        <w:t>supplementary materials</w:t>
      </w:r>
    </w:p>
    <w:p>
      <w:pPr>
        <w:spacing w:before="156" w:beforeLines="50" w:after="156" w:afterLines="50" w:line="264" w:lineRule="auto"/>
        <w:rPr>
          <w:rFonts w:hint="default" w:ascii="Times New Roman" w:hAnsi="Times New Roman" w:cs="Times New Roman"/>
        </w:rPr>
      </w:pPr>
      <w:r>
        <w:rPr>
          <w:rFonts w:hint="default" w:ascii="Times New Roman" w:hAnsi="Times New Roman" w:cs="Times New Roman"/>
          <w:b/>
          <w:lang w:val="en-US" w:eastAsia="zh-CN"/>
        </w:rPr>
        <w:t xml:space="preserve">Article </w:t>
      </w:r>
      <w:r>
        <w:rPr>
          <w:rFonts w:hint="default" w:ascii="Times New Roman" w:hAnsi="Times New Roman" w:cs="Times New Roman"/>
          <w:b/>
        </w:rPr>
        <w:t>Title:</w:t>
      </w:r>
      <w:r>
        <w:rPr>
          <w:rFonts w:hint="default" w:ascii="Times New Roman" w:hAnsi="Times New Roman" w:cs="Times New Roman"/>
        </w:rPr>
        <w:t xml:space="preserve"> A Ten-year Retrospective Study of Invasive Candidiasis in a Tertiary Hospital</w:t>
      </w:r>
    </w:p>
    <w:p>
      <w:pPr>
        <w:spacing w:before="156" w:beforeLines="50" w:after="156" w:afterLines="50" w:line="264" w:lineRule="auto"/>
        <w:rPr>
          <w:rFonts w:hint="default" w:ascii="Times New Roman" w:hAnsi="Times New Roman" w:cs="Times New Roman"/>
          <w:b w:val="0"/>
          <w:bCs w:val="0"/>
          <w:lang w:val="en-US" w:eastAsia="zh-CN"/>
        </w:rPr>
      </w:pPr>
      <w:r>
        <w:rPr>
          <w:rFonts w:hint="default" w:ascii="Times New Roman" w:hAnsi="Times New Roman" w:cs="Times New Roman"/>
          <w:b/>
          <w:bCs/>
          <w:lang w:val="en-US" w:eastAsia="zh-CN"/>
        </w:rPr>
        <w:t xml:space="preserve">Journal: </w:t>
      </w:r>
      <w:r>
        <w:rPr>
          <w:rFonts w:hint="default" w:ascii="Times New Roman" w:hAnsi="Times New Roman" w:cs="Times New Roman"/>
          <w:b w:val="0"/>
          <w:bCs w:val="0"/>
          <w:i/>
          <w:iCs/>
          <w:lang w:val="en-US" w:eastAsia="zh-CN"/>
        </w:rPr>
        <w:t>Mycopathologia</w:t>
      </w:r>
    </w:p>
    <w:p>
      <w:pPr>
        <w:spacing w:before="156" w:beforeLines="50" w:after="156" w:afterLines="50" w:line="264" w:lineRule="auto"/>
        <w:rPr>
          <w:rFonts w:hint="default" w:ascii="Times New Roman" w:hAnsi="Times New Roman" w:cs="Times New Roman"/>
          <w:b w:val="0"/>
          <w:bCs w:val="0"/>
          <w:lang w:val="en-US" w:eastAsia="zh-CN"/>
        </w:rPr>
      </w:pPr>
    </w:p>
    <w:p>
      <w:pPr>
        <w:spacing w:before="156" w:beforeLines="50" w:after="156" w:afterLines="50" w:line="264" w:lineRule="auto"/>
        <w:rPr>
          <w:rFonts w:hint="default" w:ascii="Times New Roman" w:hAnsi="Times New Roman" w:eastAsia="Times New Roman" w:cs="Times New Roman"/>
        </w:rPr>
      </w:pPr>
      <w:r>
        <w:rPr>
          <w:rFonts w:hint="default" w:ascii="Times New Roman" w:hAnsi="Times New Roman" w:eastAsia="Times New Roman" w:cs="Times New Roman"/>
          <w:b/>
          <w:bCs/>
        </w:rPr>
        <w:t xml:space="preserve">Authors: </w:t>
      </w:r>
      <w:r>
        <w:rPr>
          <w:rFonts w:hint="default" w:ascii="Times New Roman" w:hAnsi="Times New Roman" w:eastAsia="Times New Roman" w:cs="Times New Roman"/>
        </w:rPr>
        <w:t>Zhihui Yang, MD</w:t>
      </w:r>
      <w:r>
        <w:rPr>
          <w:rFonts w:hint="default" w:ascii="Times New Roman" w:hAnsi="Times New Roman" w:eastAsia="Times New Roman" w:cs="Times New Roman"/>
          <w:vertAlign w:val="superscript"/>
        </w:rPr>
        <w:t>1</w:t>
      </w:r>
      <w:r>
        <w:rPr>
          <w:rFonts w:hint="default" w:ascii="Times New Roman" w:hAnsi="Times New Roman" w:eastAsia="Times New Roman" w:cs="Times New Roman"/>
        </w:rPr>
        <w:t>; Yinggai Song, MD</w:t>
      </w:r>
      <w:r>
        <w:rPr>
          <w:rFonts w:hint="default" w:ascii="Times New Roman" w:hAnsi="Times New Roman" w:eastAsia="Times New Roman" w:cs="Times New Roman"/>
          <w:vertAlign w:val="superscript"/>
        </w:rPr>
        <w:t>1</w:t>
      </w:r>
      <w:r>
        <w:rPr>
          <w:rFonts w:hint="default" w:ascii="Times New Roman" w:hAnsi="Times New Roman" w:eastAsia="Times New Roman" w:cs="Times New Roman"/>
        </w:rPr>
        <w:t>; Ruoyu Li, MD</w:t>
      </w:r>
      <w:r>
        <w:rPr>
          <w:rFonts w:hint="default" w:ascii="Times New Roman" w:hAnsi="Times New Roman" w:eastAsia="Times New Roman" w:cs="Times New Roman"/>
          <w:vertAlign w:val="superscript"/>
        </w:rPr>
        <w:t>1</w:t>
      </w:r>
      <w:r>
        <w:rPr>
          <w:rFonts w:hint="default" w:ascii="Times New Roman" w:hAnsi="Times New Roman" w:eastAsia="Times New Roman" w:cs="Times New Roman"/>
          <w:color w:val="333333"/>
        </w:rPr>
        <w:t xml:space="preserve"> </w:t>
      </w:r>
    </w:p>
    <w:p>
      <w:pPr>
        <w:spacing w:before="156" w:beforeLines="50" w:after="156" w:afterLines="50" w:line="264" w:lineRule="auto"/>
        <w:rPr>
          <w:rFonts w:hint="default" w:ascii="Times New Roman" w:hAnsi="Times New Roman" w:eastAsia="Times New Roman" w:cs="Times New Roman"/>
          <w:b/>
          <w:bCs/>
          <w:color w:val="333333"/>
        </w:rPr>
      </w:pPr>
      <w:r>
        <w:rPr>
          <w:rFonts w:hint="default" w:ascii="Times New Roman" w:hAnsi="Times New Roman" w:eastAsia="Times New Roman" w:cs="Times New Roman"/>
          <w:b/>
          <w:bCs/>
          <w:color w:val="333333"/>
        </w:rPr>
        <w:t>Author affiliation:</w:t>
      </w:r>
    </w:p>
    <w:p>
      <w:pPr>
        <w:spacing w:before="156" w:beforeLines="50" w:after="156" w:afterLines="50" w:line="264" w:lineRule="auto"/>
        <w:rPr>
          <w:rFonts w:hint="default" w:ascii="Times New Roman" w:hAnsi="Times New Roman" w:eastAsia="Times New Roman" w:cs="Times New Roman"/>
        </w:rPr>
      </w:pPr>
      <w:r>
        <w:rPr>
          <w:rFonts w:hint="default" w:ascii="Times New Roman" w:hAnsi="Times New Roman" w:eastAsia="Times New Roman" w:cs="Times New Roman"/>
          <w:vertAlign w:val="superscript"/>
        </w:rPr>
        <w:t>1</w:t>
      </w:r>
      <w:r>
        <w:rPr>
          <w:rFonts w:hint="default" w:ascii="Times New Roman" w:hAnsi="Times New Roman" w:eastAsia="Times New Roman" w:cs="Times New Roman"/>
        </w:rPr>
        <w:t>Department of Dermatology and Venerology, Peking University First Hospital, Beijing, China</w:t>
      </w:r>
      <w:r>
        <w:rPr>
          <w:rFonts w:hint="eastAsia" w:ascii="Times New Roman" w:hAnsi="Times New Roman" w:eastAsia="宋体" w:cs="Times New Roman"/>
          <w:lang w:val="en-US" w:eastAsia="zh-CN"/>
        </w:rPr>
        <w:t>;</w:t>
      </w:r>
      <w:r>
        <w:rPr>
          <w:rFonts w:hint="default" w:ascii="Times New Roman" w:hAnsi="Times New Roman" w:eastAsia="Times New Roman" w:cs="Times New Roman"/>
        </w:rPr>
        <w:t xml:space="preserve"> Beijing Key Laboratory of Molecular Diagnosis of Dermatoses, Peking University First Hospital, Beijing, China</w:t>
      </w:r>
      <w:r>
        <w:rPr>
          <w:rFonts w:hint="eastAsia" w:ascii="Times New Roman" w:hAnsi="Times New Roman" w:eastAsia="宋体" w:cs="Times New Roman"/>
          <w:lang w:val="en-US" w:eastAsia="zh-CN"/>
        </w:rPr>
        <w:t>;</w:t>
      </w:r>
      <w:r>
        <w:rPr>
          <w:rFonts w:hint="default" w:ascii="Times New Roman" w:hAnsi="Times New Roman" w:eastAsia="Times New Roman" w:cs="Times New Roman"/>
        </w:rPr>
        <w:t xml:space="preserve"> and National Clinical Research Center for Skin and Immune Diseases, Beijing, China.</w:t>
      </w:r>
    </w:p>
    <w:p>
      <w:pPr>
        <w:spacing w:before="156" w:beforeLines="50" w:after="156" w:afterLines="50" w:line="264" w:lineRule="auto"/>
        <w:rPr>
          <w:rFonts w:hint="default" w:ascii="Times New Roman" w:hAnsi="Times New Roman" w:eastAsia="Times New Roman" w:cs="Times New Roman"/>
          <w:color w:val="333333"/>
        </w:rPr>
      </w:pPr>
      <w:r>
        <w:rPr>
          <w:rFonts w:hint="default" w:ascii="Times New Roman" w:hAnsi="Times New Roman" w:eastAsia="Times New Roman" w:cs="Times New Roman"/>
          <w:color w:val="333333"/>
        </w:rPr>
        <w:t xml:space="preserve"> </w:t>
      </w:r>
    </w:p>
    <w:p>
      <w:pPr>
        <w:spacing w:before="156" w:beforeLines="50" w:after="156" w:afterLines="50" w:line="264" w:lineRule="auto"/>
        <w:rPr>
          <w:rFonts w:hint="default" w:ascii="Times New Roman" w:hAnsi="Times New Roman" w:eastAsia="Times New Roman" w:cs="Times New Roman"/>
          <w:b/>
          <w:bCs/>
          <w:color w:val="333333"/>
        </w:rPr>
      </w:pPr>
      <w:r>
        <w:rPr>
          <w:rFonts w:hint="default" w:ascii="Times New Roman" w:hAnsi="Times New Roman" w:eastAsia="Times New Roman" w:cs="Times New Roman"/>
          <w:b/>
          <w:bCs/>
          <w:color w:val="333333"/>
        </w:rPr>
        <w:t xml:space="preserve">Corresponding author: </w:t>
      </w:r>
    </w:p>
    <w:p>
      <w:pPr>
        <w:spacing w:before="156" w:beforeLines="50" w:after="156" w:afterLines="50" w:line="264" w:lineRule="auto"/>
        <w:rPr>
          <w:rFonts w:hint="default" w:ascii="Times New Roman" w:hAnsi="Times New Roman" w:eastAsia="Times New Roman" w:cs="Times New Roman"/>
          <w:color w:val="333333"/>
        </w:rPr>
      </w:pPr>
      <w:r>
        <w:rPr>
          <w:rFonts w:hint="default" w:ascii="Times New Roman" w:hAnsi="Times New Roman" w:eastAsia="Times New Roman" w:cs="Times New Roman"/>
          <w:color w:val="333333"/>
        </w:rPr>
        <w:t xml:space="preserve">Ruoyu Li, MD., Prof. </w:t>
      </w:r>
    </w:p>
    <w:p>
      <w:pPr>
        <w:spacing w:before="156" w:beforeLines="50" w:after="156" w:afterLines="50" w:line="264" w:lineRule="auto"/>
        <w:rPr>
          <w:rFonts w:hint="default" w:ascii="Times New Roman" w:hAnsi="Times New Roman" w:eastAsia="Times New Roman" w:cs="Times New Roman"/>
          <w:color w:val="333333"/>
        </w:rPr>
      </w:pPr>
      <w:r>
        <w:rPr>
          <w:rFonts w:hint="default" w:ascii="Times New Roman" w:hAnsi="Times New Roman" w:eastAsia="Times New Roman" w:cs="Times New Roman"/>
          <w:color w:val="333333"/>
        </w:rPr>
        <w:t xml:space="preserve">No.1 Xi’anmen Street, Xicheng District  </w:t>
      </w:r>
    </w:p>
    <w:p>
      <w:pPr>
        <w:spacing w:before="156" w:beforeLines="50" w:after="156" w:afterLines="50" w:line="264" w:lineRule="auto"/>
        <w:rPr>
          <w:rFonts w:hint="default" w:ascii="Times New Roman" w:hAnsi="Times New Roman" w:eastAsia="Times New Roman" w:cs="Times New Roman"/>
          <w:color w:val="333333"/>
        </w:rPr>
      </w:pPr>
      <w:r>
        <w:rPr>
          <w:rFonts w:hint="default" w:ascii="Times New Roman" w:hAnsi="Times New Roman" w:eastAsia="Times New Roman" w:cs="Times New Roman"/>
          <w:color w:val="333333"/>
        </w:rPr>
        <w:t xml:space="preserve">Beijing, P. R. China. 100034  </w:t>
      </w:r>
    </w:p>
    <w:p>
      <w:pPr>
        <w:spacing w:before="156" w:beforeLines="50" w:after="156" w:afterLines="50" w:line="264" w:lineRule="auto"/>
        <w:rPr>
          <w:rFonts w:hint="default" w:ascii="Times New Roman" w:hAnsi="Times New Roman" w:eastAsia="Times New Roman" w:cs="Times New Roman"/>
          <w:color w:val="333333"/>
        </w:rPr>
      </w:pPr>
      <w:r>
        <w:rPr>
          <w:rFonts w:hint="default" w:ascii="Times New Roman" w:hAnsi="Times New Roman" w:eastAsia="Times New Roman" w:cs="Times New Roman"/>
          <w:color w:val="333333"/>
        </w:rPr>
        <w:t>Tel: (86)-10-83573075</w:t>
      </w:r>
    </w:p>
    <w:p>
      <w:pPr>
        <w:spacing w:before="156" w:beforeLines="50" w:after="156" w:afterLines="50" w:line="264" w:lineRule="auto"/>
        <w:rPr>
          <w:rFonts w:hint="default" w:ascii="Times New Roman" w:hAnsi="Times New Roman" w:eastAsia="Times New Roman" w:cs="Times New Roman"/>
          <w:color w:val="333333"/>
        </w:rPr>
      </w:pPr>
      <w:r>
        <w:rPr>
          <w:rFonts w:hint="default" w:ascii="Times New Roman" w:hAnsi="Times New Roman" w:eastAsia="Times New Roman" w:cs="Times New Roman"/>
          <w:color w:val="333333"/>
        </w:rPr>
        <w:t>Fax: (86)-10-66155335</w:t>
      </w:r>
    </w:p>
    <w:p>
      <w:pPr>
        <w:spacing w:before="156" w:beforeLines="50" w:after="156" w:afterLines="50" w:line="264" w:lineRule="auto"/>
        <w:rPr>
          <w:rFonts w:hint="default" w:ascii="Times New Roman" w:hAnsi="Times New Roman" w:eastAsia="Times New Roman" w:cs="Times New Roman"/>
          <w:color w:val="333333"/>
        </w:rPr>
      </w:pPr>
      <w:r>
        <w:rPr>
          <w:rFonts w:hint="default" w:ascii="Times New Roman" w:hAnsi="Times New Roman" w:eastAsia="Times New Roman" w:cs="Times New Roman"/>
          <w:color w:val="333333"/>
        </w:rPr>
        <w:t xml:space="preserve">Email: </w:t>
      </w:r>
      <w:r>
        <w:rPr>
          <w:rFonts w:hint="default" w:ascii="Times New Roman" w:hAnsi="Times New Roman" w:cs="Times New Roman"/>
        </w:rPr>
        <w:fldChar w:fldCharType="begin"/>
      </w:r>
      <w:r>
        <w:rPr>
          <w:rFonts w:hint="default" w:ascii="Times New Roman" w:hAnsi="Times New Roman" w:cs="Times New Roman"/>
        </w:rPr>
        <w:instrText xml:space="preserve"> HYPERLINK "mailto:mycolab@126.com" </w:instrText>
      </w:r>
      <w:r>
        <w:rPr>
          <w:rFonts w:hint="default" w:ascii="Times New Roman" w:hAnsi="Times New Roman" w:cs="Times New Roman"/>
        </w:rPr>
        <w:fldChar w:fldCharType="separate"/>
      </w:r>
      <w:r>
        <w:rPr>
          <w:rStyle w:val="53"/>
          <w:rFonts w:hint="default" w:ascii="Times New Roman" w:hAnsi="Times New Roman" w:cs="Times New Roman"/>
        </w:rPr>
        <w:t>mycolab@126.com</w:t>
      </w:r>
      <w:r>
        <w:rPr>
          <w:rStyle w:val="53"/>
          <w:rFonts w:hint="default" w:ascii="Times New Roman" w:hAnsi="Times New Roman" w:cs="Times New Roman"/>
        </w:rPr>
        <w:fldChar w:fldCharType="end"/>
      </w:r>
    </w:p>
    <w:p>
      <w:pPr>
        <w:rPr>
          <w:rFonts w:hint="default" w:ascii="Times New Roman" w:hAnsi="Times New Roman" w:cs="Times New Roman"/>
        </w:rPr>
      </w:pPr>
    </w:p>
    <w:p>
      <w:pPr>
        <w:pStyle w:val="3"/>
        <w:numPr>
          <w:ilvl w:val="1"/>
          <w:numId w:val="0"/>
        </w:numPr>
        <w:rPr>
          <w:rFonts w:hint="default" w:ascii="Times New Roman" w:hAnsi="Times New Roman" w:cs="Times New Roman"/>
        </w:rPr>
      </w:pPr>
      <w:r>
        <w:rPr>
          <w:rFonts w:hint="default" w:ascii="Times New Roman" w:hAnsi="Times New Roman" w:cs="Times New Roman"/>
        </w:rPr>
        <w:t>Supplementary table 1</w:t>
      </w:r>
    </w:p>
    <w:p>
      <w:pPr>
        <w:pStyle w:val="11"/>
        <w:rPr>
          <w:rFonts w:hint="default" w:ascii="Times New Roman" w:hAnsi="Times New Roman" w:cs="Times New Roman"/>
          <w:i w:val="0"/>
          <w:iCs w:val="0"/>
          <w:sz w:val="22"/>
          <w:szCs w:val="22"/>
        </w:rPr>
      </w:pPr>
      <w:r>
        <w:rPr>
          <w:rFonts w:hint="default" w:ascii="Times New Roman" w:hAnsi="Times New Roman" w:cs="Times New Roman"/>
          <w:b/>
          <w:bCs/>
          <w:i w:val="0"/>
          <w:iCs w:val="0"/>
          <w:sz w:val="22"/>
          <w:szCs w:val="22"/>
        </w:rPr>
        <w:t>Supplementary Table 1</w:t>
      </w:r>
      <w:r>
        <w:rPr>
          <w:rFonts w:hint="default" w:ascii="Times New Roman" w:hAnsi="Times New Roman" w:cs="Times New Roman"/>
          <w:i w:val="0"/>
          <w:iCs w:val="0"/>
          <w:sz w:val="22"/>
          <w:szCs w:val="22"/>
        </w:rPr>
        <w:t>.</w:t>
      </w:r>
      <w:r>
        <w:rPr>
          <w:rFonts w:hint="default" w:ascii="Times New Roman" w:hAnsi="Times New Roman" w:eastAsia="KsqycxAdvOTa9103878" w:cs="Times New Roman"/>
          <w:i w:val="0"/>
          <w:iCs w:val="0"/>
          <w:color w:val="231F20"/>
          <w:sz w:val="22"/>
          <w:szCs w:val="22"/>
          <w:lang w:bidi="ar"/>
        </w:rPr>
        <w:t xml:space="preserve"> Common risk factors for neonates to acquire </w:t>
      </w:r>
      <w:r>
        <w:rPr>
          <w:rFonts w:hint="default" w:ascii="Times New Roman" w:hAnsi="Times New Roman" w:eastAsia="宋体" w:cs="Times New Roman"/>
          <w:i w:val="0"/>
          <w:iCs w:val="0"/>
          <w:color w:val="231F20"/>
          <w:sz w:val="22"/>
          <w:szCs w:val="22"/>
          <w:lang w:bidi="ar"/>
        </w:rPr>
        <w:t>c</w:t>
      </w:r>
      <w:r>
        <w:rPr>
          <w:rFonts w:hint="default" w:ascii="Times New Roman" w:hAnsi="Times New Roman" w:eastAsia="KsqycxAdvOTa9103878" w:cs="Times New Roman"/>
          <w:i w:val="0"/>
          <w:iCs w:val="0"/>
          <w:color w:val="231F20"/>
          <w:sz w:val="22"/>
          <w:szCs w:val="22"/>
          <w:lang w:bidi="ar"/>
        </w:rPr>
        <w:t>andidemia.</w:t>
      </w:r>
      <w:r>
        <w:rPr>
          <w:rFonts w:hint="default" w:ascii="Times New Roman" w:hAnsi="Times New Roman" w:cs="Times New Roman"/>
          <w:i w:val="0"/>
          <w:iCs w:val="0"/>
          <w:sz w:val="22"/>
          <w:szCs w:val="22"/>
        </w:rPr>
        <w:t xml:space="preserve"> </w:t>
      </w:r>
    </w:p>
    <w:tbl>
      <w:tblPr>
        <w:tblStyle w:val="20"/>
        <w:tblW w:w="9059" w:type="dxa"/>
        <w:tblInd w:w="0" w:type="dxa"/>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167"/>
        <w:gridCol w:w="4892"/>
      </w:tblGrid>
      <w:tr>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4167" w:type="dxa"/>
            <w:tcBorders>
              <w:top w:val="single" w:color="auto" w:sz="8" w:space="0"/>
              <w:left w:val="nil"/>
              <w:bottom w:val="single" w:color="auto" w:sz="8" w:space="0"/>
              <w:right w:val="nil"/>
            </w:tcBorders>
            <w:shd w:val="clear" w:color="auto" w:fill="F7CAAC" w:themeFill="accent2" w:themeFillTint="66"/>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Risk factors</w:t>
            </w:r>
          </w:p>
        </w:tc>
        <w:tc>
          <w:tcPr>
            <w:tcW w:w="4892" w:type="dxa"/>
            <w:tcBorders>
              <w:top w:val="single" w:color="auto" w:sz="8" w:space="0"/>
              <w:left w:val="nil"/>
              <w:bottom w:val="single" w:color="auto" w:sz="8" w:space="0"/>
              <w:right w:val="nil"/>
            </w:tcBorders>
            <w:shd w:val="clear" w:color="auto" w:fill="F7CAAC" w:themeFill="accent2" w:themeFillTint="66"/>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Neonates (n=9)</w:t>
            </w:r>
          </w:p>
        </w:tc>
      </w:tr>
      <w:tr>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4167"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 xml:space="preserve">Male </w:t>
            </w:r>
          </w:p>
        </w:tc>
        <w:tc>
          <w:tcPr>
            <w:tcW w:w="4892"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6 (66.7)</w:t>
            </w:r>
          </w:p>
        </w:tc>
      </w:tr>
      <w:tr>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4167" w:type="dxa"/>
            <w:tcBorders>
              <w:top w:val="nil"/>
              <w:left w:val="nil"/>
              <w:bottom w:val="nil"/>
              <w:right w:val="nil"/>
            </w:tcBorders>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Age (days)</w:t>
            </w:r>
          </w:p>
        </w:tc>
        <w:tc>
          <w:tcPr>
            <w:tcW w:w="4892" w:type="dxa"/>
            <w:tcBorders>
              <w:top w:val="nil"/>
              <w:left w:val="nil"/>
              <w:bottom w:val="nil"/>
              <w:right w:val="nil"/>
            </w:tcBorders>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14.4±9.6 (range: 0-28)</w:t>
            </w:r>
          </w:p>
        </w:tc>
      </w:tr>
      <w:tr>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4167"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 xml:space="preserve">Premature </w:t>
            </w:r>
          </w:p>
        </w:tc>
        <w:tc>
          <w:tcPr>
            <w:tcW w:w="4892"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8 (88.89)</w:t>
            </w:r>
          </w:p>
        </w:tc>
      </w:tr>
      <w:tr>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4167" w:type="dxa"/>
            <w:tcBorders>
              <w:top w:val="nil"/>
              <w:left w:val="nil"/>
              <w:bottom w:val="nil"/>
              <w:right w:val="nil"/>
            </w:tcBorders>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Perinatal conditions</w:t>
            </w:r>
          </w:p>
        </w:tc>
        <w:tc>
          <w:tcPr>
            <w:tcW w:w="4892" w:type="dxa"/>
            <w:tcBorders>
              <w:top w:val="nil"/>
              <w:left w:val="nil"/>
              <w:bottom w:val="nil"/>
              <w:right w:val="nil"/>
            </w:tcBorders>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p>
        </w:tc>
      </w:tr>
      <w:tr>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4167" w:type="dxa"/>
            <w:tcBorders>
              <w:top w:val="nil"/>
              <w:left w:val="nil"/>
              <w:bottom w:val="nil"/>
              <w:right w:val="nil"/>
            </w:tcBorders>
          </w:tcPr>
          <w:p>
            <w:pPr>
              <w:keepNext w:val="0"/>
              <w:keepLines w:val="0"/>
              <w:widowControl w:val="0"/>
              <w:suppressLineNumbers w:val="0"/>
              <w:spacing w:before="0" w:beforeAutospacing="0" w:afterAutospacing="0"/>
              <w:ind w:left="220" w:leftChars="100" w:right="0"/>
              <w:jc w:val="both"/>
              <w:rPr>
                <w:rFonts w:hint="default" w:ascii="Times New Roman" w:hAnsi="Times New Roman" w:cs="Times New Roman"/>
              </w:rPr>
            </w:pPr>
            <w:r>
              <w:rPr>
                <w:rFonts w:hint="default" w:ascii="Times New Roman" w:hAnsi="Times New Roman" w:cs="Times New Roman"/>
              </w:rPr>
              <w:t>Gestational age (weeks)</w:t>
            </w:r>
          </w:p>
        </w:tc>
        <w:tc>
          <w:tcPr>
            <w:tcW w:w="4892" w:type="dxa"/>
            <w:tcBorders>
              <w:top w:val="nil"/>
              <w:left w:val="nil"/>
              <w:bottom w:val="nil"/>
              <w:right w:val="nil"/>
            </w:tcBorders>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31.5±2.4 (range:29-37)</w:t>
            </w:r>
          </w:p>
        </w:tc>
      </w:tr>
      <w:tr>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4167" w:type="dxa"/>
            <w:tcBorders>
              <w:top w:val="nil"/>
              <w:left w:val="nil"/>
              <w:bottom w:val="nil"/>
              <w:right w:val="nil"/>
            </w:tcBorders>
          </w:tcPr>
          <w:p>
            <w:pPr>
              <w:keepNext w:val="0"/>
              <w:keepLines w:val="0"/>
              <w:widowControl w:val="0"/>
              <w:suppressLineNumbers w:val="0"/>
              <w:spacing w:before="0" w:beforeAutospacing="0" w:afterAutospacing="0"/>
              <w:ind w:left="220" w:leftChars="100" w:right="0"/>
              <w:jc w:val="both"/>
              <w:rPr>
                <w:rFonts w:hint="default" w:ascii="Times New Roman" w:hAnsi="Times New Roman" w:cs="Times New Roman"/>
              </w:rPr>
            </w:pPr>
            <w:r>
              <w:rPr>
                <w:rFonts w:hint="default" w:ascii="Times New Roman" w:hAnsi="Times New Roman" w:cs="Times New Roman"/>
              </w:rPr>
              <w:t>Birth weight (g)</w:t>
            </w:r>
          </w:p>
        </w:tc>
        <w:tc>
          <w:tcPr>
            <w:tcW w:w="4892" w:type="dxa"/>
            <w:tcBorders>
              <w:top w:val="nil"/>
              <w:left w:val="nil"/>
              <w:bottom w:val="nil"/>
              <w:right w:val="nil"/>
            </w:tcBorders>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1528.3±281.9 (range: 1090-1920)</w:t>
            </w:r>
          </w:p>
        </w:tc>
      </w:tr>
      <w:tr>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4167" w:type="dxa"/>
            <w:tcBorders>
              <w:top w:val="nil"/>
              <w:left w:val="nil"/>
              <w:bottom w:val="nil"/>
              <w:right w:val="nil"/>
            </w:tcBorders>
          </w:tcPr>
          <w:p>
            <w:pPr>
              <w:keepNext w:val="0"/>
              <w:keepLines w:val="0"/>
              <w:widowControl w:val="0"/>
              <w:suppressLineNumbers w:val="0"/>
              <w:spacing w:before="0" w:beforeAutospacing="0" w:afterAutospacing="0"/>
              <w:ind w:left="220" w:leftChars="100" w:right="0"/>
              <w:jc w:val="both"/>
              <w:rPr>
                <w:rFonts w:hint="default" w:ascii="Times New Roman" w:hAnsi="Times New Roman" w:cs="Times New Roman"/>
              </w:rPr>
            </w:pPr>
            <w:r>
              <w:rPr>
                <w:rFonts w:hint="default" w:ascii="Times New Roman" w:hAnsi="Times New Roman" w:cs="Times New Roman"/>
              </w:rPr>
              <w:t>Maternal age (years)</w:t>
            </w:r>
          </w:p>
        </w:tc>
        <w:tc>
          <w:tcPr>
            <w:tcW w:w="4892" w:type="dxa"/>
            <w:tcBorders>
              <w:top w:val="nil"/>
              <w:left w:val="nil"/>
              <w:bottom w:val="nil"/>
              <w:right w:val="nil"/>
            </w:tcBorders>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34.7±2.1 (range:32-38)</w:t>
            </w:r>
          </w:p>
        </w:tc>
      </w:tr>
      <w:tr>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4167" w:type="dxa"/>
            <w:tcBorders>
              <w:top w:val="nil"/>
              <w:left w:val="nil"/>
              <w:bottom w:val="nil"/>
              <w:right w:val="nil"/>
            </w:tcBorders>
          </w:tcPr>
          <w:p>
            <w:pPr>
              <w:keepNext w:val="0"/>
              <w:keepLines w:val="0"/>
              <w:widowControl w:val="0"/>
              <w:suppressLineNumbers w:val="0"/>
              <w:spacing w:before="0" w:beforeAutospacing="0" w:afterAutospacing="0"/>
              <w:ind w:left="220" w:leftChars="100" w:right="0"/>
              <w:jc w:val="both"/>
              <w:rPr>
                <w:rFonts w:hint="default" w:ascii="Times New Roman" w:hAnsi="Times New Roman" w:cs="Times New Roman"/>
              </w:rPr>
            </w:pPr>
            <w:r>
              <w:rPr>
                <w:rFonts w:hint="default" w:ascii="Times New Roman" w:hAnsi="Times New Roman" w:cs="Times New Roman"/>
              </w:rPr>
              <w:t>Maternal disease</w:t>
            </w:r>
          </w:p>
        </w:tc>
        <w:tc>
          <w:tcPr>
            <w:tcW w:w="4892" w:type="dxa"/>
            <w:tcBorders>
              <w:top w:val="nil"/>
              <w:left w:val="nil"/>
              <w:bottom w:val="nil"/>
              <w:right w:val="nil"/>
            </w:tcBorders>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p>
        </w:tc>
      </w:tr>
      <w:tr>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4167" w:type="dxa"/>
            <w:tcBorders>
              <w:top w:val="nil"/>
              <w:left w:val="nil"/>
              <w:bottom w:val="nil"/>
              <w:right w:val="nil"/>
            </w:tcBorders>
          </w:tcPr>
          <w:p>
            <w:pPr>
              <w:keepNext w:val="0"/>
              <w:keepLines w:val="0"/>
              <w:widowControl w:val="0"/>
              <w:suppressLineNumbers w:val="0"/>
              <w:spacing w:before="0" w:beforeAutospacing="0" w:afterAutospacing="0"/>
              <w:ind w:left="440" w:leftChars="200" w:right="0"/>
              <w:jc w:val="both"/>
              <w:rPr>
                <w:rFonts w:hint="default" w:ascii="Times New Roman" w:hAnsi="Times New Roman" w:cs="Times New Roman"/>
              </w:rPr>
            </w:pPr>
            <w:r>
              <w:rPr>
                <w:rFonts w:hint="default" w:ascii="Times New Roman" w:hAnsi="Times New Roman" w:cs="Times New Roman"/>
              </w:rPr>
              <w:t>Gestational diabetes mellitus</w:t>
            </w:r>
          </w:p>
        </w:tc>
        <w:tc>
          <w:tcPr>
            <w:tcW w:w="4892" w:type="dxa"/>
            <w:tcBorders>
              <w:top w:val="nil"/>
              <w:left w:val="nil"/>
              <w:bottom w:val="nil"/>
              <w:right w:val="nil"/>
            </w:tcBorders>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1</w:t>
            </w:r>
            <w:bookmarkStart w:id="0" w:name="OLE_LINK2"/>
            <w:r>
              <w:rPr>
                <w:rFonts w:hint="default" w:ascii="Times New Roman" w:hAnsi="Times New Roman" w:cs="Times New Roman"/>
              </w:rPr>
              <w:t xml:space="preserve"> (11.1)</w:t>
            </w:r>
            <w:bookmarkEnd w:id="0"/>
          </w:p>
        </w:tc>
      </w:tr>
      <w:tr>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4167" w:type="dxa"/>
            <w:tcBorders>
              <w:top w:val="nil"/>
              <w:left w:val="nil"/>
              <w:bottom w:val="nil"/>
              <w:right w:val="nil"/>
            </w:tcBorders>
          </w:tcPr>
          <w:p>
            <w:pPr>
              <w:keepNext w:val="0"/>
              <w:keepLines w:val="0"/>
              <w:widowControl w:val="0"/>
              <w:suppressLineNumbers w:val="0"/>
              <w:spacing w:before="0" w:beforeAutospacing="0" w:afterAutospacing="0"/>
              <w:ind w:left="440" w:leftChars="200" w:right="0"/>
              <w:jc w:val="both"/>
              <w:rPr>
                <w:rFonts w:hint="default" w:ascii="Times New Roman" w:hAnsi="Times New Roman" w:cs="Times New Roman"/>
              </w:rPr>
            </w:pPr>
            <w:r>
              <w:rPr>
                <w:rFonts w:hint="default" w:ascii="Times New Roman" w:hAnsi="Times New Roman" w:cs="Times New Roman"/>
              </w:rPr>
              <w:t>Infection</w:t>
            </w:r>
            <w:r>
              <w:rPr>
                <w:rFonts w:hint="eastAsia" w:ascii="Times New Roman" w:hAnsi="Times New Roman" w:cs="Times New Roman"/>
                <w:lang w:val="en-US" w:eastAsia="zh-CN"/>
              </w:rPr>
              <w:t>s</w:t>
            </w:r>
            <w:r>
              <w:rPr>
                <w:rFonts w:hint="default" w:ascii="Times New Roman" w:hAnsi="Times New Roman" w:cs="Times New Roman"/>
              </w:rPr>
              <w:t xml:space="preserve"> </w:t>
            </w:r>
          </w:p>
        </w:tc>
        <w:tc>
          <w:tcPr>
            <w:tcW w:w="4892" w:type="dxa"/>
            <w:tcBorders>
              <w:top w:val="nil"/>
              <w:left w:val="nil"/>
              <w:bottom w:val="nil"/>
              <w:right w:val="nil"/>
            </w:tcBorders>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1 (11.1)</w:t>
            </w:r>
          </w:p>
        </w:tc>
      </w:tr>
      <w:tr>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4167"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220" w:leftChars="100" w:right="0"/>
              <w:jc w:val="both"/>
              <w:rPr>
                <w:rFonts w:hint="default" w:ascii="Times New Roman" w:hAnsi="Times New Roman" w:cs="Times New Roman"/>
              </w:rPr>
            </w:pPr>
            <w:r>
              <w:rPr>
                <w:rFonts w:hint="default" w:ascii="Times New Roman" w:hAnsi="Times New Roman" w:cs="Times New Roman"/>
              </w:rPr>
              <w:t xml:space="preserve">Fetal intrauterine distress </w:t>
            </w:r>
          </w:p>
        </w:tc>
        <w:tc>
          <w:tcPr>
            <w:tcW w:w="4892"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3 (33.3)</w:t>
            </w:r>
          </w:p>
        </w:tc>
      </w:tr>
      <w:tr>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4167" w:type="dxa"/>
            <w:tcBorders>
              <w:top w:val="nil"/>
              <w:left w:val="nil"/>
              <w:bottom w:val="nil"/>
              <w:right w:val="nil"/>
            </w:tcBorders>
          </w:tcPr>
          <w:p>
            <w:pPr>
              <w:keepNext w:val="0"/>
              <w:keepLines w:val="0"/>
              <w:widowControl w:val="0"/>
              <w:suppressLineNumbers w:val="0"/>
              <w:spacing w:before="0" w:beforeAutospacing="0" w:afterAutospacing="0"/>
              <w:ind w:left="220" w:leftChars="100" w:right="0"/>
              <w:jc w:val="both"/>
              <w:rPr>
                <w:rFonts w:hint="default" w:ascii="Times New Roman" w:hAnsi="Times New Roman" w:cs="Times New Roman"/>
              </w:rPr>
            </w:pPr>
            <w:r>
              <w:rPr>
                <w:rFonts w:hint="default" w:ascii="Times New Roman" w:hAnsi="Times New Roman" w:cs="Times New Roman"/>
              </w:rPr>
              <w:t>Premature rapture of fetal membrane</w:t>
            </w:r>
          </w:p>
        </w:tc>
        <w:tc>
          <w:tcPr>
            <w:tcW w:w="4892" w:type="dxa"/>
            <w:tcBorders>
              <w:top w:val="nil"/>
              <w:left w:val="nil"/>
              <w:bottom w:val="nil"/>
              <w:right w:val="nil"/>
            </w:tcBorders>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3 (33.3)</w:t>
            </w:r>
          </w:p>
        </w:tc>
      </w:tr>
      <w:tr>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4167"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Hemoglobin (g/L)</w:t>
            </w:r>
          </w:p>
        </w:tc>
        <w:tc>
          <w:tcPr>
            <w:tcW w:w="4892"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131.1±17.1 (range:107-166)</w:t>
            </w:r>
          </w:p>
        </w:tc>
      </w:tr>
      <w:tr>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4167" w:type="dxa"/>
            <w:tcBorders>
              <w:top w:val="nil"/>
              <w:left w:val="nil"/>
              <w:bottom w:val="nil"/>
              <w:right w:val="nil"/>
            </w:tcBorders>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Albumin (g/L)</w:t>
            </w:r>
          </w:p>
        </w:tc>
        <w:tc>
          <w:tcPr>
            <w:tcW w:w="4892" w:type="dxa"/>
            <w:tcBorders>
              <w:top w:val="nil"/>
              <w:left w:val="nil"/>
              <w:bottom w:val="nil"/>
              <w:right w:val="nil"/>
            </w:tcBorders>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29.0±4.8 (range:21-37)</w:t>
            </w:r>
          </w:p>
        </w:tc>
      </w:tr>
      <w:tr>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4167"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Neonatal respiratory distress syndrome</w:t>
            </w:r>
          </w:p>
        </w:tc>
        <w:tc>
          <w:tcPr>
            <w:tcW w:w="4892"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3 (33.3)</w:t>
            </w:r>
          </w:p>
        </w:tc>
      </w:tr>
      <w:tr>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4167" w:type="dxa"/>
            <w:tcBorders>
              <w:top w:val="nil"/>
              <w:left w:val="nil"/>
              <w:bottom w:val="nil"/>
              <w:right w:val="nil"/>
            </w:tcBorders>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 xml:space="preserve">Hydrocephaly </w:t>
            </w:r>
          </w:p>
        </w:tc>
        <w:tc>
          <w:tcPr>
            <w:tcW w:w="4892" w:type="dxa"/>
            <w:tcBorders>
              <w:top w:val="nil"/>
              <w:left w:val="nil"/>
              <w:bottom w:val="nil"/>
              <w:right w:val="nil"/>
            </w:tcBorders>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1 (11.1)</w:t>
            </w:r>
          </w:p>
        </w:tc>
      </w:tr>
      <w:tr>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4167"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Iatrogenic factors</w:t>
            </w:r>
          </w:p>
        </w:tc>
        <w:tc>
          <w:tcPr>
            <w:tcW w:w="4892"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p>
        </w:tc>
      </w:tr>
      <w:tr>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4167"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220" w:leftChars="100" w:right="0"/>
              <w:jc w:val="both"/>
              <w:rPr>
                <w:rFonts w:hint="default" w:ascii="Times New Roman" w:hAnsi="Times New Roman" w:cs="Times New Roman"/>
              </w:rPr>
            </w:pPr>
            <w:r>
              <w:rPr>
                <w:rFonts w:hint="default" w:ascii="Times New Roman" w:hAnsi="Times New Roman" w:cs="Times New Roman"/>
              </w:rPr>
              <w:t>Corticosteroids/ immunosuppressant</w:t>
            </w:r>
          </w:p>
        </w:tc>
        <w:tc>
          <w:tcPr>
            <w:tcW w:w="4892"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0</w:t>
            </w:r>
          </w:p>
        </w:tc>
      </w:tr>
      <w:tr>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4167"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220" w:leftChars="100" w:right="0"/>
              <w:jc w:val="both"/>
              <w:rPr>
                <w:rFonts w:hint="default" w:ascii="Times New Roman" w:hAnsi="Times New Roman" w:cs="Times New Roman"/>
              </w:rPr>
            </w:pPr>
            <w:r>
              <w:rPr>
                <w:rFonts w:hint="default" w:ascii="Times New Roman" w:hAnsi="Times New Roman" w:cs="Times New Roman"/>
              </w:rPr>
              <w:t>Use of CVC</w:t>
            </w:r>
          </w:p>
        </w:tc>
        <w:tc>
          <w:tcPr>
            <w:tcW w:w="4892"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9 (100.0)</w:t>
            </w:r>
          </w:p>
        </w:tc>
      </w:tr>
      <w:tr>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4167"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220" w:leftChars="100" w:right="0"/>
              <w:jc w:val="both"/>
              <w:rPr>
                <w:rFonts w:hint="default" w:ascii="Times New Roman" w:hAnsi="Times New Roman" w:cs="Times New Roman"/>
              </w:rPr>
            </w:pPr>
            <w:r>
              <w:rPr>
                <w:rFonts w:hint="default" w:ascii="Times New Roman" w:hAnsi="Times New Roman" w:cs="Times New Roman"/>
              </w:rPr>
              <w:t>Mechanical ventilation</w:t>
            </w:r>
          </w:p>
        </w:tc>
        <w:tc>
          <w:tcPr>
            <w:tcW w:w="4892"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8 (88.9)</w:t>
            </w:r>
          </w:p>
        </w:tc>
      </w:tr>
      <w:tr>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4167" w:type="dxa"/>
            <w:tcBorders>
              <w:top w:val="nil"/>
              <w:left w:val="nil"/>
              <w:bottom w:val="nil"/>
              <w:right w:val="nil"/>
            </w:tcBorders>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Candida Score</w:t>
            </w:r>
          </w:p>
        </w:tc>
        <w:tc>
          <w:tcPr>
            <w:tcW w:w="4892" w:type="dxa"/>
            <w:tcBorders>
              <w:top w:val="nil"/>
              <w:left w:val="nil"/>
              <w:bottom w:val="nil"/>
              <w:right w:val="nil"/>
            </w:tcBorders>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1.2±1.2</w:t>
            </w:r>
          </w:p>
        </w:tc>
      </w:tr>
      <w:tr>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4167" w:type="dxa"/>
            <w:tcBorders>
              <w:top w:val="nil"/>
              <w:left w:val="nil"/>
              <w:bottom w:val="nil"/>
              <w:right w:val="nil"/>
            </w:tcBorders>
          </w:tcPr>
          <w:p>
            <w:pPr>
              <w:keepNext w:val="0"/>
              <w:keepLines w:val="0"/>
              <w:widowControl w:val="0"/>
              <w:suppressLineNumbers w:val="0"/>
              <w:spacing w:before="0" w:beforeAutospacing="0" w:afterAutospacing="0"/>
              <w:ind w:left="220" w:leftChars="100" w:right="0"/>
              <w:jc w:val="both"/>
              <w:rPr>
                <w:rFonts w:hint="default" w:ascii="Times New Roman" w:hAnsi="Times New Roman" w:cs="Times New Roman"/>
              </w:rPr>
            </w:pPr>
            <w:r>
              <w:rPr>
                <w:rFonts w:hint="default" w:ascii="Times New Roman" w:hAnsi="Times New Roman" w:cs="Times New Roman"/>
              </w:rPr>
              <w:t xml:space="preserve">Sepsis </w:t>
            </w:r>
          </w:p>
        </w:tc>
        <w:tc>
          <w:tcPr>
            <w:tcW w:w="4892" w:type="dxa"/>
            <w:tcBorders>
              <w:top w:val="nil"/>
              <w:left w:val="nil"/>
              <w:bottom w:val="nil"/>
              <w:right w:val="nil"/>
            </w:tcBorders>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2 (22.2)</w:t>
            </w:r>
          </w:p>
        </w:tc>
      </w:tr>
      <w:tr>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4167" w:type="dxa"/>
            <w:tcBorders>
              <w:top w:val="nil"/>
              <w:left w:val="nil"/>
              <w:bottom w:val="nil"/>
              <w:right w:val="nil"/>
            </w:tcBorders>
          </w:tcPr>
          <w:p>
            <w:pPr>
              <w:keepNext w:val="0"/>
              <w:keepLines w:val="0"/>
              <w:widowControl w:val="0"/>
              <w:suppressLineNumbers w:val="0"/>
              <w:spacing w:before="0" w:beforeAutospacing="0" w:afterAutospacing="0"/>
              <w:ind w:left="220" w:leftChars="100" w:right="0"/>
              <w:jc w:val="both"/>
              <w:rPr>
                <w:rFonts w:hint="default" w:ascii="Times New Roman" w:hAnsi="Times New Roman" w:cs="Times New Roman"/>
              </w:rPr>
            </w:pPr>
            <w:r>
              <w:rPr>
                <w:rFonts w:hint="default" w:ascii="Times New Roman" w:hAnsi="Times New Roman" w:cs="Times New Roman"/>
              </w:rPr>
              <w:t xml:space="preserve">Surgery </w:t>
            </w:r>
          </w:p>
        </w:tc>
        <w:tc>
          <w:tcPr>
            <w:tcW w:w="4892" w:type="dxa"/>
            <w:tcBorders>
              <w:top w:val="nil"/>
              <w:left w:val="nil"/>
              <w:bottom w:val="nil"/>
              <w:right w:val="nil"/>
            </w:tcBorders>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1 (11.1)</w:t>
            </w:r>
          </w:p>
        </w:tc>
      </w:tr>
      <w:tr>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4167" w:type="dxa"/>
            <w:tcBorders>
              <w:top w:val="nil"/>
              <w:left w:val="nil"/>
              <w:bottom w:val="nil"/>
              <w:right w:val="nil"/>
            </w:tcBorders>
          </w:tcPr>
          <w:p>
            <w:pPr>
              <w:keepNext w:val="0"/>
              <w:keepLines w:val="0"/>
              <w:widowControl w:val="0"/>
              <w:suppressLineNumbers w:val="0"/>
              <w:spacing w:before="0" w:beforeAutospacing="0" w:afterAutospacing="0"/>
              <w:ind w:left="220" w:leftChars="100" w:right="0"/>
              <w:jc w:val="both"/>
              <w:rPr>
                <w:rFonts w:hint="default" w:ascii="Times New Roman" w:hAnsi="Times New Roman" w:cs="Times New Roman"/>
              </w:rPr>
            </w:pPr>
            <w:r>
              <w:rPr>
                <w:rFonts w:hint="default" w:ascii="Times New Roman" w:hAnsi="Times New Roman" w:cs="Times New Roman"/>
              </w:rPr>
              <w:t>TPN</w:t>
            </w:r>
          </w:p>
        </w:tc>
        <w:tc>
          <w:tcPr>
            <w:tcW w:w="4892" w:type="dxa"/>
            <w:tcBorders>
              <w:top w:val="nil"/>
              <w:left w:val="nil"/>
              <w:bottom w:val="nil"/>
              <w:right w:val="nil"/>
            </w:tcBorders>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6 (66.7)</w:t>
            </w:r>
          </w:p>
        </w:tc>
      </w:tr>
      <w:tr>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4167" w:type="dxa"/>
            <w:tcBorders>
              <w:top w:val="nil"/>
              <w:left w:val="nil"/>
              <w:bottom w:val="single" w:color="auto" w:sz="8" w:space="0"/>
              <w:right w:val="nil"/>
            </w:tcBorders>
          </w:tcPr>
          <w:p>
            <w:pPr>
              <w:keepNext w:val="0"/>
              <w:keepLines w:val="0"/>
              <w:widowControl w:val="0"/>
              <w:suppressLineNumbers w:val="0"/>
              <w:spacing w:before="0" w:beforeAutospacing="0" w:afterAutospacing="0"/>
              <w:ind w:left="220" w:leftChars="100" w:right="0"/>
              <w:jc w:val="both"/>
              <w:rPr>
                <w:rFonts w:hint="default" w:ascii="Times New Roman" w:hAnsi="Times New Roman" w:cs="Times New Roman"/>
              </w:rPr>
            </w:pPr>
            <w:r>
              <w:rPr>
                <w:rFonts w:hint="default" w:ascii="Times New Roman" w:hAnsi="Times New Roman" w:cs="Times New Roman"/>
              </w:rPr>
              <w:t>Multi-focal colonization</w:t>
            </w:r>
          </w:p>
        </w:tc>
        <w:tc>
          <w:tcPr>
            <w:tcW w:w="4892" w:type="dxa"/>
            <w:tcBorders>
              <w:top w:val="nil"/>
              <w:left w:val="nil"/>
              <w:bottom w:val="single" w:color="auto" w:sz="8" w:space="0"/>
              <w:right w:val="nil"/>
            </w:tcBorders>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0</w:t>
            </w:r>
          </w:p>
        </w:tc>
      </w:tr>
      <w:tr>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9059" w:type="dxa"/>
            <w:gridSpan w:val="2"/>
            <w:tcBorders>
              <w:top w:val="single" w:color="auto" w:sz="8" w:space="0"/>
              <w:left w:val="nil"/>
              <w:bottom w:val="nil"/>
              <w:right w:val="nil"/>
            </w:tcBorders>
          </w:tcPr>
          <w:p>
            <w:pPr>
              <w:keepNext w:val="0"/>
              <w:keepLines w:val="0"/>
              <w:widowControl w:val="0"/>
              <w:suppressLineNumbers w:val="0"/>
              <w:spacing w:before="0" w:beforeAutospacing="0" w:afterAutospacing="0"/>
              <w:ind w:left="0" w:right="0"/>
              <w:jc w:val="both"/>
              <w:rPr>
                <w:rFonts w:hint="default" w:ascii="Times New Roman" w:hAnsi="Times New Roman" w:eastAsia="KsqycxAdvOTa9103878" w:cs="Times New Roman"/>
                <w:color w:val="231F20"/>
                <w:lang w:bidi="ar"/>
              </w:rPr>
            </w:pPr>
            <w:r>
              <w:rPr>
                <w:rFonts w:hint="default" w:ascii="Times New Roman" w:hAnsi="Times New Roman" w:cs="Times New Roman"/>
              </w:rPr>
              <w:t>Normally distributed variables are presented with mean±standard deviation while categorical variables are presented with the patient number (percentage</w:t>
            </w:r>
            <w:r>
              <w:rPr>
                <w:rFonts w:hint="default" w:ascii="Times New Roman" w:hAnsi="Times New Roman" w:cs="Times New Roman"/>
                <w:lang w:val="en-US" w:eastAsia="zh-CN"/>
              </w:rPr>
              <w:t>, %</w:t>
            </w:r>
            <w:r>
              <w:rPr>
                <w:rFonts w:hint="default" w:ascii="Times New Roman" w:hAnsi="Times New Roman" w:cs="Times New Roman"/>
              </w:rPr>
              <w:t>).</w:t>
            </w:r>
            <w:r>
              <w:rPr>
                <w:rFonts w:hint="default" w:ascii="Times New Roman" w:hAnsi="Times New Roman" w:eastAsia="KsqycxAdvOTa9103878" w:cs="Times New Roman"/>
                <w:color w:val="231F20"/>
                <w:lang w:bidi="ar"/>
              </w:rPr>
              <w:t xml:space="preserve"> </w:t>
            </w:r>
          </w:p>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eastAsia="宋体" w:cs="Times New Roman"/>
                <w:color w:val="231F20"/>
                <w:lang w:bidi="ar"/>
              </w:rPr>
              <w:t xml:space="preserve">Abbreviations: </w:t>
            </w:r>
            <w:r>
              <w:rPr>
                <w:rFonts w:hint="default" w:ascii="Times New Roman" w:hAnsi="Times New Roman" w:eastAsia="KsqycxAdvOTa9103878" w:cs="Times New Roman"/>
                <w:color w:val="231F20"/>
                <w:lang w:bidi="ar"/>
              </w:rPr>
              <w:t xml:space="preserve">CVC: </w:t>
            </w:r>
            <w:r>
              <w:rPr>
                <w:rFonts w:hint="default" w:ascii="Times New Roman" w:hAnsi="Times New Roman" w:eastAsia="宋体" w:cs="Times New Roman"/>
                <w:color w:val="231F20"/>
                <w:lang w:bidi="ar"/>
              </w:rPr>
              <w:t>C</w:t>
            </w:r>
            <w:r>
              <w:rPr>
                <w:rFonts w:hint="default" w:ascii="Times New Roman" w:hAnsi="Times New Roman" w:eastAsia="MinionPro-Regular" w:cs="Times New Roman"/>
                <w:color w:val="231F20"/>
                <w:lang w:bidi="ar"/>
              </w:rPr>
              <w:t xml:space="preserve">entral venous catheter; TPN: </w:t>
            </w:r>
            <w:r>
              <w:rPr>
                <w:rFonts w:hint="default" w:ascii="Times New Roman" w:hAnsi="Times New Roman" w:eastAsia="宋体" w:cs="Times New Roman"/>
                <w:color w:val="231F20"/>
                <w:lang w:bidi="ar"/>
              </w:rPr>
              <w:t>T</w:t>
            </w:r>
            <w:r>
              <w:rPr>
                <w:rFonts w:hint="default" w:ascii="Times New Roman" w:hAnsi="Times New Roman" w:eastAsia="MinionPro-Regular" w:cs="Times New Roman"/>
                <w:color w:val="231F20"/>
                <w:lang w:bidi="ar"/>
              </w:rPr>
              <w:t>otal parenteral nutrition.</w:t>
            </w:r>
          </w:p>
        </w:tc>
      </w:tr>
    </w:tbl>
    <w:p>
      <w:pPr>
        <w:rPr>
          <w:rFonts w:hint="default" w:ascii="Times New Roman" w:hAnsi="Times New Roman" w:cs="Times New Roman"/>
        </w:rPr>
      </w:pPr>
    </w:p>
    <w:p>
      <w:pPr>
        <w:pStyle w:val="3"/>
        <w:numPr>
          <w:ilvl w:val="1"/>
          <w:numId w:val="0"/>
        </w:numPr>
        <w:rPr>
          <w:rFonts w:hint="default" w:ascii="Times New Roman" w:hAnsi="Times New Roman" w:cs="Times New Roman" w:eastAsiaTheme="majorEastAsia"/>
          <w:lang w:val="en-US" w:eastAsia="zh-CN"/>
        </w:rPr>
      </w:pPr>
      <w:r>
        <w:rPr>
          <w:rFonts w:hint="default" w:ascii="Times New Roman" w:hAnsi="Times New Roman" w:cs="Times New Roman"/>
        </w:rPr>
        <w:t xml:space="preserve">Supplementary table </w:t>
      </w:r>
      <w:r>
        <w:rPr>
          <w:rFonts w:hint="default" w:ascii="Times New Roman" w:hAnsi="Times New Roman" w:cs="Times New Roman"/>
          <w:lang w:val="en-US" w:eastAsia="zh-CN"/>
        </w:rPr>
        <w:t>2</w:t>
      </w:r>
    </w:p>
    <w:p>
      <w:pPr>
        <w:rPr>
          <w:rFonts w:hint="default" w:ascii="Times New Roman" w:hAnsi="Times New Roman" w:cs="Times New Roman"/>
        </w:rPr>
      </w:pPr>
      <w:r>
        <w:rPr>
          <w:rFonts w:hint="default" w:ascii="Times New Roman" w:hAnsi="Times New Roman" w:cs="Times New Roman"/>
          <w:b/>
          <w:bCs/>
        </w:rPr>
        <w:t xml:space="preserve">Supplementary Table </w:t>
      </w:r>
      <w:r>
        <w:rPr>
          <w:rFonts w:hint="default" w:ascii="Times New Roman" w:hAnsi="Times New Roman" w:cs="Times New Roman"/>
          <w:b/>
          <w:bCs/>
          <w:lang w:val="en-US" w:eastAsia="zh-CN"/>
        </w:rPr>
        <w:t>2</w:t>
      </w:r>
      <w:r>
        <w:rPr>
          <w:rFonts w:hint="default" w:ascii="Times New Roman" w:hAnsi="Times New Roman" w:cs="Times New Roman"/>
        </w:rPr>
        <w:t xml:space="preserve">. The unsterile sites detected with </w:t>
      </w:r>
      <w:r>
        <w:rPr>
          <w:rFonts w:hint="default" w:ascii="Times New Roman" w:hAnsi="Times New Roman" w:cs="Times New Roman"/>
          <w:i/>
        </w:rPr>
        <w:t>Candida</w:t>
      </w:r>
      <w:r>
        <w:rPr>
          <w:rFonts w:hint="default" w:ascii="Times New Roman" w:hAnsi="Times New Roman" w:cs="Times New Roman"/>
        </w:rPr>
        <w:t xml:space="preserve"> colonization. </w:t>
      </w:r>
    </w:p>
    <w:tbl>
      <w:tblPr>
        <w:tblStyle w:val="20"/>
        <w:tblW w:w="0" w:type="auto"/>
        <w:tblInd w:w="0" w:type="dxa"/>
        <w:tblBorders>
          <w:top w:val="single" w:color="auto" w:sz="8"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052"/>
        <w:gridCol w:w="3470"/>
      </w:tblGrid>
      <w:tr>
        <w:tblPrEx>
          <w:tblBorders>
            <w:top w:val="single" w:color="auto" w:sz="8" w:space="0"/>
            <w:left w:val="none" w:color="auto" w:sz="0" w:space="0"/>
            <w:bottom w:val="none" w:color="auto" w:sz="0" w:space="0"/>
            <w:right w:val="none" w:color="auto" w:sz="0" w:space="0"/>
            <w:insideH w:val="none" w:color="auto" w:sz="0" w:space="0"/>
            <w:insideV w:val="none" w:color="auto" w:sz="0" w:space="0"/>
          </w:tblBorders>
        </w:tblPrEx>
        <w:tc>
          <w:tcPr>
            <w:tcW w:w="5052" w:type="dxa"/>
            <w:tcBorders>
              <w:top w:val="single" w:color="auto" w:sz="8" w:space="0"/>
              <w:left w:val="nil"/>
              <w:bottom w:val="single" w:color="auto" w:sz="8" w:space="0"/>
              <w:right w:val="nil"/>
            </w:tcBorders>
            <w:shd w:val="clear" w:color="auto" w:fill="F7CAAC" w:themeFill="accent2" w:themeFillTint="66"/>
          </w:tcPr>
          <w:p>
            <w:pPr>
              <w:keepNext w:val="0"/>
              <w:keepLines w:val="0"/>
              <w:widowControl/>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Colonization sites</w:t>
            </w:r>
          </w:p>
        </w:tc>
        <w:tc>
          <w:tcPr>
            <w:tcW w:w="3470" w:type="dxa"/>
            <w:tcBorders>
              <w:top w:val="single" w:color="auto" w:sz="8" w:space="0"/>
              <w:left w:val="nil"/>
              <w:bottom w:val="single" w:color="auto" w:sz="8" w:space="0"/>
              <w:right w:val="nil"/>
            </w:tcBorders>
            <w:shd w:val="clear" w:color="auto" w:fill="F7CAAC" w:themeFill="accent2" w:themeFillTint="66"/>
          </w:tcPr>
          <w:p>
            <w:pPr>
              <w:keepNext w:val="0"/>
              <w:keepLines w:val="0"/>
              <w:widowControl/>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 xml:space="preserve">Frequency </w:t>
            </w:r>
          </w:p>
        </w:tc>
      </w:tr>
      <w:tr>
        <w:tblPrEx>
          <w:tblBorders>
            <w:top w:val="single" w:color="auto" w:sz="8"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052" w:type="dxa"/>
            <w:tcBorders>
              <w:top w:val="single" w:color="auto" w:sz="8" w:space="0"/>
              <w:left w:val="nil"/>
              <w:bottom w:val="nil"/>
              <w:right w:val="nil"/>
            </w:tcBorders>
            <w:shd w:val="clear" w:color="auto" w:fill="FDEADA"/>
          </w:tcPr>
          <w:p>
            <w:pPr>
              <w:keepNext w:val="0"/>
              <w:keepLines w:val="0"/>
              <w:widowControl/>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Sputum/ BALF/ tracheal secretions</w:t>
            </w:r>
          </w:p>
        </w:tc>
        <w:tc>
          <w:tcPr>
            <w:tcW w:w="3470" w:type="dxa"/>
            <w:tcBorders>
              <w:top w:val="single" w:color="auto" w:sz="8" w:space="0"/>
              <w:left w:val="nil"/>
              <w:bottom w:val="nil"/>
              <w:right w:val="nil"/>
            </w:tcBorders>
            <w:shd w:val="clear" w:color="auto" w:fill="FDEADA"/>
          </w:tcPr>
          <w:p>
            <w:pPr>
              <w:keepNext w:val="0"/>
              <w:keepLines w:val="0"/>
              <w:widowControl/>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28</w:t>
            </w:r>
          </w:p>
        </w:tc>
      </w:tr>
      <w:tr>
        <w:tblPrEx>
          <w:tblBorders>
            <w:top w:val="single" w:color="auto" w:sz="8"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052" w:type="dxa"/>
            <w:tcBorders>
              <w:top w:val="nil"/>
              <w:left w:val="nil"/>
              <w:bottom w:val="nil"/>
              <w:right w:val="nil"/>
            </w:tcBorders>
            <w:shd w:val="clear" w:color="auto" w:fill="FFFFFF"/>
          </w:tcPr>
          <w:p>
            <w:pPr>
              <w:keepNext w:val="0"/>
              <w:keepLines w:val="0"/>
              <w:widowControl/>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 xml:space="preserve">Urine </w:t>
            </w:r>
          </w:p>
        </w:tc>
        <w:tc>
          <w:tcPr>
            <w:tcW w:w="3470" w:type="dxa"/>
            <w:tcBorders>
              <w:top w:val="nil"/>
              <w:left w:val="nil"/>
              <w:bottom w:val="nil"/>
              <w:right w:val="nil"/>
            </w:tcBorders>
            <w:shd w:val="clear" w:color="auto" w:fill="FFFFFF"/>
          </w:tcPr>
          <w:p>
            <w:pPr>
              <w:keepNext w:val="0"/>
              <w:keepLines w:val="0"/>
              <w:widowControl/>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20</w:t>
            </w:r>
          </w:p>
        </w:tc>
      </w:tr>
      <w:tr>
        <w:tblPrEx>
          <w:tblBorders>
            <w:top w:val="single" w:color="auto" w:sz="8"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052" w:type="dxa"/>
            <w:tcBorders>
              <w:top w:val="nil"/>
              <w:left w:val="nil"/>
              <w:bottom w:val="nil"/>
              <w:right w:val="nil"/>
            </w:tcBorders>
            <w:shd w:val="clear" w:color="auto" w:fill="FDEADA"/>
          </w:tcPr>
          <w:p>
            <w:pPr>
              <w:keepNext w:val="0"/>
              <w:keepLines w:val="0"/>
              <w:widowControl/>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 xml:space="preserve">Pharynx </w:t>
            </w:r>
          </w:p>
        </w:tc>
        <w:tc>
          <w:tcPr>
            <w:tcW w:w="3470" w:type="dxa"/>
            <w:tcBorders>
              <w:top w:val="nil"/>
              <w:left w:val="nil"/>
              <w:bottom w:val="nil"/>
              <w:right w:val="nil"/>
            </w:tcBorders>
            <w:shd w:val="clear" w:color="auto" w:fill="FDEADA"/>
          </w:tcPr>
          <w:p>
            <w:pPr>
              <w:keepNext w:val="0"/>
              <w:keepLines w:val="0"/>
              <w:widowControl/>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4</w:t>
            </w:r>
          </w:p>
        </w:tc>
      </w:tr>
      <w:tr>
        <w:tblPrEx>
          <w:tblBorders>
            <w:top w:val="single" w:color="auto" w:sz="8"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052" w:type="dxa"/>
            <w:tcBorders>
              <w:top w:val="nil"/>
              <w:left w:val="nil"/>
              <w:bottom w:val="nil"/>
              <w:right w:val="nil"/>
            </w:tcBorders>
            <w:shd w:val="clear" w:color="auto" w:fill="FFFFFF"/>
          </w:tcPr>
          <w:p>
            <w:pPr>
              <w:keepNext w:val="0"/>
              <w:keepLines w:val="0"/>
              <w:widowControl/>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 xml:space="preserve">Skin </w:t>
            </w:r>
          </w:p>
        </w:tc>
        <w:tc>
          <w:tcPr>
            <w:tcW w:w="3470" w:type="dxa"/>
            <w:tcBorders>
              <w:top w:val="nil"/>
              <w:left w:val="nil"/>
              <w:bottom w:val="nil"/>
              <w:right w:val="nil"/>
            </w:tcBorders>
            <w:shd w:val="clear" w:color="auto" w:fill="FFFFFF"/>
          </w:tcPr>
          <w:p>
            <w:pPr>
              <w:keepNext w:val="0"/>
              <w:keepLines w:val="0"/>
              <w:widowControl/>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1</w:t>
            </w:r>
          </w:p>
        </w:tc>
      </w:tr>
      <w:tr>
        <w:tblPrEx>
          <w:tblBorders>
            <w:top w:val="single" w:color="auto" w:sz="8"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052" w:type="dxa"/>
            <w:tcBorders>
              <w:top w:val="nil"/>
              <w:left w:val="nil"/>
              <w:bottom w:val="single" w:color="auto" w:sz="8" w:space="0"/>
              <w:right w:val="nil"/>
            </w:tcBorders>
            <w:shd w:val="clear" w:color="auto" w:fill="FDEADA"/>
          </w:tcPr>
          <w:p>
            <w:pPr>
              <w:keepNext w:val="0"/>
              <w:keepLines w:val="0"/>
              <w:widowControl/>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Drained abdominal fluid (tube placed for over 24h)</w:t>
            </w:r>
          </w:p>
        </w:tc>
        <w:tc>
          <w:tcPr>
            <w:tcW w:w="3470" w:type="dxa"/>
            <w:tcBorders>
              <w:top w:val="nil"/>
              <w:left w:val="nil"/>
              <w:bottom w:val="single" w:color="auto" w:sz="8" w:space="0"/>
              <w:right w:val="nil"/>
            </w:tcBorders>
            <w:shd w:val="clear" w:color="auto" w:fill="FDEADA"/>
          </w:tcPr>
          <w:p>
            <w:pPr>
              <w:keepNext w:val="0"/>
              <w:keepLines w:val="0"/>
              <w:widowControl/>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3</w:t>
            </w:r>
          </w:p>
        </w:tc>
      </w:tr>
      <w:tr>
        <w:tblPrEx>
          <w:tblBorders>
            <w:top w:val="single" w:color="auto" w:sz="8"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gridSpan w:val="2"/>
            <w:tcBorders>
              <w:top w:val="single" w:color="auto" w:sz="8" w:space="0"/>
              <w:left w:val="nil"/>
              <w:bottom w:val="nil"/>
              <w:right w:val="nil"/>
            </w:tcBorders>
            <w:shd w:val="clear" w:color="auto" w:fill="auto"/>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Abbreviations: BALF: Bronchoalveolar lavage fluid.</w:t>
            </w:r>
          </w:p>
        </w:tc>
      </w:tr>
    </w:tbl>
    <w:p>
      <w:pPr>
        <w:rPr>
          <w:rFonts w:hint="default" w:ascii="Times New Roman" w:hAnsi="Times New Roman" w:cs="Times New Roman"/>
        </w:rPr>
      </w:pPr>
    </w:p>
    <w:p>
      <w:pPr>
        <w:pStyle w:val="3"/>
        <w:numPr>
          <w:ilvl w:val="1"/>
          <w:numId w:val="0"/>
        </w:numPr>
        <w:rPr>
          <w:rFonts w:hint="default" w:ascii="Times New Roman" w:hAnsi="Times New Roman" w:cs="Times New Roman"/>
          <w:lang w:val="en-US" w:eastAsia="zh-CN"/>
        </w:rPr>
      </w:pPr>
      <w:r>
        <w:rPr>
          <w:rFonts w:hint="default" w:ascii="Times New Roman" w:hAnsi="Times New Roman" w:cs="Times New Roman"/>
        </w:rPr>
        <w:t xml:space="preserve">Supplementary table </w:t>
      </w:r>
      <w:r>
        <w:rPr>
          <w:rFonts w:hint="default" w:ascii="Times New Roman" w:hAnsi="Times New Roman" w:cs="Times New Roman"/>
          <w:lang w:val="en-US" w:eastAsia="zh-CN"/>
        </w:rPr>
        <w:t>3</w:t>
      </w:r>
    </w:p>
    <w:p>
      <w:pPr>
        <w:pStyle w:val="11"/>
        <w:rPr>
          <w:rFonts w:hint="default" w:ascii="Times New Roman" w:hAnsi="Times New Roman" w:eastAsia="宋体" w:cs="Times New Roman"/>
          <w:i w:val="0"/>
          <w:iCs w:val="0"/>
          <w:sz w:val="22"/>
          <w:szCs w:val="22"/>
        </w:rPr>
      </w:pPr>
      <w:r>
        <w:rPr>
          <w:rFonts w:hint="default" w:ascii="Times New Roman" w:hAnsi="Times New Roman" w:cs="Times New Roman"/>
          <w:b/>
          <w:bCs/>
          <w:i w:val="0"/>
          <w:iCs w:val="0"/>
          <w:sz w:val="22"/>
          <w:szCs w:val="22"/>
          <w:lang w:val="en-US" w:eastAsia="zh-CN"/>
        </w:rPr>
        <w:t xml:space="preserve">Supplementary </w:t>
      </w:r>
      <w:r>
        <w:rPr>
          <w:rFonts w:hint="default" w:ascii="Times New Roman" w:hAnsi="Times New Roman" w:cs="Times New Roman"/>
          <w:b/>
          <w:bCs/>
          <w:i w:val="0"/>
          <w:iCs w:val="0"/>
          <w:sz w:val="22"/>
          <w:szCs w:val="22"/>
        </w:rPr>
        <w:t xml:space="preserve">Table </w:t>
      </w:r>
      <w:r>
        <w:rPr>
          <w:rFonts w:hint="default" w:ascii="Times New Roman" w:hAnsi="Times New Roman" w:cs="Times New Roman"/>
          <w:b/>
          <w:bCs/>
          <w:i w:val="0"/>
          <w:iCs w:val="0"/>
          <w:sz w:val="22"/>
          <w:szCs w:val="22"/>
        </w:rPr>
        <w:fldChar w:fldCharType="begin"/>
      </w:r>
      <w:r>
        <w:rPr>
          <w:rFonts w:hint="default" w:ascii="Times New Roman" w:hAnsi="Times New Roman" w:cs="Times New Roman"/>
          <w:b/>
          <w:bCs/>
          <w:i w:val="0"/>
          <w:iCs w:val="0"/>
          <w:sz w:val="22"/>
          <w:szCs w:val="22"/>
        </w:rPr>
        <w:instrText xml:space="preserve"> SEQ 表 \* ARABIC </w:instrText>
      </w:r>
      <w:r>
        <w:rPr>
          <w:rFonts w:hint="default" w:ascii="Times New Roman" w:hAnsi="Times New Roman" w:cs="Times New Roman"/>
          <w:b/>
          <w:bCs/>
          <w:i w:val="0"/>
          <w:iCs w:val="0"/>
          <w:sz w:val="22"/>
          <w:szCs w:val="22"/>
        </w:rPr>
        <w:fldChar w:fldCharType="separate"/>
      </w:r>
      <w:r>
        <w:rPr>
          <w:rFonts w:hint="default" w:ascii="Times New Roman" w:hAnsi="Times New Roman" w:cs="Times New Roman"/>
          <w:b/>
          <w:bCs/>
          <w:i w:val="0"/>
          <w:iCs w:val="0"/>
          <w:sz w:val="22"/>
          <w:szCs w:val="22"/>
        </w:rPr>
        <w:t>3</w:t>
      </w:r>
      <w:r>
        <w:rPr>
          <w:rFonts w:hint="default" w:ascii="Times New Roman" w:hAnsi="Times New Roman" w:cs="Times New Roman"/>
          <w:b/>
          <w:bCs/>
          <w:i w:val="0"/>
          <w:iCs w:val="0"/>
          <w:sz w:val="22"/>
          <w:szCs w:val="22"/>
        </w:rPr>
        <w:fldChar w:fldCharType="end"/>
      </w:r>
      <w:r>
        <w:rPr>
          <w:rFonts w:hint="default" w:ascii="Times New Roman" w:hAnsi="Times New Roman" w:cs="Times New Roman"/>
          <w:i w:val="0"/>
          <w:iCs w:val="0"/>
          <w:sz w:val="22"/>
          <w:szCs w:val="22"/>
        </w:rPr>
        <w:t xml:space="preserve">. Risk factors by common infected </w:t>
      </w:r>
      <w:r>
        <w:rPr>
          <w:rFonts w:hint="default" w:ascii="Times New Roman" w:hAnsi="Times New Roman" w:cs="Times New Roman"/>
          <w:i/>
          <w:iCs/>
          <w:sz w:val="22"/>
          <w:szCs w:val="22"/>
        </w:rPr>
        <w:t xml:space="preserve">Candida </w:t>
      </w:r>
      <w:r>
        <w:rPr>
          <w:rFonts w:hint="default" w:ascii="Times New Roman" w:hAnsi="Times New Roman" w:cs="Times New Roman"/>
          <w:i w:val="0"/>
          <w:iCs w:val="0"/>
          <w:sz w:val="22"/>
          <w:szCs w:val="22"/>
        </w:rPr>
        <w:t>species.</w:t>
      </w:r>
    </w:p>
    <w:tbl>
      <w:tblPr>
        <w:tblStyle w:val="20"/>
        <w:tblW w:w="15571" w:type="dxa"/>
        <w:tblInd w:w="-10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15"/>
        <w:gridCol w:w="1290"/>
        <w:gridCol w:w="1215"/>
        <w:gridCol w:w="240"/>
        <w:gridCol w:w="1594"/>
        <w:gridCol w:w="965"/>
        <w:gridCol w:w="240"/>
        <w:gridCol w:w="1266"/>
        <w:gridCol w:w="982"/>
        <w:gridCol w:w="240"/>
        <w:gridCol w:w="1371"/>
        <w:gridCol w:w="1222"/>
        <w:gridCol w:w="240"/>
        <w:gridCol w:w="1153"/>
        <w:gridCol w:w="12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trPr>
        <w:tc>
          <w:tcPr>
            <w:tcW w:w="2315" w:type="dxa"/>
            <w:vMerge w:val="restart"/>
            <w:tcBorders>
              <w:top w:val="single" w:color="auto" w:sz="8" w:space="0"/>
              <w:left w:val="nil"/>
              <w:right w:val="nil"/>
            </w:tcBorders>
            <w:shd w:val="clear" w:color="auto" w:fill="F7CAAC" w:themeFill="accent2" w:themeFillTint="66"/>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p>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Risk factors</w:t>
            </w:r>
          </w:p>
        </w:tc>
        <w:tc>
          <w:tcPr>
            <w:tcW w:w="1290" w:type="dxa"/>
            <w:tcBorders>
              <w:top w:val="single" w:color="auto" w:sz="8" w:space="0"/>
              <w:left w:val="nil"/>
              <w:bottom w:val="single" w:color="auto" w:sz="8" w:space="0"/>
              <w:right w:val="nil"/>
            </w:tcBorders>
            <w:shd w:val="clear" w:color="auto" w:fill="F7CAAC" w:themeFill="accent2" w:themeFillTint="66"/>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p>
        </w:tc>
        <w:tc>
          <w:tcPr>
            <w:tcW w:w="1215" w:type="dxa"/>
            <w:tcBorders>
              <w:top w:val="single" w:color="auto" w:sz="8" w:space="0"/>
              <w:left w:val="nil"/>
              <w:bottom w:val="single" w:color="auto" w:sz="8" w:space="0"/>
              <w:right w:val="nil"/>
            </w:tcBorders>
            <w:shd w:val="clear" w:color="auto" w:fill="F7CAAC" w:themeFill="accent2" w:themeFillTint="66"/>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p>
        </w:tc>
        <w:tc>
          <w:tcPr>
            <w:tcW w:w="240" w:type="dxa"/>
            <w:tcBorders>
              <w:top w:val="single" w:color="auto" w:sz="8" w:space="0"/>
              <w:left w:val="nil"/>
              <w:bottom w:val="nil"/>
              <w:right w:val="nil"/>
            </w:tcBorders>
            <w:shd w:val="clear" w:color="auto" w:fill="F7CAAC" w:themeFill="accent2" w:themeFillTint="66"/>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p>
        </w:tc>
        <w:tc>
          <w:tcPr>
            <w:tcW w:w="1594" w:type="dxa"/>
            <w:tcBorders>
              <w:top w:val="single" w:color="auto" w:sz="8" w:space="0"/>
              <w:left w:val="nil"/>
              <w:bottom w:val="single" w:color="auto" w:sz="8" w:space="0"/>
              <w:right w:val="nil"/>
            </w:tcBorders>
            <w:shd w:val="clear" w:color="auto" w:fill="F7CAAC" w:themeFill="accent2" w:themeFillTint="66"/>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p>
        </w:tc>
        <w:tc>
          <w:tcPr>
            <w:tcW w:w="965" w:type="dxa"/>
            <w:tcBorders>
              <w:top w:val="single" w:color="auto" w:sz="8" w:space="0"/>
              <w:left w:val="nil"/>
              <w:bottom w:val="single" w:color="auto" w:sz="8" w:space="0"/>
              <w:right w:val="nil"/>
            </w:tcBorders>
            <w:shd w:val="clear" w:color="auto" w:fill="F7CAAC" w:themeFill="accent2" w:themeFillTint="66"/>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p>
        </w:tc>
        <w:tc>
          <w:tcPr>
            <w:tcW w:w="240" w:type="dxa"/>
            <w:tcBorders>
              <w:top w:val="single" w:color="auto" w:sz="8" w:space="0"/>
              <w:left w:val="nil"/>
              <w:bottom w:val="nil"/>
              <w:right w:val="nil"/>
            </w:tcBorders>
            <w:shd w:val="clear" w:color="auto" w:fill="F7CAAC" w:themeFill="accent2" w:themeFillTint="66"/>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p>
        </w:tc>
        <w:tc>
          <w:tcPr>
            <w:tcW w:w="2248" w:type="dxa"/>
            <w:gridSpan w:val="2"/>
            <w:tcBorders>
              <w:top w:val="single" w:color="auto" w:sz="8" w:space="0"/>
              <w:left w:val="nil"/>
              <w:bottom w:val="single" w:color="auto" w:sz="8" w:space="0"/>
              <w:right w:val="nil"/>
            </w:tcBorders>
            <w:shd w:val="clear" w:color="auto" w:fill="F7CAAC" w:themeFill="accent2" w:themeFillTint="66"/>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i/>
                <w:iCs/>
              </w:rPr>
              <w:t xml:space="preserve">Candida </w:t>
            </w:r>
            <w:r>
              <w:rPr>
                <w:rFonts w:hint="default" w:ascii="Times New Roman" w:hAnsi="Times New Roman" w:cs="Times New Roman"/>
              </w:rPr>
              <w:t>species</w:t>
            </w:r>
          </w:p>
        </w:tc>
        <w:tc>
          <w:tcPr>
            <w:tcW w:w="240" w:type="dxa"/>
            <w:tcBorders>
              <w:top w:val="single" w:color="auto" w:sz="8" w:space="0"/>
              <w:left w:val="nil"/>
              <w:bottom w:val="nil"/>
              <w:right w:val="nil"/>
            </w:tcBorders>
            <w:shd w:val="clear" w:color="auto" w:fill="F7CAAC" w:themeFill="accent2" w:themeFillTint="66"/>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p>
        </w:tc>
        <w:tc>
          <w:tcPr>
            <w:tcW w:w="1371" w:type="dxa"/>
            <w:tcBorders>
              <w:top w:val="single" w:color="auto" w:sz="8" w:space="0"/>
              <w:left w:val="nil"/>
              <w:bottom w:val="single" w:color="auto" w:sz="8" w:space="0"/>
              <w:right w:val="nil"/>
            </w:tcBorders>
            <w:shd w:val="clear" w:color="auto" w:fill="F7CAAC" w:themeFill="accent2" w:themeFillTint="66"/>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p>
        </w:tc>
        <w:tc>
          <w:tcPr>
            <w:tcW w:w="1222" w:type="dxa"/>
            <w:tcBorders>
              <w:top w:val="single" w:color="auto" w:sz="8" w:space="0"/>
              <w:left w:val="nil"/>
              <w:bottom w:val="single" w:color="auto" w:sz="8" w:space="0"/>
              <w:right w:val="nil"/>
            </w:tcBorders>
            <w:shd w:val="clear" w:color="auto" w:fill="F7CAAC" w:themeFill="accent2" w:themeFillTint="66"/>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p>
        </w:tc>
        <w:tc>
          <w:tcPr>
            <w:tcW w:w="240" w:type="dxa"/>
            <w:tcBorders>
              <w:top w:val="single" w:color="auto" w:sz="8" w:space="0"/>
              <w:left w:val="nil"/>
              <w:bottom w:val="nil"/>
              <w:right w:val="nil"/>
            </w:tcBorders>
            <w:shd w:val="clear" w:color="auto" w:fill="F7CAAC" w:themeFill="accent2" w:themeFillTint="66"/>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p>
        </w:tc>
        <w:tc>
          <w:tcPr>
            <w:tcW w:w="1153" w:type="dxa"/>
            <w:tcBorders>
              <w:top w:val="single" w:color="auto" w:sz="8" w:space="0"/>
              <w:left w:val="nil"/>
              <w:bottom w:val="single" w:color="auto" w:sz="8" w:space="0"/>
              <w:right w:val="nil"/>
            </w:tcBorders>
            <w:shd w:val="clear" w:color="auto" w:fill="F7CAAC" w:themeFill="accent2" w:themeFillTint="66"/>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p>
        </w:tc>
        <w:tc>
          <w:tcPr>
            <w:tcW w:w="1238" w:type="dxa"/>
            <w:tcBorders>
              <w:top w:val="single" w:color="auto" w:sz="8" w:space="0"/>
              <w:left w:val="nil"/>
              <w:bottom w:val="single" w:color="auto" w:sz="8" w:space="0"/>
              <w:right w:val="nil"/>
            </w:tcBorders>
            <w:shd w:val="clear" w:color="auto" w:fill="F7CAAC" w:themeFill="accent2" w:themeFillTint="66"/>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3" w:hRule="atLeast"/>
        </w:trPr>
        <w:tc>
          <w:tcPr>
            <w:tcW w:w="2315" w:type="dxa"/>
            <w:vMerge w:val="continue"/>
            <w:tcBorders>
              <w:left w:val="nil"/>
              <w:bottom w:val="single" w:color="auto" w:sz="8" w:space="0"/>
              <w:right w:val="nil"/>
            </w:tcBorders>
            <w:shd w:val="clear" w:color="auto" w:fill="F7CAAC" w:themeFill="accent2" w:themeFillTint="66"/>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p>
        </w:tc>
        <w:tc>
          <w:tcPr>
            <w:tcW w:w="1290" w:type="dxa"/>
            <w:tcBorders>
              <w:top w:val="single" w:color="auto" w:sz="8" w:space="0"/>
              <w:left w:val="nil"/>
              <w:bottom w:val="single" w:color="auto" w:sz="8" w:space="0"/>
              <w:right w:val="nil"/>
            </w:tcBorders>
            <w:shd w:val="clear" w:color="auto" w:fill="F7CAAC" w:themeFill="accent2" w:themeFillTint="66"/>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i/>
                <w:iCs/>
              </w:rPr>
              <w:t xml:space="preserve">C. albicans </w:t>
            </w:r>
            <w:r>
              <w:rPr>
                <w:rFonts w:hint="default" w:ascii="Times New Roman" w:hAnsi="Times New Roman" w:cs="Times New Roman"/>
              </w:rPr>
              <w:t>(n=87)</w:t>
            </w:r>
          </w:p>
        </w:tc>
        <w:tc>
          <w:tcPr>
            <w:tcW w:w="1215" w:type="dxa"/>
            <w:tcBorders>
              <w:top w:val="single" w:color="auto" w:sz="8" w:space="0"/>
              <w:left w:val="nil"/>
              <w:bottom w:val="single" w:color="auto" w:sz="8" w:space="0"/>
              <w:right w:val="nil"/>
            </w:tcBorders>
            <w:shd w:val="clear" w:color="auto" w:fill="F7CAAC" w:themeFill="accent2" w:themeFillTint="66"/>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P-value</w:t>
            </w:r>
          </w:p>
        </w:tc>
        <w:tc>
          <w:tcPr>
            <w:tcW w:w="240" w:type="dxa"/>
            <w:tcBorders>
              <w:top w:val="nil"/>
              <w:left w:val="nil"/>
              <w:bottom w:val="single" w:color="auto" w:sz="8" w:space="0"/>
              <w:right w:val="nil"/>
            </w:tcBorders>
            <w:shd w:val="clear" w:color="auto" w:fill="F7CAAC" w:themeFill="accent2" w:themeFillTint="66"/>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p>
        </w:tc>
        <w:tc>
          <w:tcPr>
            <w:tcW w:w="1594" w:type="dxa"/>
            <w:tcBorders>
              <w:top w:val="single" w:color="auto" w:sz="8" w:space="0"/>
              <w:left w:val="nil"/>
              <w:bottom w:val="single" w:color="auto" w:sz="8" w:space="0"/>
              <w:right w:val="nil"/>
            </w:tcBorders>
            <w:shd w:val="clear" w:color="auto" w:fill="F7CAAC" w:themeFill="accent2" w:themeFillTint="66"/>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i/>
                <w:iCs/>
              </w:rPr>
              <w:t>C. parapsilosis</w:t>
            </w:r>
            <w:r>
              <w:rPr>
                <w:rFonts w:hint="default" w:ascii="Times New Roman" w:hAnsi="Times New Roman" w:cs="Times New Roman"/>
              </w:rPr>
              <w:t xml:space="preserve"> (n=37)</w:t>
            </w:r>
          </w:p>
        </w:tc>
        <w:tc>
          <w:tcPr>
            <w:tcW w:w="965" w:type="dxa"/>
            <w:tcBorders>
              <w:top w:val="single" w:color="auto" w:sz="8" w:space="0"/>
              <w:left w:val="nil"/>
              <w:bottom w:val="single" w:color="auto" w:sz="8" w:space="0"/>
              <w:right w:val="nil"/>
            </w:tcBorders>
            <w:shd w:val="clear" w:color="auto" w:fill="F7CAAC" w:themeFill="accent2" w:themeFillTint="66"/>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P-value</w:t>
            </w:r>
          </w:p>
        </w:tc>
        <w:tc>
          <w:tcPr>
            <w:tcW w:w="240" w:type="dxa"/>
            <w:tcBorders>
              <w:top w:val="nil"/>
              <w:left w:val="nil"/>
              <w:bottom w:val="single" w:color="auto" w:sz="8" w:space="0"/>
              <w:right w:val="nil"/>
            </w:tcBorders>
            <w:shd w:val="clear" w:color="auto" w:fill="F7CAAC" w:themeFill="accent2" w:themeFillTint="66"/>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p>
        </w:tc>
        <w:tc>
          <w:tcPr>
            <w:tcW w:w="1266" w:type="dxa"/>
            <w:tcBorders>
              <w:top w:val="single" w:color="auto" w:sz="8" w:space="0"/>
              <w:left w:val="nil"/>
              <w:bottom w:val="single" w:color="auto" w:sz="8" w:space="0"/>
              <w:right w:val="nil"/>
            </w:tcBorders>
            <w:shd w:val="clear" w:color="auto" w:fill="F7CAAC" w:themeFill="accent2" w:themeFillTint="66"/>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i/>
                <w:iCs/>
              </w:rPr>
              <w:t>C. glabrata</w:t>
            </w:r>
            <w:r>
              <w:rPr>
                <w:rFonts w:hint="default" w:ascii="Times New Roman" w:hAnsi="Times New Roman" w:cs="Times New Roman"/>
              </w:rPr>
              <w:t xml:space="preserve"> (n=27)</w:t>
            </w:r>
          </w:p>
        </w:tc>
        <w:tc>
          <w:tcPr>
            <w:tcW w:w="982" w:type="dxa"/>
            <w:tcBorders>
              <w:top w:val="single" w:color="auto" w:sz="8" w:space="0"/>
              <w:left w:val="nil"/>
              <w:bottom w:val="single" w:color="auto" w:sz="8" w:space="0"/>
              <w:right w:val="nil"/>
            </w:tcBorders>
            <w:shd w:val="clear" w:color="auto" w:fill="F7CAAC" w:themeFill="accent2" w:themeFillTint="66"/>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P-value</w:t>
            </w:r>
          </w:p>
        </w:tc>
        <w:tc>
          <w:tcPr>
            <w:tcW w:w="240" w:type="dxa"/>
            <w:tcBorders>
              <w:top w:val="nil"/>
              <w:left w:val="nil"/>
              <w:bottom w:val="single" w:color="auto" w:sz="8" w:space="0"/>
              <w:right w:val="nil"/>
            </w:tcBorders>
            <w:shd w:val="clear" w:color="auto" w:fill="F7CAAC" w:themeFill="accent2" w:themeFillTint="66"/>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p>
        </w:tc>
        <w:tc>
          <w:tcPr>
            <w:tcW w:w="1371" w:type="dxa"/>
            <w:tcBorders>
              <w:top w:val="single" w:color="auto" w:sz="8" w:space="0"/>
              <w:left w:val="nil"/>
              <w:bottom w:val="single" w:color="auto" w:sz="8" w:space="0"/>
              <w:right w:val="nil"/>
            </w:tcBorders>
            <w:shd w:val="clear" w:color="auto" w:fill="F7CAAC" w:themeFill="accent2" w:themeFillTint="66"/>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i/>
                <w:iCs/>
              </w:rPr>
              <w:t>C. tropicalis</w:t>
            </w:r>
            <w:r>
              <w:rPr>
                <w:rFonts w:hint="default" w:ascii="Times New Roman" w:hAnsi="Times New Roman" w:cs="Times New Roman"/>
              </w:rPr>
              <w:t xml:space="preserve"> (n=26)</w:t>
            </w:r>
          </w:p>
        </w:tc>
        <w:tc>
          <w:tcPr>
            <w:tcW w:w="1222" w:type="dxa"/>
            <w:tcBorders>
              <w:top w:val="single" w:color="auto" w:sz="8" w:space="0"/>
              <w:left w:val="nil"/>
              <w:bottom w:val="single" w:color="auto" w:sz="8" w:space="0"/>
              <w:right w:val="nil"/>
            </w:tcBorders>
            <w:shd w:val="clear" w:color="auto" w:fill="F7CAAC" w:themeFill="accent2" w:themeFillTint="66"/>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P-value</w:t>
            </w:r>
          </w:p>
        </w:tc>
        <w:tc>
          <w:tcPr>
            <w:tcW w:w="240" w:type="dxa"/>
            <w:tcBorders>
              <w:top w:val="nil"/>
              <w:left w:val="nil"/>
              <w:bottom w:val="single" w:color="auto" w:sz="8" w:space="0"/>
              <w:right w:val="nil"/>
            </w:tcBorders>
            <w:shd w:val="clear" w:color="auto" w:fill="F7CAAC" w:themeFill="accent2" w:themeFillTint="66"/>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p>
        </w:tc>
        <w:tc>
          <w:tcPr>
            <w:tcW w:w="1153" w:type="dxa"/>
            <w:tcBorders>
              <w:top w:val="single" w:color="auto" w:sz="8" w:space="0"/>
              <w:left w:val="nil"/>
              <w:bottom w:val="single" w:color="auto" w:sz="8" w:space="0"/>
              <w:right w:val="nil"/>
            </w:tcBorders>
            <w:shd w:val="clear" w:color="auto" w:fill="F7CAAC" w:themeFill="accent2" w:themeFillTint="66"/>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i/>
                <w:iCs/>
              </w:rPr>
              <w:t xml:space="preserve">C. krusei </w:t>
            </w:r>
            <w:r>
              <w:rPr>
                <w:rFonts w:hint="default" w:ascii="Times New Roman" w:hAnsi="Times New Roman" w:cs="Times New Roman"/>
              </w:rPr>
              <w:t>(n=7)</w:t>
            </w:r>
          </w:p>
        </w:tc>
        <w:tc>
          <w:tcPr>
            <w:tcW w:w="1238" w:type="dxa"/>
            <w:tcBorders>
              <w:top w:val="single" w:color="auto" w:sz="8" w:space="0"/>
              <w:left w:val="nil"/>
              <w:bottom w:val="single" w:color="auto" w:sz="8" w:space="0"/>
              <w:right w:val="nil"/>
            </w:tcBorders>
            <w:shd w:val="clear" w:color="auto" w:fill="F7CAAC" w:themeFill="accent2" w:themeFillTint="66"/>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P-value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2315" w:type="dxa"/>
            <w:tcBorders>
              <w:top w:val="single" w:color="auto" w:sz="8" w:space="0"/>
              <w:left w:val="nil"/>
              <w:bottom w:val="nil"/>
              <w:right w:val="nil"/>
            </w:tcBorders>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Male</w:t>
            </w:r>
          </w:p>
        </w:tc>
        <w:tc>
          <w:tcPr>
            <w:tcW w:w="1290" w:type="dxa"/>
            <w:tcBorders>
              <w:top w:val="single" w:color="auto" w:sz="8" w:space="0"/>
              <w:left w:val="nil"/>
              <w:bottom w:val="nil"/>
              <w:right w:val="nil"/>
            </w:tcBorders>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58 (66.7)</w:t>
            </w:r>
          </w:p>
        </w:tc>
        <w:tc>
          <w:tcPr>
            <w:tcW w:w="1215" w:type="dxa"/>
            <w:tcBorders>
              <w:top w:val="single" w:color="auto" w:sz="8" w:space="0"/>
              <w:left w:val="nil"/>
              <w:bottom w:val="nil"/>
              <w:right w:val="nil"/>
            </w:tcBorders>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0.763</w:t>
            </w:r>
          </w:p>
        </w:tc>
        <w:tc>
          <w:tcPr>
            <w:tcW w:w="240" w:type="dxa"/>
            <w:tcBorders>
              <w:top w:val="single" w:color="auto" w:sz="8" w:space="0"/>
              <w:left w:val="nil"/>
              <w:bottom w:val="nil"/>
              <w:right w:val="nil"/>
            </w:tcBorders>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p>
        </w:tc>
        <w:tc>
          <w:tcPr>
            <w:tcW w:w="1594" w:type="dxa"/>
            <w:tcBorders>
              <w:top w:val="single" w:color="auto" w:sz="8" w:space="0"/>
              <w:left w:val="nil"/>
              <w:bottom w:val="nil"/>
              <w:right w:val="nil"/>
            </w:tcBorders>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29 (78.38)</w:t>
            </w:r>
          </w:p>
        </w:tc>
        <w:tc>
          <w:tcPr>
            <w:tcW w:w="965" w:type="dxa"/>
            <w:tcBorders>
              <w:top w:val="single" w:color="auto" w:sz="8" w:space="0"/>
              <w:left w:val="nil"/>
              <w:bottom w:val="nil"/>
              <w:right w:val="nil"/>
            </w:tcBorders>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0.122</w:t>
            </w:r>
          </w:p>
        </w:tc>
        <w:tc>
          <w:tcPr>
            <w:tcW w:w="240" w:type="dxa"/>
            <w:tcBorders>
              <w:top w:val="single" w:color="auto" w:sz="8" w:space="0"/>
              <w:left w:val="nil"/>
              <w:bottom w:val="nil"/>
              <w:right w:val="nil"/>
            </w:tcBorders>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p>
        </w:tc>
        <w:tc>
          <w:tcPr>
            <w:tcW w:w="1266" w:type="dxa"/>
            <w:tcBorders>
              <w:top w:val="single" w:color="auto" w:sz="8" w:space="0"/>
              <w:left w:val="nil"/>
              <w:bottom w:val="nil"/>
              <w:right w:val="nil"/>
            </w:tcBorders>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15 (55.56)</w:t>
            </w:r>
          </w:p>
        </w:tc>
        <w:tc>
          <w:tcPr>
            <w:tcW w:w="982" w:type="dxa"/>
            <w:tcBorders>
              <w:top w:val="single" w:color="auto" w:sz="8" w:space="0"/>
              <w:left w:val="nil"/>
              <w:bottom w:val="nil"/>
              <w:right w:val="nil"/>
            </w:tcBorders>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0.142</w:t>
            </w:r>
          </w:p>
        </w:tc>
        <w:tc>
          <w:tcPr>
            <w:tcW w:w="240" w:type="dxa"/>
            <w:tcBorders>
              <w:top w:val="single" w:color="auto" w:sz="8" w:space="0"/>
              <w:left w:val="nil"/>
              <w:bottom w:val="nil"/>
              <w:right w:val="nil"/>
            </w:tcBorders>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p>
        </w:tc>
        <w:tc>
          <w:tcPr>
            <w:tcW w:w="1371" w:type="dxa"/>
            <w:tcBorders>
              <w:top w:val="single" w:color="auto" w:sz="8" w:space="0"/>
              <w:left w:val="nil"/>
              <w:bottom w:val="nil"/>
              <w:right w:val="nil"/>
            </w:tcBorders>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18 (69.23)</w:t>
            </w:r>
          </w:p>
        </w:tc>
        <w:tc>
          <w:tcPr>
            <w:tcW w:w="1222" w:type="dxa"/>
            <w:tcBorders>
              <w:top w:val="single" w:color="auto" w:sz="8" w:space="0"/>
              <w:left w:val="nil"/>
              <w:bottom w:val="nil"/>
              <w:right w:val="nil"/>
            </w:tcBorders>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0.862</w:t>
            </w:r>
          </w:p>
        </w:tc>
        <w:tc>
          <w:tcPr>
            <w:tcW w:w="240" w:type="dxa"/>
            <w:tcBorders>
              <w:top w:val="single" w:color="auto" w:sz="8" w:space="0"/>
              <w:left w:val="nil"/>
              <w:bottom w:val="nil"/>
              <w:right w:val="nil"/>
            </w:tcBorders>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p>
        </w:tc>
        <w:tc>
          <w:tcPr>
            <w:tcW w:w="1153" w:type="dxa"/>
            <w:tcBorders>
              <w:top w:val="single" w:color="auto" w:sz="8" w:space="0"/>
              <w:left w:val="nil"/>
              <w:bottom w:val="nil"/>
              <w:right w:val="nil"/>
            </w:tcBorders>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6 (85.71)</w:t>
            </w:r>
          </w:p>
        </w:tc>
        <w:tc>
          <w:tcPr>
            <w:tcW w:w="1238" w:type="dxa"/>
            <w:tcBorders>
              <w:top w:val="single" w:color="auto" w:sz="8" w:space="0"/>
              <w:left w:val="nil"/>
              <w:bottom w:val="nil"/>
              <w:right w:val="nil"/>
            </w:tcBorders>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0.300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3" w:hRule="atLeast"/>
        </w:trPr>
        <w:tc>
          <w:tcPr>
            <w:tcW w:w="2315"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Age</w:t>
            </w:r>
          </w:p>
        </w:tc>
        <w:tc>
          <w:tcPr>
            <w:tcW w:w="1290"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67 (49-81)</w:t>
            </w:r>
          </w:p>
        </w:tc>
        <w:tc>
          <w:tcPr>
            <w:tcW w:w="1215"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0.331</w:t>
            </w:r>
          </w:p>
        </w:tc>
        <w:tc>
          <w:tcPr>
            <w:tcW w:w="240"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p>
        </w:tc>
        <w:tc>
          <w:tcPr>
            <w:tcW w:w="1594"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65 (32-73)</w:t>
            </w:r>
          </w:p>
        </w:tc>
        <w:tc>
          <w:tcPr>
            <w:tcW w:w="965"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0.558</w:t>
            </w:r>
          </w:p>
        </w:tc>
        <w:tc>
          <w:tcPr>
            <w:tcW w:w="240"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p>
        </w:tc>
        <w:tc>
          <w:tcPr>
            <w:tcW w:w="1266"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73 (51-88)</w:t>
            </w:r>
          </w:p>
        </w:tc>
        <w:tc>
          <w:tcPr>
            <w:tcW w:w="982"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0.410</w:t>
            </w:r>
          </w:p>
        </w:tc>
        <w:tc>
          <w:tcPr>
            <w:tcW w:w="240"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p>
        </w:tc>
        <w:tc>
          <w:tcPr>
            <w:tcW w:w="1371"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64 (39-78)</w:t>
            </w:r>
          </w:p>
        </w:tc>
        <w:tc>
          <w:tcPr>
            <w:tcW w:w="1222"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0.526</w:t>
            </w:r>
          </w:p>
        </w:tc>
        <w:tc>
          <w:tcPr>
            <w:tcW w:w="240"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p>
        </w:tc>
        <w:tc>
          <w:tcPr>
            <w:tcW w:w="1153"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66 (28-78)</w:t>
            </w:r>
          </w:p>
        </w:tc>
        <w:tc>
          <w:tcPr>
            <w:tcW w:w="1238"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0.549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3" w:hRule="atLeast"/>
        </w:trPr>
        <w:tc>
          <w:tcPr>
            <w:tcW w:w="2315"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220" w:leftChars="100" w:right="0"/>
              <w:jc w:val="left"/>
              <w:rPr>
                <w:rFonts w:hint="default" w:ascii="Times New Roman" w:hAnsi="Times New Roman" w:cs="Times New Roman"/>
              </w:rPr>
            </w:pPr>
            <w:r>
              <w:rPr>
                <w:rFonts w:hint="default" w:ascii="Times New Roman" w:hAnsi="Times New Roman" w:cs="Times New Roman"/>
              </w:rPr>
              <w:t>Age&gt;75 years</w:t>
            </w:r>
          </w:p>
        </w:tc>
        <w:tc>
          <w:tcPr>
            <w:tcW w:w="1290"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29 (33.3)</w:t>
            </w:r>
          </w:p>
        </w:tc>
        <w:tc>
          <w:tcPr>
            <w:tcW w:w="1215"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0.357</w:t>
            </w:r>
          </w:p>
        </w:tc>
        <w:tc>
          <w:tcPr>
            <w:tcW w:w="240"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p>
        </w:tc>
        <w:tc>
          <w:tcPr>
            <w:tcW w:w="1594"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6 (16.22)</w:t>
            </w:r>
          </w:p>
        </w:tc>
        <w:tc>
          <w:tcPr>
            <w:tcW w:w="965"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0.040*</w:t>
            </w:r>
          </w:p>
        </w:tc>
        <w:tc>
          <w:tcPr>
            <w:tcW w:w="240"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p>
        </w:tc>
        <w:tc>
          <w:tcPr>
            <w:tcW w:w="1266"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13 (48.15)</w:t>
            </w:r>
          </w:p>
        </w:tc>
        <w:tc>
          <w:tcPr>
            <w:tcW w:w="982"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0.026*</w:t>
            </w:r>
          </w:p>
        </w:tc>
        <w:tc>
          <w:tcPr>
            <w:tcW w:w="240"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p>
        </w:tc>
        <w:tc>
          <w:tcPr>
            <w:tcW w:w="1371"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8 (30.77)</w:t>
            </w:r>
          </w:p>
        </w:tc>
        <w:tc>
          <w:tcPr>
            <w:tcW w:w="1222"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0.932</w:t>
            </w:r>
          </w:p>
        </w:tc>
        <w:tc>
          <w:tcPr>
            <w:tcW w:w="240"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p>
        </w:tc>
        <w:tc>
          <w:tcPr>
            <w:tcW w:w="1153"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2 (28.57)</w:t>
            </w:r>
          </w:p>
        </w:tc>
        <w:tc>
          <w:tcPr>
            <w:tcW w:w="1238"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0.930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3" w:hRule="atLeast"/>
        </w:trPr>
        <w:tc>
          <w:tcPr>
            <w:tcW w:w="2315"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220" w:leftChars="100" w:right="0"/>
              <w:jc w:val="left"/>
              <w:rPr>
                <w:rFonts w:hint="default" w:ascii="Times New Roman" w:hAnsi="Times New Roman" w:cs="Times New Roman"/>
              </w:rPr>
            </w:pPr>
            <w:r>
              <w:rPr>
                <w:rFonts w:hint="default" w:ascii="Times New Roman" w:hAnsi="Times New Roman" w:cs="Times New Roman"/>
              </w:rPr>
              <w:t>Age&lt;1 month</w:t>
            </w:r>
          </w:p>
        </w:tc>
        <w:tc>
          <w:tcPr>
            <w:tcW w:w="1290"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8 (9.2)</w:t>
            </w:r>
          </w:p>
        </w:tc>
        <w:tc>
          <w:tcPr>
            <w:tcW w:w="1215"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0.616</w:t>
            </w:r>
          </w:p>
        </w:tc>
        <w:tc>
          <w:tcPr>
            <w:tcW w:w="240"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p>
        </w:tc>
        <w:tc>
          <w:tcPr>
            <w:tcW w:w="1594"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6 (16.22)</w:t>
            </w:r>
          </w:p>
        </w:tc>
        <w:tc>
          <w:tcPr>
            <w:tcW w:w="965"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0.193</w:t>
            </w:r>
          </w:p>
        </w:tc>
        <w:tc>
          <w:tcPr>
            <w:tcW w:w="240"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p>
        </w:tc>
        <w:tc>
          <w:tcPr>
            <w:tcW w:w="1266"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4 (14.81)</w:t>
            </w:r>
          </w:p>
        </w:tc>
        <w:tc>
          <w:tcPr>
            <w:tcW w:w="982"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0.413</w:t>
            </w:r>
          </w:p>
        </w:tc>
        <w:tc>
          <w:tcPr>
            <w:tcW w:w="240"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p>
        </w:tc>
        <w:tc>
          <w:tcPr>
            <w:tcW w:w="1371"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0 (0.00)</w:t>
            </w:r>
          </w:p>
        </w:tc>
        <w:tc>
          <w:tcPr>
            <w:tcW w:w="1222"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0.061</w:t>
            </w:r>
          </w:p>
        </w:tc>
        <w:tc>
          <w:tcPr>
            <w:tcW w:w="240"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p>
        </w:tc>
        <w:tc>
          <w:tcPr>
            <w:tcW w:w="1153"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0 (0.00)</w:t>
            </w:r>
          </w:p>
        </w:tc>
        <w:tc>
          <w:tcPr>
            <w:tcW w:w="1238"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0.358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3" w:hRule="atLeast"/>
        </w:trPr>
        <w:tc>
          <w:tcPr>
            <w:tcW w:w="2315" w:type="dxa"/>
            <w:tcBorders>
              <w:top w:val="nil"/>
              <w:left w:val="nil"/>
              <w:bottom w:val="nil"/>
              <w:right w:val="nil"/>
            </w:tcBorders>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Hemoglobin (g/L)</w:t>
            </w:r>
          </w:p>
        </w:tc>
        <w:tc>
          <w:tcPr>
            <w:tcW w:w="1290" w:type="dxa"/>
            <w:tcBorders>
              <w:top w:val="nil"/>
              <w:left w:val="nil"/>
              <w:bottom w:val="nil"/>
              <w:right w:val="nil"/>
            </w:tcBorders>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102.0±21.9</w:t>
            </w:r>
          </w:p>
        </w:tc>
        <w:tc>
          <w:tcPr>
            <w:tcW w:w="1215" w:type="dxa"/>
            <w:tcBorders>
              <w:top w:val="nil"/>
              <w:left w:val="nil"/>
              <w:bottom w:val="nil"/>
              <w:right w:val="nil"/>
            </w:tcBorders>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0.034*</w:t>
            </w:r>
          </w:p>
        </w:tc>
        <w:tc>
          <w:tcPr>
            <w:tcW w:w="240" w:type="dxa"/>
            <w:tcBorders>
              <w:top w:val="nil"/>
              <w:left w:val="nil"/>
              <w:bottom w:val="nil"/>
              <w:right w:val="nil"/>
            </w:tcBorders>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p>
        </w:tc>
        <w:tc>
          <w:tcPr>
            <w:tcW w:w="1594" w:type="dxa"/>
            <w:tcBorders>
              <w:top w:val="nil"/>
              <w:left w:val="nil"/>
              <w:bottom w:val="nil"/>
              <w:right w:val="nil"/>
            </w:tcBorders>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101.3±21.5</w:t>
            </w:r>
          </w:p>
        </w:tc>
        <w:tc>
          <w:tcPr>
            <w:tcW w:w="965" w:type="dxa"/>
            <w:tcBorders>
              <w:top w:val="nil"/>
              <w:left w:val="nil"/>
              <w:bottom w:val="nil"/>
              <w:right w:val="nil"/>
            </w:tcBorders>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0.447</w:t>
            </w:r>
          </w:p>
        </w:tc>
        <w:tc>
          <w:tcPr>
            <w:tcW w:w="240" w:type="dxa"/>
            <w:tcBorders>
              <w:top w:val="nil"/>
              <w:left w:val="nil"/>
              <w:bottom w:val="nil"/>
              <w:right w:val="nil"/>
            </w:tcBorders>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p>
        </w:tc>
        <w:tc>
          <w:tcPr>
            <w:tcW w:w="1266" w:type="dxa"/>
            <w:tcBorders>
              <w:top w:val="nil"/>
              <w:left w:val="nil"/>
              <w:bottom w:val="nil"/>
              <w:right w:val="nil"/>
            </w:tcBorders>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94.52±28.6</w:t>
            </w:r>
          </w:p>
        </w:tc>
        <w:tc>
          <w:tcPr>
            <w:tcW w:w="982" w:type="dxa"/>
            <w:tcBorders>
              <w:top w:val="nil"/>
              <w:left w:val="nil"/>
              <w:bottom w:val="nil"/>
              <w:right w:val="nil"/>
            </w:tcBorders>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0.327</w:t>
            </w:r>
          </w:p>
        </w:tc>
        <w:tc>
          <w:tcPr>
            <w:tcW w:w="240" w:type="dxa"/>
            <w:tcBorders>
              <w:top w:val="nil"/>
              <w:left w:val="nil"/>
              <w:bottom w:val="nil"/>
              <w:right w:val="nil"/>
            </w:tcBorders>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p>
        </w:tc>
        <w:tc>
          <w:tcPr>
            <w:tcW w:w="1371" w:type="dxa"/>
            <w:tcBorders>
              <w:top w:val="nil"/>
              <w:left w:val="nil"/>
              <w:bottom w:val="nil"/>
              <w:right w:val="nil"/>
            </w:tcBorders>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93.62±21.1</w:t>
            </w:r>
          </w:p>
        </w:tc>
        <w:tc>
          <w:tcPr>
            <w:tcW w:w="1222" w:type="dxa"/>
            <w:tcBorders>
              <w:top w:val="nil"/>
              <w:left w:val="nil"/>
              <w:bottom w:val="nil"/>
              <w:right w:val="nil"/>
            </w:tcBorders>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0.121</w:t>
            </w:r>
          </w:p>
        </w:tc>
        <w:tc>
          <w:tcPr>
            <w:tcW w:w="240" w:type="dxa"/>
            <w:tcBorders>
              <w:top w:val="nil"/>
              <w:left w:val="nil"/>
              <w:bottom w:val="nil"/>
              <w:right w:val="nil"/>
            </w:tcBorders>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p>
        </w:tc>
        <w:tc>
          <w:tcPr>
            <w:tcW w:w="1153" w:type="dxa"/>
            <w:tcBorders>
              <w:top w:val="nil"/>
              <w:left w:val="nil"/>
              <w:bottom w:val="nil"/>
              <w:right w:val="nil"/>
            </w:tcBorders>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81.4±31.9</w:t>
            </w:r>
          </w:p>
        </w:tc>
        <w:tc>
          <w:tcPr>
            <w:tcW w:w="1238" w:type="dxa"/>
            <w:tcBorders>
              <w:top w:val="nil"/>
              <w:left w:val="nil"/>
              <w:bottom w:val="nil"/>
              <w:right w:val="nil"/>
            </w:tcBorders>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0.025*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3" w:hRule="atLeast"/>
        </w:trPr>
        <w:tc>
          <w:tcPr>
            <w:tcW w:w="2315" w:type="dxa"/>
            <w:tcBorders>
              <w:top w:val="nil"/>
              <w:left w:val="nil"/>
              <w:bottom w:val="nil"/>
              <w:right w:val="nil"/>
            </w:tcBorders>
          </w:tcPr>
          <w:p>
            <w:pPr>
              <w:keepNext w:val="0"/>
              <w:keepLines w:val="0"/>
              <w:widowControl w:val="0"/>
              <w:suppressLineNumbers w:val="0"/>
              <w:spacing w:before="0" w:beforeAutospacing="0" w:afterAutospacing="0"/>
              <w:ind w:left="220" w:leftChars="100" w:right="0"/>
              <w:jc w:val="left"/>
              <w:rPr>
                <w:rFonts w:hint="default" w:ascii="Times New Roman" w:hAnsi="Times New Roman" w:cs="Times New Roman"/>
              </w:rPr>
            </w:pPr>
            <w:r>
              <w:rPr>
                <w:rFonts w:hint="default" w:ascii="Times New Roman" w:hAnsi="Times New Roman" w:cs="Times New Roman"/>
              </w:rPr>
              <w:t>Hemoglobin&lt;80g/L</w:t>
            </w:r>
          </w:p>
        </w:tc>
        <w:tc>
          <w:tcPr>
            <w:tcW w:w="1290" w:type="dxa"/>
            <w:tcBorders>
              <w:top w:val="nil"/>
              <w:left w:val="nil"/>
              <w:bottom w:val="nil"/>
              <w:right w:val="nil"/>
            </w:tcBorders>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12 (13.8)</w:t>
            </w:r>
          </w:p>
        </w:tc>
        <w:tc>
          <w:tcPr>
            <w:tcW w:w="1215" w:type="dxa"/>
            <w:tcBorders>
              <w:top w:val="nil"/>
              <w:left w:val="nil"/>
              <w:bottom w:val="nil"/>
              <w:right w:val="nil"/>
            </w:tcBorders>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0.018*</w:t>
            </w:r>
          </w:p>
        </w:tc>
        <w:tc>
          <w:tcPr>
            <w:tcW w:w="240" w:type="dxa"/>
            <w:tcBorders>
              <w:top w:val="nil"/>
              <w:left w:val="nil"/>
              <w:bottom w:val="nil"/>
              <w:right w:val="nil"/>
            </w:tcBorders>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p>
        </w:tc>
        <w:tc>
          <w:tcPr>
            <w:tcW w:w="1594" w:type="dxa"/>
            <w:tcBorders>
              <w:top w:val="nil"/>
              <w:left w:val="nil"/>
              <w:bottom w:val="nil"/>
              <w:right w:val="nil"/>
            </w:tcBorders>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5 (13.51)</w:t>
            </w:r>
          </w:p>
        </w:tc>
        <w:tc>
          <w:tcPr>
            <w:tcW w:w="965" w:type="dxa"/>
            <w:tcBorders>
              <w:top w:val="nil"/>
              <w:left w:val="nil"/>
              <w:bottom w:val="nil"/>
              <w:right w:val="nil"/>
            </w:tcBorders>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0.195</w:t>
            </w:r>
          </w:p>
        </w:tc>
        <w:tc>
          <w:tcPr>
            <w:tcW w:w="240" w:type="dxa"/>
            <w:tcBorders>
              <w:top w:val="nil"/>
              <w:left w:val="nil"/>
              <w:bottom w:val="nil"/>
              <w:right w:val="nil"/>
            </w:tcBorders>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p>
        </w:tc>
        <w:tc>
          <w:tcPr>
            <w:tcW w:w="1266" w:type="dxa"/>
            <w:tcBorders>
              <w:top w:val="nil"/>
              <w:left w:val="nil"/>
              <w:bottom w:val="nil"/>
              <w:right w:val="nil"/>
            </w:tcBorders>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12 (44.44)</w:t>
            </w:r>
          </w:p>
        </w:tc>
        <w:tc>
          <w:tcPr>
            <w:tcW w:w="982" w:type="dxa"/>
            <w:tcBorders>
              <w:top w:val="nil"/>
              <w:left w:val="nil"/>
              <w:bottom w:val="nil"/>
              <w:right w:val="nil"/>
            </w:tcBorders>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0.018*</w:t>
            </w:r>
          </w:p>
        </w:tc>
        <w:tc>
          <w:tcPr>
            <w:tcW w:w="240" w:type="dxa"/>
            <w:tcBorders>
              <w:top w:val="nil"/>
              <w:left w:val="nil"/>
              <w:bottom w:val="nil"/>
              <w:right w:val="nil"/>
            </w:tcBorders>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p>
        </w:tc>
        <w:tc>
          <w:tcPr>
            <w:tcW w:w="1371" w:type="dxa"/>
            <w:tcBorders>
              <w:top w:val="nil"/>
              <w:left w:val="nil"/>
              <w:bottom w:val="nil"/>
              <w:right w:val="nil"/>
            </w:tcBorders>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9 (34.62)</w:t>
            </w:r>
          </w:p>
        </w:tc>
        <w:tc>
          <w:tcPr>
            <w:tcW w:w="1222" w:type="dxa"/>
            <w:tcBorders>
              <w:top w:val="nil"/>
              <w:left w:val="nil"/>
              <w:bottom w:val="nil"/>
              <w:right w:val="nil"/>
            </w:tcBorders>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0.074</w:t>
            </w:r>
          </w:p>
        </w:tc>
        <w:tc>
          <w:tcPr>
            <w:tcW w:w="240" w:type="dxa"/>
            <w:tcBorders>
              <w:top w:val="nil"/>
              <w:left w:val="nil"/>
              <w:bottom w:val="nil"/>
              <w:right w:val="nil"/>
            </w:tcBorders>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p>
        </w:tc>
        <w:tc>
          <w:tcPr>
            <w:tcW w:w="1153" w:type="dxa"/>
            <w:tcBorders>
              <w:top w:val="nil"/>
              <w:left w:val="nil"/>
              <w:bottom w:val="nil"/>
              <w:right w:val="nil"/>
            </w:tcBorders>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4 (57.14)</w:t>
            </w:r>
          </w:p>
        </w:tc>
        <w:tc>
          <w:tcPr>
            <w:tcW w:w="1238" w:type="dxa"/>
            <w:tcBorders>
              <w:top w:val="nil"/>
              <w:left w:val="nil"/>
              <w:bottom w:val="nil"/>
              <w:right w:val="nil"/>
            </w:tcBorders>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0.018*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3" w:hRule="atLeast"/>
        </w:trPr>
        <w:tc>
          <w:tcPr>
            <w:tcW w:w="2315"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Albumin (g/L)</w:t>
            </w:r>
          </w:p>
        </w:tc>
        <w:tc>
          <w:tcPr>
            <w:tcW w:w="1290"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30 (28-35)</w:t>
            </w:r>
          </w:p>
        </w:tc>
        <w:tc>
          <w:tcPr>
            <w:tcW w:w="1215"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0.507</w:t>
            </w:r>
          </w:p>
        </w:tc>
        <w:tc>
          <w:tcPr>
            <w:tcW w:w="240"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p>
        </w:tc>
        <w:tc>
          <w:tcPr>
            <w:tcW w:w="1594"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30 (28-35)</w:t>
            </w:r>
          </w:p>
        </w:tc>
        <w:tc>
          <w:tcPr>
            <w:tcW w:w="965"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0.517</w:t>
            </w:r>
          </w:p>
        </w:tc>
        <w:tc>
          <w:tcPr>
            <w:tcW w:w="240"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p>
        </w:tc>
        <w:tc>
          <w:tcPr>
            <w:tcW w:w="1266"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30 (27-36)</w:t>
            </w:r>
          </w:p>
        </w:tc>
        <w:tc>
          <w:tcPr>
            <w:tcW w:w="982"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0.493</w:t>
            </w:r>
          </w:p>
        </w:tc>
        <w:tc>
          <w:tcPr>
            <w:tcW w:w="240"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p>
        </w:tc>
        <w:tc>
          <w:tcPr>
            <w:tcW w:w="1371"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32 (30-35)</w:t>
            </w:r>
          </w:p>
        </w:tc>
        <w:tc>
          <w:tcPr>
            <w:tcW w:w="1222"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0.448</w:t>
            </w:r>
          </w:p>
        </w:tc>
        <w:tc>
          <w:tcPr>
            <w:tcW w:w="240"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p>
        </w:tc>
        <w:tc>
          <w:tcPr>
            <w:tcW w:w="1153"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31 (28-35)</w:t>
            </w:r>
          </w:p>
        </w:tc>
        <w:tc>
          <w:tcPr>
            <w:tcW w:w="1238"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0.546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3" w:hRule="atLeast"/>
        </w:trPr>
        <w:tc>
          <w:tcPr>
            <w:tcW w:w="2315"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220" w:leftChars="100" w:right="0"/>
              <w:jc w:val="left"/>
              <w:rPr>
                <w:rFonts w:hint="default" w:ascii="Times New Roman" w:hAnsi="Times New Roman" w:cs="Times New Roman"/>
              </w:rPr>
            </w:pPr>
            <w:r>
              <w:rPr>
                <w:rFonts w:hint="default" w:ascii="Times New Roman" w:hAnsi="Times New Roman" w:cs="Times New Roman"/>
              </w:rPr>
              <w:t>Albumin &lt;25g/L</w:t>
            </w:r>
          </w:p>
        </w:tc>
        <w:tc>
          <w:tcPr>
            <w:tcW w:w="1290"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6 (6.9)</w:t>
            </w:r>
          </w:p>
        </w:tc>
        <w:tc>
          <w:tcPr>
            <w:tcW w:w="1215"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0.542</w:t>
            </w:r>
          </w:p>
        </w:tc>
        <w:tc>
          <w:tcPr>
            <w:tcW w:w="240"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p>
        </w:tc>
        <w:tc>
          <w:tcPr>
            <w:tcW w:w="1594"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3 (8.11)</w:t>
            </w:r>
          </w:p>
        </w:tc>
        <w:tc>
          <w:tcPr>
            <w:tcW w:w="965"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0.982</w:t>
            </w:r>
          </w:p>
        </w:tc>
        <w:tc>
          <w:tcPr>
            <w:tcW w:w="240"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p>
        </w:tc>
        <w:tc>
          <w:tcPr>
            <w:tcW w:w="1266"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1 (3.70)</w:t>
            </w:r>
          </w:p>
        </w:tc>
        <w:tc>
          <w:tcPr>
            <w:tcW w:w="982"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0.357</w:t>
            </w:r>
          </w:p>
        </w:tc>
        <w:tc>
          <w:tcPr>
            <w:tcW w:w="240"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p>
        </w:tc>
        <w:tc>
          <w:tcPr>
            <w:tcW w:w="1371"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3 (11.54)</w:t>
            </w:r>
          </w:p>
        </w:tc>
        <w:tc>
          <w:tcPr>
            <w:tcW w:w="1222"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0.502</w:t>
            </w:r>
          </w:p>
        </w:tc>
        <w:tc>
          <w:tcPr>
            <w:tcW w:w="240"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p>
        </w:tc>
        <w:tc>
          <w:tcPr>
            <w:tcW w:w="1153"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1 (6.90)</w:t>
            </w:r>
          </w:p>
        </w:tc>
        <w:tc>
          <w:tcPr>
            <w:tcW w:w="1238"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0.549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9" w:hRule="atLeast"/>
        </w:trPr>
        <w:tc>
          <w:tcPr>
            <w:tcW w:w="2315" w:type="dxa"/>
            <w:tcBorders>
              <w:top w:val="nil"/>
              <w:left w:val="nil"/>
              <w:bottom w:val="nil"/>
              <w:right w:val="nil"/>
            </w:tcBorders>
            <w:shd w:val="clear" w:color="auto" w:fill="auto"/>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Diabetes mellitus</w:t>
            </w:r>
          </w:p>
        </w:tc>
        <w:tc>
          <w:tcPr>
            <w:tcW w:w="1290" w:type="dxa"/>
            <w:tcBorders>
              <w:top w:val="nil"/>
              <w:left w:val="nil"/>
              <w:bottom w:val="nil"/>
              <w:right w:val="nil"/>
            </w:tcBorders>
            <w:shd w:val="clear" w:color="auto" w:fill="auto"/>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25 (28.7)</w:t>
            </w:r>
          </w:p>
        </w:tc>
        <w:tc>
          <w:tcPr>
            <w:tcW w:w="1215" w:type="dxa"/>
            <w:tcBorders>
              <w:top w:val="nil"/>
              <w:left w:val="nil"/>
              <w:bottom w:val="nil"/>
              <w:right w:val="nil"/>
            </w:tcBorders>
            <w:shd w:val="clear" w:color="auto" w:fill="auto"/>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0.711</w:t>
            </w:r>
          </w:p>
        </w:tc>
        <w:tc>
          <w:tcPr>
            <w:tcW w:w="240" w:type="dxa"/>
            <w:tcBorders>
              <w:top w:val="nil"/>
              <w:left w:val="nil"/>
              <w:bottom w:val="nil"/>
              <w:right w:val="nil"/>
            </w:tcBorders>
            <w:shd w:val="clear" w:color="auto" w:fill="auto"/>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p>
        </w:tc>
        <w:tc>
          <w:tcPr>
            <w:tcW w:w="1594" w:type="dxa"/>
            <w:tcBorders>
              <w:top w:val="nil"/>
              <w:left w:val="nil"/>
              <w:bottom w:val="nil"/>
              <w:right w:val="nil"/>
            </w:tcBorders>
            <w:shd w:val="clear" w:color="auto" w:fill="auto"/>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8 (21.62)</w:t>
            </w:r>
          </w:p>
        </w:tc>
        <w:tc>
          <w:tcPr>
            <w:tcW w:w="965" w:type="dxa"/>
            <w:tcBorders>
              <w:top w:val="nil"/>
              <w:left w:val="nil"/>
              <w:bottom w:val="nil"/>
              <w:right w:val="nil"/>
            </w:tcBorders>
            <w:shd w:val="clear" w:color="auto" w:fill="auto"/>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0.210</w:t>
            </w:r>
          </w:p>
        </w:tc>
        <w:tc>
          <w:tcPr>
            <w:tcW w:w="240" w:type="dxa"/>
            <w:tcBorders>
              <w:top w:val="nil"/>
              <w:left w:val="nil"/>
              <w:bottom w:val="nil"/>
              <w:right w:val="nil"/>
            </w:tcBorders>
            <w:shd w:val="clear" w:color="auto" w:fill="auto"/>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p>
        </w:tc>
        <w:tc>
          <w:tcPr>
            <w:tcW w:w="1266" w:type="dxa"/>
            <w:tcBorders>
              <w:top w:val="nil"/>
              <w:left w:val="nil"/>
              <w:bottom w:val="nil"/>
              <w:right w:val="nil"/>
            </w:tcBorders>
            <w:shd w:val="clear" w:color="auto" w:fill="auto"/>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15 (55.55)</w:t>
            </w:r>
          </w:p>
        </w:tc>
        <w:tc>
          <w:tcPr>
            <w:tcW w:w="982" w:type="dxa"/>
            <w:tcBorders>
              <w:top w:val="nil"/>
              <w:left w:val="nil"/>
              <w:bottom w:val="nil"/>
              <w:right w:val="nil"/>
            </w:tcBorders>
            <w:shd w:val="clear" w:color="auto" w:fill="auto"/>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0.002**</w:t>
            </w:r>
          </w:p>
        </w:tc>
        <w:tc>
          <w:tcPr>
            <w:tcW w:w="240" w:type="dxa"/>
            <w:tcBorders>
              <w:top w:val="nil"/>
              <w:left w:val="nil"/>
              <w:bottom w:val="nil"/>
              <w:right w:val="nil"/>
            </w:tcBorders>
            <w:shd w:val="clear" w:color="auto" w:fill="auto"/>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p>
        </w:tc>
        <w:tc>
          <w:tcPr>
            <w:tcW w:w="1371" w:type="dxa"/>
            <w:tcBorders>
              <w:top w:val="nil"/>
              <w:left w:val="nil"/>
              <w:bottom w:val="nil"/>
              <w:right w:val="nil"/>
            </w:tcBorders>
            <w:shd w:val="clear" w:color="auto" w:fill="auto"/>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8 (30.77)</w:t>
            </w:r>
          </w:p>
        </w:tc>
        <w:tc>
          <w:tcPr>
            <w:tcW w:w="1222" w:type="dxa"/>
            <w:tcBorders>
              <w:top w:val="nil"/>
              <w:left w:val="nil"/>
              <w:bottom w:val="nil"/>
              <w:right w:val="nil"/>
            </w:tcBorders>
            <w:shd w:val="clear" w:color="auto" w:fill="auto"/>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0.932</w:t>
            </w:r>
          </w:p>
        </w:tc>
        <w:tc>
          <w:tcPr>
            <w:tcW w:w="240" w:type="dxa"/>
            <w:tcBorders>
              <w:top w:val="nil"/>
              <w:left w:val="nil"/>
              <w:bottom w:val="nil"/>
              <w:right w:val="nil"/>
            </w:tcBorders>
            <w:shd w:val="clear" w:color="auto" w:fill="auto"/>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p>
        </w:tc>
        <w:tc>
          <w:tcPr>
            <w:tcW w:w="1153" w:type="dxa"/>
            <w:tcBorders>
              <w:top w:val="nil"/>
              <w:left w:val="nil"/>
              <w:bottom w:val="nil"/>
              <w:right w:val="nil"/>
            </w:tcBorders>
            <w:shd w:val="clear" w:color="auto" w:fill="auto"/>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2 (28.57)</w:t>
            </w:r>
          </w:p>
        </w:tc>
        <w:tc>
          <w:tcPr>
            <w:tcW w:w="1238" w:type="dxa"/>
            <w:tcBorders>
              <w:top w:val="nil"/>
              <w:left w:val="nil"/>
              <w:bottom w:val="nil"/>
              <w:right w:val="nil"/>
            </w:tcBorders>
            <w:shd w:val="clear" w:color="auto" w:fill="auto"/>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0.930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3" w:hRule="atLeast"/>
        </w:trPr>
        <w:tc>
          <w:tcPr>
            <w:tcW w:w="2315"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Solid organ malignancies</w:t>
            </w:r>
          </w:p>
        </w:tc>
        <w:tc>
          <w:tcPr>
            <w:tcW w:w="1290"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35 (40.2)</w:t>
            </w:r>
          </w:p>
        </w:tc>
        <w:tc>
          <w:tcPr>
            <w:tcW w:w="1215"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0.001**</w:t>
            </w:r>
          </w:p>
        </w:tc>
        <w:tc>
          <w:tcPr>
            <w:tcW w:w="240"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p>
        </w:tc>
        <w:tc>
          <w:tcPr>
            <w:tcW w:w="1594"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7 (18.92)</w:t>
            </w:r>
          </w:p>
        </w:tc>
        <w:tc>
          <w:tcPr>
            <w:tcW w:w="965"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0.152</w:t>
            </w:r>
          </w:p>
        </w:tc>
        <w:tc>
          <w:tcPr>
            <w:tcW w:w="240"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p>
        </w:tc>
        <w:tc>
          <w:tcPr>
            <w:tcW w:w="1266"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6 (22.22)</w:t>
            </w:r>
          </w:p>
        </w:tc>
        <w:tc>
          <w:tcPr>
            <w:tcW w:w="982"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0.440</w:t>
            </w:r>
          </w:p>
        </w:tc>
        <w:tc>
          <w:tcPr>
            <w:tcW w:w="240"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p>
        </w:tc>
        <w:tc>
          <w:tcPr>
            <w:tcW w:w="1371"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5 (19.23)</w:t>
            </w:r>
          </w:p>
        </w:tc>
        <w:tc>
          <w:tcPr>
            <w:tcW w:w="1222"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0.262</w:t>
            </w:r>
          </w:p>
        </w:tc>
        <w:tc>
          <w:tcPr>
            <w:tcW w:w="240"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p>
        </w:tc>
        <w:tc>
          <w:tcPr>
            <w:tcW w:w="1153"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1 (14.29)</w:t>
            </w:r>
          </w:p>
        </w:tc>
        <w:tc>
          <w:tcPr>
            <w:tcW w:w="1238"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0.398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1" w:hRule="atLeast"/>
        </w:trPr>
        <w:tc>
          <w:tcPr>
            <w:tcW w:w="2315" w:type="dxa"/>
            <w:tcBorders>
              <w:top w:val="nil"/>
              <w:left w:val="nil"/>
              <w:bottom w:val="nil"/>
              <w:right w:val="nil"/>
            </w:tcBorders>
            <w:shd w:val="clear" w:color="auto" w:fill="auto"/>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Hematologic malignancies</w:t>
            </w:r>
          </w:p>
        </w:tc>
        <w:tc>
          <w:tcPr>
            <w:tcW w:w="1290" w:type="dxa"/>
            <w:tcBorders>
              <w:top w:val="nil"/>
              <w:left w:val="nil"/>
              <w:bottom w:val="nil"/>
              <w:right w:val="nil"/>
            </w:tcBorders>
            <w:shd w:val="clear" w:color="auto" w:fill="auto"/>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0 (0.0)</w:t>
            </w:r>
          </w:p>
        </w:tc>
        <w:tc>
          <w:tcPr>
            <w:tcW w:w="1215" w:type="dxa"/>
            <w:tcBorders>
              <w:top w:val="nil"/>
              <w:left w:val="nil"/>
              <w:bottom w:val="nil"/>
              <w:right w:val="nil"/>
            </w:tcBorders>
            <w:shd w:val="clear" w:color="auto" w:fill="auto"/>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0.002**</w:t>
            </w:r>
          </w:p>
        </w:tc>
        <w:tc>
          <w:tcPr>
            <w:tcW w:w="240" w:type="dxa"/>
            <w:tcBorders>
              <w:top w:val="nil"/>
              <w:left w:val="nil"/>
              <w:bottom w:val="nil"/>
              <w:right w:val="nil"/>
            </w:tcBorders>
            <w:shd w:val="clear" w:color="auto" w:fill="auto"/>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p>
        </w:tc>
        <w:tc>
          <w:tcPr>
            <w:tcW w:w="1594" w:type="dxa"/>
            <w:tcBorders>
              <w:top w:val="nil"/>
              <w:left w:val="nil"/>
              <w:bottom w:val="nil"/>
              <w:right w:val="nil"/>
            </w:tcBorders>
            <w:shd w:val="clear" w:color="auto" w:fill="auto"/>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0 (0.00)</w:t>
            </w:r>
          </w:p>
        </w:tc>
        <w:tc>
          <w:tcPr>
            <w:tcW w:w="965" w:type="dxa"/>
            <w:tcBorders>
              <w:top w:val="nil"/>
              <w:left w:val="nil"/>
              <w:bottom w:val="nil"/>
              <w:right w:val="nil"/>
            </w:tcBorders>
            <w:shd w:val="clear" w:color="auto" w:fill="auto"/>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0.102</w:t>
            </w:r>
          </w:p>
        </w:tc>
        <w:tc>
          <w:tcPr>
            <w:tcW w:w="240" w:type="dxa"/>
            <w:tcBorders>
              <w:top w:val="nil"/>
              <w:left w:val="nil"/>
              <w:bottom w:val="nil"/>
              <w:right w:val="nil"/>
            </w:tcBorders>
            <w:shd w:val="clear" w:color="auto" w:fill="auto"/>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p>
        </w:tc>
        <w:tc>
          <w:tcPr>
            <w:tcW w:w="1266" w:type="dxa"/>
            <w:tcBorders>
              <w:top w:val="nil"/>
              <w:left w:val="nil"/>
              <w:bottom w:val="nil"/>
              <w:right w:val="nil"/>
            </w:tcBorders>
            <w:shd w:val="clear" w:color="auto" w:fill="auto"/>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0 (0.00)</w:t>
            </w:r>
          </w:p>
        </w:tc>
        <w:tc>
          <w:tcPr>
            <w:tcW w:w="982" w:type="dxa"/>
            <w:tcBorders>
              <w:top w:val="nil"/>
              <w:left w:val="nil"/>
              <w:bottom w:val="nil"/>
              <w:right w:val="nil"/>
            </w:tcBorders>
            <w:shd w:val="clear" w:color="auto" w:fill="auto"/>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0.176</w:t>
            </w:r>
          </w:p>
        </w:tc>
        <w:tc>
          <w:tcPr>
            <w:tcW w:w="240" w:type="dxa"/>
            <w:tcBorders>
              <w:top w:val="nil"/>
              <w:left w:val="nil"/>
              <w:bottom w:val="nil"/>
              <w:right w:val="nil"/>
            </w:tcBorders>
            <w:shd w:val="clear" w:color="auto" w:fill="auto"/>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p>
        </w:tc>
        <w:tc>
          <w:tcPr>
            <w:tcW w:w="1371" w:type="dxa"/>
            <w:tcBorders>
              <w:top w:val="nil"/>
              <w:left w:val="nil"/>
              <w:bottom w:val="nil"/>
              <w:right w:val="nil"/>
            </w:tcBorders>
            <w:shd w:val="clear" w:color="auto" w:fill="auto"/>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7 (26.92)</w:t>
            </w:r>
          </w:p>
        </w:tc>
        <w:tc>
          <w:tcPr>
            <w:tcW w:w="1222" w:type="dxa"/>
            <w:tcBorders>
              <w:top w:val="nil"/>
              <w:left w:val="nil"/>
              <w:bottom w:val="nil"/>
              <w:right w:val="nil"/>
            </w:tcBorders>
            <w:shd w:val="clear" w:color="auto" w:fill="auto"/>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eastAsia" w:ascii="Times New Roman" w:hAnsi="Times New Roman" w:cs="Times New Roman"/>
                <w:lang w:val="en-US" w:eastAsia="zh-CN"/>
              </w:rPr>
              <w:t>&lt;</w:t>
            </w:r>
            <w:r>
              <w:rPr>
                <w:rFonts w:hint="default" w:ascii="Times New Roman" w:hAnsi="Times New Roman" w:cs="Times New Roman"/>
              </w:rPr>
              <w:t>0.001***</w:t>
            </w:r>
          </w:p>
        </w:tc>
        <w:tc>
          <w:tcPr>
            <w:tcW w:w="240" w:type="dxa"/>
            <w:tcBorders>
              <w:top w:val="nil"/>
              <w:left w:val="nil"/>
              <w:bottom w:val="nil"/>
              <w:right w:val="nil"/>
            </w:tcBorders>
            <w:shd w:val="clear" w:color="auto" w:fill="auto"/>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p>
        </w:tc>
        <w:tc>
          <w:tcPr>
            <w:tcW w:w="1153" w:type="dxa"/>
            <w:tcBorders>
              <w:top w:val="nil"/>
              <w:left w:val="nil"/>
              <w:bottom w:val="nil"/>
              <w:right w:val="nil"/>
            </w:tcBorders>
            <w:shd w:val="clear" w:color="auto" w:fill="auto"/>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1 (14.29)</w:t>
            </w:r>
          </w:p>
        </w:tc>
        <w:tc>
          <w:tcPr>
            <w:tcW w:w="1238" w:type="dxa"/>
            <w:tcBorders>
              <w:top w:val="nil"/>
              <w:left w:val="nil"/>
              <w:bottom w:val="nil"/>
              <w:right w:val="nil"/>
            </w:tcBorders>
            <w:shd w:val="clear" w:color="auto" w:fill="auto"/>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0.295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3" w:hRule="atLeast"/>
        </w:trPr>
        <w:tc>
          <w:tcPr>
            <w:tcW w:w="2315"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Organ failure</w:t>
            </w:r>
          </w:p>
        </w:tc>
        <w:tc>
          <w:tcPr>
            <w:tcW w:w="1290"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47 (54.0)</w:t>
            </w:r>
          </w:p>
        </w:tc>
        <w:tc>
          <w:tcPr>
            <w:tcW w:w="1215"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0.465</w:t>
            </w:r>
          </w:p>
        </w:tc>
        <w:tc>
          <w:tcPr>
            <w:tcW w:w="240"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p>
        </w:tc>
        <w:tc>
          <w:tcPr>
            <w:tcW w:w="1594"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23 (62.16)</w:t>
            </w:r>
          </w:p>
        </w:tc>
        <w:tc>
          <w:tcPr>
            <w:tcW w:w="965"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0.464</w:t>
            </w:r>
          </w:p>
        </w:tc>
        <w:tc>
          <w:tcPr>
            <w:tcW w:w="240"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p>
        </w:tc>
        <w:tc>
          <w:tcPr>
            <w:tcW w:w="1266"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18 (66.67)</w:t>
            </w:r>
          </w:p>
        </w:tc>
        <w:tc>
          <w:tcPr>
            <w:tcW w:w="982"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0.264</w:t>
            </w:r>
          </w:p>
        </w:tc>
        <w:tc>
          <w:tcPr>
            <w:tcW w:w="240"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p>
        </w:tc>
        <w:tc>
          <w:tcPr>
            <w:tcW w:w="1371"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13 (50.00)</w:t>
            </w:r>
          </w:p>
        </w:tc>
        <w:tc>
          <w:tcPr>
            <w:tcW w:w="1222"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0.448</w:t>
            </w:r>
          </w:p>
        </w:tc>
        <w:tc>
          <w:tcPr>
            <w:tcW w:w="240"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p>
        </w:tc>
        <w:tc>
          <w:tcPr>
            <w:tcW w:w="1153"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7 (100.0)</w:t>
            </w:r>
          </w:p>
        </w:tc>
        <w:tc>
          <w:tcPr>
            <w:tcW w:w="1238"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0.019*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3" w:hRule="atLeast"/>
        </w:trPr>
        <w:tc>
          <w:tcPr>
            <w:tcW w:w="2315"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220" w:leftChars="100" w:right="0"/>
              <w:jc w:val="left"/>
              <w:rPr>
                <w:rFonts w:hint="default" w:ascii="Times New Roman" w:hAnsi="Times New Roman" w:cs="Times New Roman"/>
              </w:rPr>
            </w:pPr>
            <w:r>
              <w:rPr>
                <w:rFonts w:hint="default" w:ascii="Times New Roman" w:hAnsi="Times New Roman" w:cs="Times New Roman"/>
              </w:rPr>
              <w:t>Heart failure</w:t>
            </w:r>
          </w:p>
        </w:tc>
        <w:tc>
          <w:tcPr>
            <w:tcW w:w="1290"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27 (31.0)</w:t>
            </w:r>
          </w:p>
        </w:tc>
        <w:tc>
          <w:tcPr>
            <w:tcW w:w="1215"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0.283</w:t>
            </w:r>
          </w:p>
        </w:tc>
        <w:tc>
          <w:tcPr>
            <w:tcW w:w="240"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p>
        </w:tc>
        <w:tc>
          <w:tcPr>
            <w:tcW w:w="1594"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6 (16.22)</w:t>
            </w:r>
          </w:p>
        </w:tc>
        <w:tc>
          <w:tcPr>
            <w:tcW w:w="965"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0.090</w:t>
            </w:r>
          </w:p>
        </w:tc>
        <w:tc>
          <w:tcPr>
            <w:tcW w:w="240"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p>
        </w:tc>
        <w:tc>
          <w:tcPr>
            <w:tcW w:w="1266"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10 (37.04)</w:t>
            </w:r>
          </w:p>
        </w:tc>
        <w:tc>
          <w:tcPr>
            <w:tcW w:w="982"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0.220</w:t>
            </w:r>
          </w:p>
        </w:tc>
        <w:tc>
          <w:tcPr>
            <w:tcW w:w="240"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p>
        </w:tc>
        <w:tc>
          <w:tcPr>
            <w:tcW w:w="1371"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7 (26.92)</w:t>
            </w:r>
          </w:p>
        </w:tc>
        <w:tc>
          <w:tcPr>
            <w:tcW w:w="1222"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0.961</w:t>
            </w:r>
          </w:p>
        </w:tc>
        <w:tc>
          <w:tcPr>
            <w:tcW w:w="240"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p>
        </w:tc>
        <w:tc>
          <w:tcPr>
            <w:tcW w:w="1153"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3 (42.86)</w:t>
            </w:r>
          </w:p>
        </w:tc>
        <w:tc>
          <w:tcPr>
            <w:tcW w:w="1238"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0.347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3" w:hRule="atLeast"/>
        </w:trPr>
        <w:tc>
          <w:tcPr>
            <w:tcW w:w="2315"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220" w:leftChars="100" w:right="0"/>
              <w:jc w:val="left"/>
              <w:rPr>
                <w:rFonts w:hint="default" w:ascii="Times New Roman" w:hAnsi="Times New Roman" w:cs="Times New Roman"/>
              </w:rPr>
            </w:pPr>
            <w:r>
              <w:rPr>
                <w:rFonts w:hint="default" w:ascii="Times New Roman" w:hAnsi="Times New Roman" w:cs="Times New Roman"/>
              </w:rPr>
              <w:t>Respiratory failure</w:t>
            </w:r>
          </w:p>
        </w:tc>
        <w:tc>
          <w:tcPr>
            <w:tcW w:w="1290"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25 (28.7)</w:t>
            </w:r>
          </w:p>
        </w:tc>
        <w:tc>
          <w:tcPr>
            <w:tcW w:w="1215"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0.068</w:t>
            </w:r>
          </w:p>
        </w:tc>
        <w:tc>
          <w:tcPr>
            <w:tcW w:w="240"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p>
        </w:tc>
        <w:tc>
          <w:tcPr>
            <w:tcW w:w="1594"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17 (45.95)</w:t>
            </w:r>
          </w:p>
        </w:tc>
        <w:tc>
          <w:tcPr>
            <w:tcW w:w="965"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0.138</w:t>
            </w:r>
          </w:p>
        </w:tc>
        <w:tc>
          <w:tcPr>
            <w:tcW w:w="240"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p>
        </w:tc>
        <w:tc>
          <w:tcPr>
            <w:tcW w:w="1266"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16 (59.26)</w:t>
            </w:r>
          </w:p>
        </w:tc>
        <w:tc>
          <w:tcPr>
            <w:tcW w:w="982"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0.005**</w:t>
            </w:r>
          </w:p>
        </w:tc>
        <w:tc>
          <w:tcPr>
            <w:tcW w:w="240"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p>
        </w:tc>
        <w:tc>
          <w:tcPr>
            <w:tcW w:w="1371"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7 (26.92)</w:t>
            </w:r>
          </w:p>
        </w:tc>
        <w:tc>
          <w:tcPr>
            <w:tcW w:w="1222"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0.323</w:t>
            </w:r>
          </w:p>
        </w:tc>
        <w:tc>
          <w:tcPr>
            <w:tcW w:w="240"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p>
        </w:tc>
        <w:tc>
          <w:tcPr>
            <w:tcW w:w="1153"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1 (14.29)</w:t>
            </w:r>
          </w:p>
        </w:tc>
        <w:tc>
          <w:tcPr>
            <w:tcW w:w="1238"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0.231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3" w:hRule="atLeast"/>
        </w:trPr>
        <w:tc>
          <w:tcPr>
            <w:tcW w:w="2315"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220" w:leftChars="100" w:right="0"/>
              <w:jc w:val="left"/>
              <w:rPr>
                <w:rFonts w:hint="default" w:ascii="Times New Roman" w:hAnsi="Times New Roman" w:cs="Times New Roman"/>
              </w:rPr>
            </w:pPr>
            <w:r>
              <w:rPr>
                <w:rFonts w:hint="default" w:ascii="Times New Roman" w:hAnsi="Times New Roman" w:cs="Times New Roman"/>
              </w:rPr>
              <w:t>Renal failure</w:t>
            </w:r>
          </w:p>
        </w:tc>
        <w:tc>
          <w:tcPr>
            <w:tcW w:w="1290"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21 (24.1)</w:t>
            </w:r>
          </w:p>
        </w:tc>
        <w:tc>
          <w:tcPr>
            <w:tcW w:w="1215"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0.649</w:t>
            </w:r>
          </w:p>
        </w:tc>
        <w:tc>
          <w:tcPr>
            <w:tcW w:w="240"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p>
        </w:tc>
        <w:tc>
          <w:tcPr>
            <w:tcW w:w="1594"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10 (27.03)</w:t>
            </w:r>
          </w:p>
        </w:tc>
        <w:tc>
          <w:tcPr>
            <w:tcW w:w="965"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0.834</w:t>
            </w:r>
          </w:p>
        </w:tc>
        <w:tc>
          <w:tcPr>
            <w:tcW w:w="240"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p>
        </w:tc>
        <w:tc>
          <w:tcPr>
            <w:tcW w:w="1266"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8 (29.63)</w:t>
            </w:r>
          </w:p>
        </w:tc>
        <w:tc>
          <w:tcPr>
            <w:tcW w:w="982"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0.611</w:t>
            </w:r>
          </w:p>
        </w:tc>
        <w:tc>
          <w:tcPr>
            <w:tcW w:w="240"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p>
        </w:tc>
        <w:tc>
          <w:tcPr>
            <w:tcW w:w="1371"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6 (23.08)</w:t>
            </w:r>
          </w:p>
        </w:tc>
        <w:tc>
          <w:tcPr>
            <w:tcW w:w="1222"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0.743</w:t>
            </w:r>
          </w:p>
        </w:tc>
        <w:tc>
          <w:tcPr>
            <w:tcW w:w="240"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p>
        </w:tc>
        <w:tc>
          <w:tcPr>
            <w:tcW w:w="1153"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6 (85.71)</w:t>
            </w:r>
          </w:p>
        </w:tc>
        <w:tc>
          <w:tcPr>
            <w:tcW w:w="1238"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&lt;0.001***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3" w:hRule="atLeast"/>
        </w:trPr>
        <w:tc>
          <w:tcPr>
            <w:tcW w:w="2315"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220" w:leftChars="100" w:right="0"/>
              <w:jc w:val="left"/>
              <w:rPr>
                <w:rFonts w:hint="default" w:ascii="Times New Roman" w:hAnsi="Times New Roman" w:cs="Times New Roman"/>
              </w:rPr>
            </w:pPr>
            <w:r>
              <w:rPr>
                <w:rFonts w:hint="default" w:ascii="Times New Roman" w:hAnsi="Times New Roman" w:cs="Times New Roman"/>
              </w:rPr>
              <w:t>Hepatic failure</w:t>
            </w:r>
          </w:p>
        </w:tc>
        <w:tc>
          <w:tcPr>
            <w:tcW w:w="1290"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6 (6.9)</w:t>
            </w:r>
          </w:p>
        </w:tc>
        <w:tc>
          <w:tcPr>
            <w:tcW w:w="1215"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0.631</w:t>
            </w:r>
          </w:p>
        </w:tc>
        <w:tc>
          <w:tcPr>
            <w:tcW w:w="240"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p>
        </w:tc>
        <w:tc>
          <w:tcPr>
            <w:tcW w:w="1594"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2 (5.41)</w:t>
            </w:r>
          </w:p>
        </w:tc>
        <w:tc>
          <w:tcPr>
            <w:tcW w:w="965"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0.862</w:t>
            </w:r>
          </w:p>
        </w:tc>
        <w:tc>
          <w:tcPr>
            <w:tcW w:w="240"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p>
        </w:tc>
        <w:tc>
          <w:tcPr>
            <w:tcW w:w="1266"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0 (0.00)</w:t>
            </w:r>
          </w:p>
        </w:tc>
        <w:tc>
          <w:tcPr>
            <w:tcW w:w="982"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0.155</w:t>
            </w:r>
          </w:p>
        </w:tc>
        <w:tc>
          <w:tcPr>
            <w:tcW w:w="240"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p>
        </w:tc>
        <w:tc>
          <w:tcPr>
            <w:tcW w:w="1371"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2 (7.69)</w:t>
            </w:r>
          </w:p>
        </w:tc>
        <w:tc>
          <w:tcPr>
            <w:tcW w:w="1222"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0.697</w:t>
            </w:r>
          </w:p>
        </w:tc>
        <w:tc>
          <w:tcPr>
            <w:tcW w:w="240"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p>
        </w:tc>
        <w:tc>
          <w:tcPr>
            <w:tcW w:w="1153"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1 (14.29)</w:t>
            </w:r>
          </w:p>
        </w:tc>
        <w:tc>
          <w:tcPr>
            <w:tcW w:w="1238"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0.348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1" w:hRule="atLeast"/>
        </w:trPr>
        <w:tc>
          <w:tcPr>
            <w:tcW w:w="2315" w:type="dxa"/>
            <w:tcBorders>
              <w:top w:val="nil"/>
              <w:left w:val="nil"/>
              <w:bottom w:val="nil"/>
              <w:right w:val="nil"/>
            </w:tcBorders>
            <w:shd w:val="clear" w:color="auto" w:fill="auto"/>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Other deep-seated bacterial infection</w:t>
            </w:r>
          </w:p>
        </w:tc>
        <w:tc>
          <w:tcPr>
            <w:tcW w:w="1290" w:type="dxa"/>
            <w:tcBorders>
              <w:top w:val="nil"/>
              <w:left w:val="nil"/>
              <w:bottom w:val="nil"/>
              <w:right w:val="nil"/>
            </w:tcBorders>
            <w:shd w:val="clear" w:color="auto" w:fill="auto"/>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38 (43.7)</w:t>
            </w:r>
          </w:p>
        </w:tc>
        <w:tc>
          <w:tcPr>
            <w:tcW w:w="1215" w:type="dxa"/>
            <w:tcBorders>
              <w:top w:val="nil"/>
              <w:left w:val="nil"/>
              <w:bottom w:val="nil"/>
              <w:right w:val="nil"/>
            </w:tcBorders>
            <w:shd w:val="clear" w:color="auto" w:fill="auto"/>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0.319</w:t>
            </w:r>
          </w:p>
        </w:tc>
        <w:tc>
          <w:tcPr>
            <w:tcW w:w="240" w:type="dxa"/>
            <w:tcBorders>
              <w:top w:val="nil"/>
              <w:left w:val="nil"/>
              <w:bottom w:val="nil"/>
              <w:right w:val="nil"/>
            </w:tcBorders>
            <w:shd w:val="clear" w:color="auto" w:fill="auto"/>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p>
        </w:tc>
        <w:tc>
          <w:tcPr>
            <w:tcW w:w="1594" w:type="dxa"/>
            <w:tcBorders>
              <w:top w:val="nil"/>
              <w:left w:val="nil"/>
              <w:bottom w:val="nil"/>
              <w:right w:val="nil"/>
            </w:tcBorders>
            <w:shd w:val="clear" w:color="auto" w:fill="auto"/>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20 (54.05)</w:t>
            </w:r>
          </w:p>
        </w:tc>
        <w:tc>
          <w:tcPr>
            <w:tcW w:w="965" w:type="dxa"/>
            <w:tcBorders>
              <w:top w:val="nil"/>
              <w:left w:val="nil"/>
              <w:bottom w:val="nil"/>
              <w:right w:val="nil"/>
            </w:tcBorders>
            <w:shd w:val="clear" w:color="auto" w:fill="auto"/>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0.374</w:t>
            </w:r>
          </w:p>
        </w:tc>
        <w:tc>
          <w:tcPr>
            <w:tcW w:w="240" w:type="dxa"/>
            <w:tcBorders>
              <w:top w:val="nil"/>
              <w:left w:val="nil"/>
              <w:bottom w:val="nil"/>
              <w:right w:val="nil"/>
            </w:tcBorders>
            <w:shd w:val="clear" w:color="auto" w:fill="auto"/>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p>
        </w:tc>
        <w:tc>
          <w:tcPr>
            <w:tcW w:w="1266" w:type="dxa"/>
            <w:tcBorders>
              <w:top w:val="nil"/>
              <w:left w:val="nil"/>
              <w:bottom w:val="nil"/>
              <w:right w:val="nil"/>
            </w:tcBorders>
            <w:shd w:val="clear" w:color="auto" w:fill="auto"/>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18 (66.67)</w:t>
            </w:r>
          </w:p>
        </w:tc>
        <w:tc>
          <w:tcPr>
            <w:tcW w:w="982" w:type="dxa"/>
            <w:tcBorders>
              <w:top w:val="nil"/>
              <w:left w:val="nil"/>
              <w:bottom w:val="nil"/>
              <w:right w:val="nil"/>
            </w:tcBorders>
            <w:shd w:val="clear" w:color="auto" w:fill="auto"/>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0.031*</w:t>
            </w:r>
          </w:p>
        </w:tc>
        <w:tc>
          <w:tcPr>
            <w:tcW w:w="240" w:type="dxa"/>
            <w:tcBorders>
              <w:top w:val="nil"/>
              <w:left w:val="nil"/>
              <w:bottom w:val="nil"/>
              <w:right w:val="nil"/>
            </w:tcBorders>
            <w:shd w:val="clear" w:color="auto" w:fill="auto"/>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p>
        </w:tc>
        <w:tc>
          <w:tcPr>
            <w:tcW w:w="1371" w:type="dxa"/>
            <w:tcBorders>
              <w:top w:val="nil"/>
              <w:left w:val="nil"/>
              <w:bottom w:val="nil"/>
              <w:right w:val="nil"/>
            </w:tcBorders>
            <w:shd w:val="clear" w:color="auto" w:fill="auto"/>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13 (50.00)</w:t>
            </w:r>
          </w:p>
        </w:tc>
        <w:tc>
          <w:tcPr>
            <w:tcW w:w="1222" w:type="dxa"/>
            <w:tcBorders>
              <w:top w:val="nil"/>
              <w:left w:val="nil"/>
              <w:bottom w:val="nil"/>
              <w:right w:val="nil"/>
            </w:tcBorders>
            <w:shd w:val="clear" w:color="auto" w:fill="auto"/>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0.786</w:t>
            </w:r>
          </w:p>
        </w:tc>
        <w:tc>
          <w:tcPr>
            <w:tcW w:w="240" w:type="dxa"/>
            <w:tcBorders>
              <w:top w:val="nil"/>
              <w:left w:val="nil"/>
              <w:bottom w:val="nil"/>
              <w:right w:val="nil"/>
            </w:tcBorders>
            <w:shd w:val="clear" w:color="auto" w:fill="auto"/>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p>
        </w:tc>
        <w:tc>
          <w:tcPr>
            <w:tcW w:w="1153" w:type="dxa"/>
            <w:tcBorders>
              <w:top w:val="nil"/>
              <w:left w:val="nil"/>
              <w:bottom w:val="nil"/>
              <w:right w:val="nil"/>
            </w:tcBorders>
            <w:shd w:val="clear" w:color="auto" w:fill="auto"/>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2 (28.57)</w:t>
            </w:r>
          </w:p>
        </w:tc>
        <w:tc>
          <w:tcPr>
            <w:tcW w:w="1238" w:type="dxa"/>
            <w:tcBorders>
              <w:top w:val="nil"/>
              <w:left w:val="nil"/>
              <w:bottom w:val="nil"/>
              <w:right w:val="nil"/>
            </w:tcBorders>
            <w:shd w:val="clear" w:color="auto" w:fill="auto"/>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0.305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9" w:hRule="atLeast"/>
        </w:trPr>
        <w:tc>
          <w:tcPr>
            <w:tcW w:w="2315"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 xml:space="preserve">Pancreatitis </w:t>
            </w:r>
          </w:p>
        </w:tc>
        <w:tc>
          <w:tcPr>
            <w:tcW w:w="1290"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4 (4.6)</w:t>
            </w:r>
          </w:p>
        </w:tc>
        <w:tc>
          <w:tcPr>
            <w:tcW w:w="1215"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0.849</w:t>
            </w:r>
          </w:p>
        </w:tc>
        <w:tc>
          <w:tcPr>
            <w:tcW w:w="240"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p>
        </w:tc>
        <w:tc>
          <w:tcPr>
            <w:tcW w:w="1594"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0 (0.00)</w:t>
            </w:r>
          </w:p>
        </w:tc>
        <w:tc>
          <w:tcPr>
            <w:tcW w:w="965"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0.121</w:t>
            </w:r>
          </w:p>
        </w:tc>
        <w:tc>
          <w:tcPr>
            <w:tcW w:w="240"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p>
        </w:tc>
        <w:tc>
          <w:tcPr>
            <w:tcW w:w="1266"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2 (7.41)</w:t>
            </w:r>
          </w:p>
        </w:tc>
        <w:tc>
          <w:tcPr>
            <w:tcW w:w="982"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0.517</w:t>
            </w:r>
          </w:p>
        </w:tc>
        <w:tc>
          <w:tcPr>
            <w:tcW w:w="240"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p>
        </w:tc>
        <w:tc>
          <w:tcPr>
            <w:tcW w:w="1371"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2 (7.69)</w:t>
            </w:r>
          </w:p>
        </w:tc>
        <w:tc>
          <w:tcPr>
            <w:tcW w:w="1222"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0.480</w:t>
            </w:r>
          </w:p>
        </w:tc>
        <w:tc>
          <w:tcPr>
            <w:tcW w:w="240"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p>
        </w:tc>
        <w:tc>
          <w:tcPr>
            <w:tcW w:w="1153"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1 (14.29)</w:t>
            </w:r>
          </w:p>
        </w:tc>
        <w:tc>
          <w:tcPr>
            <w:tcW w:w="1238"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0.243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3" w:hRule="atLeast"/>
        </w:trPr>
        <w:tc>
          <w:tcPr>
            <w:tcW w:w="2315" w:type="dxa"/>
            <w:tcBorders>
              <w:top w:val="nil"/>
              <w:left w:val="nil"/>
              <w:bottom w:val="nil"/>
              <w:right w:val="nil"/>
            </w:tcBorders>
            <w:shd w:val="clear" w:color="auto" w:fill="auto"/>
          </w:tcPr>
          <w:p>
            <w:pPr>
              <w:keepNext w:val="0"/>
              <w:keepLines w:val="0"/>
              <w:widowControl/>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Iatrogenic factors</w:t>
            </w:r>
          </w:p>
        </w:tc>
        <w:tc>
          <w:tcPr>
            <w:tcW w:w="1290" w:type="dxa"/>
            <w:tcBorders>
              <w:top w:val="nil"/>
              <w:left w:val="nil"/>
              <w:bottom w:val="nil"/>
              <w:right w:val="nil"/>
            </w:tcBorders>
            <w:shd w:val="clear" w:color="auto" w:fill="auto"/>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p>
        </w:tc>
        <w:tc>
          <w:tcPr>
            <w:tcW w:w="1215" w:type="dxa"/>
            <w:tcBorders>
              <w:top w:val="nil"/>
              <w:left w:val="nil"/>
              <w:bottom w:val="nil"/>
              <w:right w:val="nil"/>
            </w:tcBorders>
            <w:shd w:val="clear" w:color="auto" w:fill="auto"/>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p>
        </w:tc>
        <w:tc>
          <w:tcPr>
            <w:tcW w:w="240" w:type="dxa"/>
            <w:tcBorders>
              <w:top w:val="nil"/>
              <w:left w:val="nil"/>
              <w:bottom w:val="nil"/>
              <w:right w:val="nil"/>
            </w:tcBorders>
            <w:shd w:val="clear" w:color="auto" w:fill="auto"/>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p>
        </w:tc>
        <w:tc>
          <w:tcPr>
            <w:tcW w:w="1594" w:type="dxa"/>
            <w:tcBorders>
              <w:top w:val="nil"/>
              <w:left w:val="nil"/>
              <w:bottom w:val="nil"/>
              <w:right w:val="nil"/>
            </w:tcBorders>
            <w:shd w:val="clear" w:color="auto" w:fill="auto"/>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p>
        </w:tc>
        <w:tc>
          <w:tcPr>
            <w:tcW w:w="965" w:type="dxa"/>
            <w:tcBorders>
              <w:top w:val="nil"/>
              <w:left w:val="nil"/>
              <w:bottom w:val="nil"/>
              <w:right w:val="nil"/>
            </w:tcBorders>
            <w:shd w:val="clear" w:color="auto" w:fill="auto"/>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p>
        </w:tc>
        <w:tc>
          <w:tcPr>
            <w:tcW w:w="240" w:type="dxa"/>
            <w:tcBorders>
              <w:top w:val="nil"/>
              <w:left w:val="nil"/>
              <w:bottom w:val="nil"/>
              <w:right w:val="nil"/>
            </w:tcBorders>
            <w:shd w:val="clear" w:color="auto" w:fill="auto"/>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p>
        </w:tc>
        <w:tc>
          <w:tcPr>
            <w:tcW w:w="1266" w:type="dxa"/>
            <w:tcBorders>
              <w:top w:val="nil"/>
              <w:left w:val="nil"/>
              <w:bottom w:val="nil"/>
              <w:right w:val="nil"/>
            </w:tcBorders>
            <w:shd w:val="clear" w:color="auto" w:fill="auto"/>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p>
        </w:tc>
        <w:tc>
          <w:tcPr>
            <w:tcW w:w="982" w:type="dxa"/>
            <w:tcBorders>
              <w:top w:val="nil"/>
              <w:left w:val="nil"/>
              <w:bottom w:val="nil"/>
              <w:right w:val="nil"/>
            </w:tcBorders>
            <w:shd w:val="clear" w:color="auto" w:fill="auto"/>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p>
        </w:tc>
        <w:tc>
          <w:tcPr>
            <w:tcW w:w="240" w:type="dxa"/>
            <w:tcBorders>
              <w:top w:val="nil"/>
              <w:left w:val="nil"/>
              <w:bottom w:val="nil"/>
              <w:right w:val="nil"/>
            </w:tcBorders>
            <w:shd w:val="clear" w:color="auto" w:fill="auto"/>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p>
        </w:tc>
        <w:tc>
          <w:tcPr>
            <w:tcW w:w="1371" w:type="dxa"/>
            <w:tcBorders>
              <w:top w:val="nil"/>
              <w:left w:val="nil"/>
              <w:bottom w:val="nil"/>
              <w:right w:val="nil"/>
            </w:tcBorders>
            <w:shd w:val="clear" w:color="auto" w:fill="auto"/>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p>
        </w:tc>
        <w:tc>
          <w:tcPr>
            <w:tcW w:w="1222" w:type="dxa"/>
            <w:tcBorders>
              <w:top w:val="nil"/>
              <w:left w:val="nil"/>
              <w:bottom w:val="nil"/>
              <w:right w:val="nil"/>
            </w:tcBorders>
            <w:shd w:val="clear" w:color="auto" w:fill="auto"/>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p>
        </w:tc>
        <w:tc>
          <w:tcPr>
            <w:tcW w:w="240" w:type="dxa"/>
            <w:tcBorders>
              <w:top w:val="nil"/>
              <w:left w:val="nil"/>
              <w:bottom w:val="nil"/>
              <w:right w:val="nil"/>
            </w:tcBorders>
            <w:shd w:val="clear" w:color="auto" w:fill="auto"/>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p>
        </w:tc>
        <w:tc>
          <w:tcPr>
            <w:tcW w:w="1153" w:type="dxa"/>
            <w:tcBorders>
              <w:top w:val="nil"/>
              <w:left w:val="nil"/>
              <w:bottom w:val="nil"/>
              <w:right w:val="nil"/>
            </w:tcBorders>
            <w:shd w:val="clear" w:color="auto" w:fill="auto"/>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p>
        </w:tc>
        <w:tc>
          <w:tcPr>
            <w:tcW w:w="1238" w:type="dxa"/>
            <w:tcBorders>
              <w:top w:val="nil"/>
              <w:left w:val="nil"/>
              <w:bottom w:val="nil"/>
              <w:right w:val="nil"/>
            </w:tcBorders>
            <w:shd w:val="clear" w:color="auto" w:fill="auto"/>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0" w:hRule="atLeast"/>
        </w:trPr>
        <w:tc>
          <w:tcPr>
            <w:tcW w:w="2315" w:type="dxa"/>
            <w:tcBorders>
              <w:top w:val="nil"/>
              <w:left w:val="nil"/>
              <w:bottom w:val="nil"/>
              <w:right w:val="nil"/>
            </w:tcBorders>
          </w:tcPr>
          <w:p>
            <w:pPr>
              <w:keepNext w:val="0"/>
              <w:keepLines w:val="0"/>
              <w:widowControl w:val="0"/>
              <w:suppressLineNumbers w:val="0"/>
              <w:spacing w:before="0" w:beforeAutospacing="0" w:afterAutospacing="0"/>
              <w:ind w:left="220" w:leftChars="100" w:right="0"/>
              <w:jc w:val="both"/>
              <w:rPr>
                <w:rFonts w:hint="default" w:ascii="Times New Roman" w:hAnsi="Times New Roman" w:cs="Times New Roman"/>
              </w:rPr>
            </w:pPr>
            <w:r>
              <w:rPr>
                <w:rFonts w:hint="default" w:ascii="Times New Roman" w:hAnsi="Times New Roman" w:cs="Times New Roman"/>
              </w:rPr>
              <w:t>Long-term hospitalization (≥90 days)</w:t>
            </w:r>
          </w:p>
        </w:tc>
        <w:tc>
          <w:tcPr>
            <w:tcW w:w="1290" w:type="dxa"/>
            <w:tcBorders>
              <w:top w:val="nil"/>
              <w:left w:val="nil"/>
              <w:bottom w:val="nil"/>
              <w:right w:val="nil"/>
            </w:tcBorders>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11 (12.6)</w:t>
            </w:r>
          </w:p>
        </w:tc>
        <w:tc>
          <w:tcPr>
            <w:tcW w:w="1215" w:type="dxa"/>
            <w:tcBorders>
              <w:top w:val="nil"/>
              <w:left w:val="nil"/>
              <w:bottom w:val="nil"/>
              <w:right w:val="nil"/>
            </w:tcBorders>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0.015*</w:t>
            </w:r>
          </w:p>
        </w:tc>
        <w:tc>
          <w:tcPr>
            <w:tcW w:w="240" w:type="dxa"/>
            <w:tcBorders>
              <w:top w:val="nil"/>
              <w:left w:val="nil"/>
              <w:bottom w:val="nil"/>
              <w:right w:val="nil"/>
            </w:tcBorders>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p>
        </w:tc>
        <w:tc>
          <w:tcPr>
            <w:tcW w:w="1594" w:type="dxa"/>
            <w:tcBorders>
              <w:top w:val="nil"/>
              <w:left w:val="nil"/>
              <w:bottom w:val="nil"/>
              <w:right w:val="nil"/>
            </w:tcBorders>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12 (32.44)</w:t>
            </w:r>
          </w:p>
        </w:tc>
        <w:tc>
          <w:tcPr>
            <w:tcW w:w="965" w:type="dxa"/>
            <w:tcBorders>
              <w:top w:val="nil"/>
              <w:left w:val="nil"/>
              <w:bottom w:val="nil"/>
              <w:right w:val="nil"/>
            </w:tcBorders>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0.038*</w:t>
            </w:r>
          </w:p>
        </w:tc>
        <w:tc>
          <w:tcPr>
            <w:tcW w:w="240" w:type="dxa"/>
            <w:tcBorders>
              <w:top w:val="nil"/>
              <w:left w:val="nil"/>
              <w:bottom w:val="nil"/>
              <w:right w:val="nil"/>
            </w:tcBorders>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p>
        </w:tc>
        <w:tc>
          <w:tcPr>
            <w:tcW w:w="1266" w:type="dxa"/>
            <w:tcBorders>
              <w:top w:val="nil"/>
              <w:left w:val="nil"/>
              <w:bottom w:val="nil"/>
              <w:right w:val="nil"/>
            </w:tcBorders>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9 (33.33)</w:t>
            </w:r>
          </w:p>
        </w:tc>
        <w:tc>
          <w:tcPr>
            <w:tcW w:w="982" w:type="dxa"/>
            <w:tcBorders>
              <w:top w:val="nil"/>
              <w:left w:val="nil"/>
              <w:bottom w:val="nil"/>
              <w:right w:val="nil"/>
            </w:tcBorders>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0.066</w:t>
            </w:r>
          </w:p>
        </w:tc>
        <w:tc>
          <w:tcPr>
            <w:tcW w:w="240" w:type="dxa"/>
            <w:tcBorders>
              <w:top w:val="nil"/>
              <w:left w:val="nil"/>
              <w:bottom w:val="nil"/>
              <w:right w:val="nil"/>
            </w:tcBorders>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p>
        </w:tc>
        <w:tc>
          <w:tcPr>
            <w:tcW w:w="1371" w:type="dxa"/>
            <w:tcBorders>
              <w:top w:val="nil"/>
              <w:left w:val="nil"/>
              <w:bottom w:val="nil"/>
              <w:right w:val="nil"/>
            </w:tcBorders>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7 (26.92)</w:t>
            </w:r>
          </w:p>
        </w:tc>
        <w:tc>
          <w:tcPr>
            <w:tcW w:w="1222" w:type="dxa"/>
            <w:tcBorders>
              <w:top w:val="nil"/>
              <w:left w:val="nil"/>
              <w:bottom w:val="nil"/>
              <w:right w:val="nil"/>
            </w:tcBorders>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0.358</w:t>
            </w:r>
          </w:p>
        </w:tc>
        <w:tc>
          <w:tcPr>
            <w:tcW w:w="240" w:type="dxa"/>
            <w:tcBorders>
              <w:top w:val="nil"/>
              <w:left w:val="nil"/>
              <w:bottom w:val="nil"/>
              <w:right w:val="nil"/>
            </w:tcBorders>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p>
        </w:tc>
        <w:tc>
          <w:tcPr>
            <w:tcW w:w="1153" w:type="dxa"/>
            <w:tcBorders>
              <w:top w:val="nil"/>
              <w:left w:val="nil"/>
              <w:bottom w:val="nil"/>
              <w:right w:val="nil"/>
            </w:tcBorders>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0 (0.00)</w:t>
            </w:r>
          </w:p>
        </w:tc>
        <w:tc>
          <w:tcPr>
            <w:tcW w:w="1238" w:type="dxa"/>
            <w:tcBorders>
              <w:top w:val="nil"/>
              <w:left w:val="nil"/>
              <w:bottom w:val="nil"/>
              <w:right w:val="nil"/>
            </w:tcBorders>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0.174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3" w:hRule="atLeast"/>
        </w:trPr>
        <w:tc>
          <w:tcPr>
            <w:tcW w:w="2315" w:type="dxa"/>
            <w:tcBorders>
              <w:top w:val="nil"/>
              <w:left w:val="nil"/>
              <w:bottom w:val="nil"/>
              <w:right w:val="nil"/>
            </w:tcBorders>
            <w:shd w:val="clear" w:color="auto" w:fill="auto"/>
          </w:tcPr>
          <w:p>
            <w:pPr>
              <w:keepNext w:val="0"/>
              <w:keepLines w:val="0"/>
              <w:widowControl w:val="0"/>
              <w:suppressLineNumbers w:val="0"/>
              <w:spacing w:before="0" w:beforeAutospacing="0" w:afterAutospacing="0"/>
              <w:ind w:left="220" w:leftChars="100" w:right="0"/>
              <w:jc w:val="left"/>
              <w:rPr>
                <w:rFonts w:hint="default" w:ascii="Times New Roman" w:hAnsi="Times New Roman" w:cs="Times New Roman"/>
              </w:rPr>
            </w:pPr>
            <w:r>
              <w:rPr>
                <w:rFonts w:hint="default" w:ascii="Times New Roman" w:hAnsi="Times New Roman" w:cs="Times New Roman"/>
              </w:rPr>
              <w:t>ICU hospitalization</w:t>
            </w:r>
          </w:p>
        </w:tc>
        <w:tc>
          <w:tcPr>
            <w:tcW w:w="1290" w:type="dxa"/>
            <w:tcBorders>
              <w:top w:val="nil"/>
              <w:left w:val="nil"/>
              <w:bottom w:val="nil"/>
              <w:right w:val="nil"/>
            </w:tcBorders>
            <w:shd w:val="clear" w:color="auto" w:fill="auto"/>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39 (44.8)</w:t>
            </w:r>
          </w:p>
        </w:tc>
        <w:tc>
          <w:tcPr>
            <w:tcW w:w="1215" w:type="dxa"/>
            <w:tcBorders>
              <w:top w:val="nil"/>
              <w:left w:val="nil"/>
              <w:bottom w:val="nil"/>
              <w:right w:val="nil"/>
            </w:tcBorders>
            <w:shd w:val="clear" w:color="auto" w:fill="auto"/>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0.666</w:t>
            </w:r>
          </w:p>
        </w:tc>
        <w:tc>
          <w:tcPr>
            <w:tcW w:w="240" w:type="dxa"/>
            <w:tcBorders>
              <w:top w:val="nil"/>
              <w:left w:val="nil"/>
              <w:bottom w:val="nil"/>
              <w:right w:val="nil"/>
            </w:tcBorders>
            <w:shd w:val="clear" w:color="auto" w:fill="auto"/>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p>
        </w:tc>
        <w:tc>
          <w:tcPr>
            <w:tcW w:w="1594" w:type="dxa"/>
            <w:tcBorders>
              <w:top w:val="nil"/>
              <w:left w:val="nil"/>
              <w:bottom w:val="nil"/>
              <w:right w:val="nil"/>
            </w:tcBorders>
            <w:shd w:val="clear" w:color="auto" w:fill="auto"/>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20 (54.1)</w:t>
            </w:r>
          </w:p>
        </w:tc>
        <w:tc>
          <w:tcPr>
            <w:tcW w:w="965" w:type="dxa"/>
            <w:tcBorders>
              <w:top w:val="nil"/>
              <w:left w:val="nil"/>
              <w:bottom w:val="nil"/>
              <w:right w:val="nil"/>
            </w:tcBorders>
            <w:shd w:val="clear" w:color="auto" w:fill="auto"/>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0.135</w:t>
            </w:r>
          </w:p>
        </w:tc>
        <w:tc>
          <w:tcPr>
            <w:tcW w:w="240" w:type="dxa"/>
            <w:tcBorders>
              <w:top w:val="nil"/>
              <w:left w:val="nil"/>
              <w:bottom w:val="nil"/>
              <w:right w:val="nil"/>
            </w:tcBorders>
            <w:shd w:val="clear" w:color="auto" w:fill="auto"/>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p>
        </w:tc>
        <w:tc>
          <w:tcPr>
            <w:tcW w:w="1266" w:type="dxa"/>
            <w:tcBorders>
              <w:top w:val="nil"/>
              <w:left w:val="nil"/>
              <w:bottom w:val="nil"/>
              <w:right w:val="nil"/>
            </w:tcBorders>
            <w:shd w:val="clear" w:color="auto" w:fill="auto"/>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17 (63.0)</w:t>
            </w:r>
          </w:p>
        </w:tc>
        <w:tc>
          <w:tcPr>
            <w:tcW w:w="982" w:type="dxa"/>
            <w:tcBorders>
              <w:top w:val="nil"/>
              <w:left w:val="nil"/>
              <w:bottom w:val="nil"/>
              <w:right w:val="nil"/>
            </w:tcBorders>
            <w:shd w:val="clear" w:color="auto" w:fill="auto"/>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0.025*</w:t>
            </w:r>
          </w:p>
        </w:tc>
        <w:tc>
          <w:tcPr>
            <w:tcW w:w="240" w:type="dxa"/>
            <w:tcBorders>
              <w:top w:val="nil"/>
              <w:left w:val="nil"/>
              <w:bottom w:val="nil"/>
              <w:right w:val="nil"/>
            </w:tcBorders>
            <w:shd w:val="clear" w:color="auto" w:fill="auto"/>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p>
        </w:tc>
        <w:tc>
          <w:tcPr>
            <w:tcW w:w="1371" w:type="dxa"/>
            <w:tcBorders>
              <w:top w:val="nil"/>
              <w:left w:val="nil"/>
              <w:bottom w:val="nil"/>
              <w:right w:val="nil"/>
            </w:tcBorders>
            <w:shd w:val="clear" w:color="auto" w:fill="auto"/>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3 (11.5)</w:t>
            </w:r>
          </w:p>
        </w:tc>
        <w:tc>
          <w:tcPr>
            <w:tcW w:w="1222" w:type="dxa"/>
            <w:tcBorders>
              <w:top w:val="nil"/>
              <w:left w:val="nil"/>
              <w:bottom w:val="nil"/>
              <w:right w:val="nil"/>
            </w:tcBorders>
            <w:shd w:val="clear" w:color="auto" w:fill="auto"/>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&lt;0.001***</w:t>
            </w:r>
          </w:p>
        </w:tc>
        <w:tc>
          <w:tcPr>
            <w:tcW w:w="240" w:type="dxa"/>
            <w:tcBorders>
              <w:top w:val="nil"/>
              <w:left w:val="nil"/>
              <w:bottom w:val="nil"/>
              <w:right w:val="nil"/>
            </w:tcBorders>
            <w:shd w:val="clear" w:color="auto" w:fill="auto"/>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p>
        </w:tc>
        <w:tc>
          <w:tcPr>
            <w:tcW w:w="1153" w:type="dxa"/>
            <w:tcBorders>
              <w:top w:val="nil"/>
              <w:left w:val="nil"/>
              <w:bottom w:val="nil"/>
              <w:right w:val="nil"/>
            </w:tcBorders>
            <w:shd w:val="clear" w:color="auto" w:fill="auto"/>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2 (28.6)</w:t>
            </w:r>
          </w:p>
        </w:tc>
        <w:tc>
          <w:tcPr>
            <w:tcW w:w="1238" w:type="dxa"/>
            <w:tcBorders>
              <w:top w:val="nil"/>
              <w:left w:val="nil"/>
              <w:bottom w:val="nil"/>
              <w:right w:val="nil"/>
            </w:tcBorders>
            <w:shd w:val="clear" w:color="auto" w:fill="auto"/>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0.427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3" w:hRule="atLeast"/>
        </w:trPr>
        <w:tc>
          <w:tcPr>
            <w:tcW w:w="2315" w:type="dxa"/>
            <w:tcBorders>
              <w:top w:val="nil"/>
              <w:left w:val="nil"/>
              <w:bottom w:val="nil"/>
              <w:right w:val="nil"/>
            </w:tcBorders>
            <w:shd w:val="clear" w:color="auto" w:fill="auto"/>
          </w:tcPr>
          <w:p>
            <w:pPr>
              <w:keepNext w:val="0"/>
              <w:keepLines w:val="0"/>
              <w:widowControl w:val="0"/>
              <w:suppressLineNumbers w:val="0"/>
              <w:spacing w:before="0" w:beforeAutospacing="0" w:afterAutospacing="0"/>
              <w:ind w:left="220" w:leftChars="100" w:right="0"/>
              <w:jc w:val="left"/>
              <w:rPr>
                <w:rFonts w:hint="default" w:ascii="Times New Roman" w:hAnsi="Times New Roman" w:cs="Times New Roman"/>
              </w:rPr>
            </w:pPr>
            <w:r>
              <w:rPr>
                <w:rFonts w:hint="default" w:ascii="Times New Roman" w:hAnsi="Times New Roman" w:cs="Times New Roman"/>
              </w:rPr>
              <w:t xml:space="preserve">Hematodialysis </w:t>
            </w:r>
          </w:p>
        </w:tc>
        <w:tc>
          <w:tcPr>
            <w:tcW w:w="1290" w:type="dxa"/>
            <w:tcBorders>
              <w:top w:val="nil"/>
              <w:left w:val="nil"/>
              <w:bottom w:val="nil"/>
              <w:right w:val="nil"/>
            </w:tcBorders>
            <w:shd w:val="clear" w:color="auto" w:fill="auto"/>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5 (5.7)</w:t>
            </w:r>
          </w:p>
        </w:tc>
        <w:tc>
          <w:tcPr>
            <w:tcW w:w="1215" w:type="dxa"/>
            <w:tcBorders>
              <w:top w:val="nil"/>
              <w:left w:val="nil"/>
              <w:bottom w:val="nil"/>
              <w:right w:val="nil"/>
            </w:tcBorders>
            <w:shd w:val="clear" w:color="auto" w:fill="auto"/>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0.356</w:t>
            </w:r>
          </w:p>
        </w:tc>
        <w:tc>
          <w:tcPr>
            <w:tcW w:w="240" w:type="dxa"/>
            <w:tcBorders>
              <w:top w:val="nil"/>
              <w:left w:val="nil"/>
              <w:bottom w:val="nil"/>
              <w:right w:val="nil"/>
            </w:tcBorders>
            <w:shd w:val="clear" w:color="auto" w:fill="auto"/>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p>
        </w:tc>
        <w:tc>
          <w:tcPr>
            <w:tcW w:w="1594" w:type="dxa"/>
            <w:tcBorders>
              <w:top w:val="nil"/>
              <w:left w:val="nil"/>
              <w:bottom w:val="nil"/>
              <w:right w:val="nil"/>
            </w:tcBorders>
            <w:shd w:val="clear" w:color="auto" w:fill="auto"/>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5 (13.51)</w:t>
            </w:r>
          </w:p>
        </w:tc>
        <w:tc>
          <w:tcPr>
            <w:tcW w:w="965" w:type="dxa"/>
            <w:tcBorders>
              <w:top w:val="nil"/>
              <w:left w:val="nil"/>
              <w:bottom w:val="nil"/>
              <w:right w:val="nil"/>
            </w:tcBorders>
            <w:shd w:val="clear" w:color="auto" w:fill="auto"/>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0.133</w:t>
            </w:r>
          </w:p>
        </w:tc>
        <w:tc>
          <w:tcPr>
            <w:tcW w:w="240" w:type="dxa"/>
            <w:tcBorders>
              <w:top w:val="nil"/>
              <w:left w:val="nil"/>
              <w:bottom w:val="nil"/>
              <w:right w:val="nil"/>
            </w:tcBorders>
            <w:shd w:val="clear" w:color="auto" w:fill="auto"/>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p>
        </w:tc>
        <w:tc>
          <w:tcPr>
            <w:tcW w:w="1266" w:type="dxa"/>
            <w:tcBorders>
              <w:top w:val="nil"/>
              <w:left w:val="nil"/>
              <w:bottom w:val="nil"/>
              <w:right w:val="nil"/>
            </w:tcBorders>
            <w:shd w:val="clear" w:color="auto" w:fill="auto"/>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2 (7.41)</w:t>
            </w:r>
          </w:p>
        </w:tc>
        <w:tc>
          <w:tcPr>
            <w:tcW w:w="982" w:type="dxa"/>
            <w:tcBorders>
              <w:top w:val="nil"/>
              <w:left w:val="nil"/>
              <w:bottom w:val="nil"/>
              <w:right w:val="nil"/>
            </w:tcBorders>
            <w:shd w:val="clear" w:color="auto" w:fill="auto"/>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0.959</w:t>
            </w:r>
          </w:p>
        </w:tc>
        <w:tc>
          <w:tcPr>
            <w:tcW w:w="240" w:type="dxa"/>
            <w:tcBorders>
              <w:top w:val="nil"/>
              <w:left w:val="nil"/>
              <w:bottom w:val="nil"/>
              <w:right w:val="nil"/>
            </w:tcBorders>
            <w:shd w:val="clear" w:color="auto" w:fill="auto"/>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p>
        </w:tc>
        <w:tc>
          <w:tcPr>
            <w:tcW w:w="1371" w:type="dxa"/>
            <w:tcBorders>
              <w:top w:val="nil"/>
              <w:left w:val="nil"/>
              <w:bottom w:val="nil"/>
              <w:right w:val="nil"/>
            </w:tcBorders>
            <w:shd w:val="clear" w:color="auto" w:fill="auto"/>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4 (15.38)</w:t>
            </w:r>
          </w:p>
        </w:tc>
        <w:tc>
          <w:tcPr>
            <w:tcW w:w="1222" w:type="dxa"/>
            <w:tcBorders>
              <w:top w:val="nil"/>
              <w:left w:val="nil"/>
              <w:bottom w:val="nil"/>
              <w:right w:val="nil"/>
            </w:tcBorders>
            <w:shd w:val="clear" w:color="auto" w:fill="auto"/>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0.109</w:t>
            </w:r>
          </w:p>
        </w:tc>
        <w:tc>
          <w:tcPr>
            <w:tcW w:w="240" w:type="dxa"/>
            <w:tcBorders>
              <w:top w:val="nil"/>
              <w:left w:val="nil"/>
              <w:bottom w:val="nil"/>
              <w:right w:val="nil"/>
            </w:tcBorders>
            <w:shd w:val="clear" w:color="auto" w:fill="auto"/>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p>
        </w:tc>
        <w:tc>
          <w:tcPr>
            <w:tcW w:w="1153" w:type="dxa"/>
            <w:tcBorders>
              <w:top w:val="nil"/>
              <w:left w:val="nil"/>
              <w:bottom w:val="nil"/>
              <w:right w:val="nil"/>
            </w:tcBorders>
            <w:shd w:val="clear" w:color="auto" w:fill="auto"/>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0 (0.00)</w:t>
            </w:r>
          </w:p>
        </w:tc>
        <w:tc>
          <w:tcPr>
            <w:tcW w:w="1238" w:type="dxa"/>
            <w:tcBorders>
              <w:top w:val="nil"/>
              <w:left w:val="nil"/>
              <w:bottom w:val="nil"/>
              <w:right w:val="nil"/>
            </w:tcBorders>
            <w:shd w:val="clear" w:color="auto" w:fill="auto"/>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0.437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3" w:hRule="atLeast"/>
        </w:trPr>
        <w:tc>
          <w:tcPr>
            <w:tcW w:w="2315" w:type="dxa"/>
            <w:tcBorders>
              <w:top w:val="nil"/>
              <w:left w:val="nil"/>
              <w:bottom w:val="nil"/>
              <w:right w:val="nil"/>
            </w:tcBorders>
            <w:shd w:val="clear" w:color="auto" w:fill="auto"/>
          </w:tcPr>
          <w:p>
            <w:pPr>
              <w:keepNext w:val="0"/>
              <w:keepLines w:val="0"/>
              <w:widowControl w:val="0"/>
              <w:suppressLineNumbers w:val="0"/>
              <w:spacing w:before="0" w:beforeAutospacing="0" w:afterAutospacing="0"/>
              <w:ind w:left="220" w:leftChars="100" w:right="0"/>
              <w:jc w:val="left"/>
              <w:rPr>
                <w:rFonts w:hint="default" w:ascii="Times New Roman" w:hAnsi="Times New Roman" w:cs="Times New Roman"/>
              </w:rPr>
            </w:pPr>
            <w:r>
              <w:rPr>
                <w:rFonts w:hint="default" w:ascii="Times New Roman" w:hAnsi="Times New Roman" w:cs="Times New Roman"/>
              </w:rPr>
              <w:t>Long-term use of broad spectrum antibiotics</w:t>
            </w:r>
          </w:p>
        </w:tc>
        <w:tc>
          <w:tcPr>
            <w:tcW w:w="1290" w:type="dxa"/>
            <w:tcBorders>
              <w:top w:val="nil"/>
              <w:left w:val="nil"/>
              <w:bottom w:val="nil"/>
              <w:right w:val="nil"/>
            </w:tcBorders>
            <w:shd w:val="clear" w:color="auto" w:fill="auto"/>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24 (27.6)</w:t>
            </w:r>
          </w:p>
        </w:tc>
        <w:tc>
          <w:tcPr>
            <w:tcW w:w="1215" w:type="dxa"/>
            <w:tcBorders>
              <w:top w:val="nil"/>
              <w:left w:val="nil"/>
              <w:bottom w:val="nil"/>
              <w:right w:val="nil"/>
            </w:tcBorders>
            <w:shd w:val="clear" w:color="auto" w:fill="auto"/>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&lt;0.001***</w:t>
            </w:r>
          </w:p>
        </w:tc>
        <w:tc>
          <w:tcPr>
            <w:tcW w:w="240" w:type="dxa"/>
            <w:tcBorders>
              <w:top w:val="nil"/>
              <w:left w:val="nil"/>
              <w:bottom w:val="nil"/>
              <w:right w:val="nil"/>
            </w:tcBorders>
            <w:shd w:val="clear" w:color="auto" w:fill="auto"/>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p>
        </w:tc>
        <w:tc>
          <w:tcPr>
            <w:tcW w:w="1594" w:type="dxa"/>
            <w:tcBorders>
              <w:top w:val="nil"/>
              <w:left w:val="nil"/>
              <w:bottom w:val="nil"/>
              <w:right w:val="nil"/>
            </w:tcBorders>
            <w:shd w:val="clear" w:color="auto" w:fill="auto"/>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22 (59.46)</w:t>
            </w:r>
          </w:p>
        </w:tc>
        <w:tc>
          <w:tcPr>
            <w:tcW w:w="965" w:type="dxa"/>
            <w:tcBorders>
              <w:top w:val="nil"/>
              <w:left w:val="nil"/>
              <w:bottom w:val="nil"/>
              <w:right w:val="nil"/>
            </w:tcBorders>
            <w:shd w:val="clear" w:color="auto" w:fill="auto"/>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0.013*</w:t>
            </w:r>
          </w:p>
        </w:tc>
        <w:tc>
          <w:tcPr>
            <w:tcW w:w="240" w:type="dxa"/>
            <w:tcBorders>
              <w:top w:val="nil"/>
              <w:left w:val="nil"/>
              <w:bottom w:val="nil"/>
              <w:right w:val="nil"/>
            </w:tcBorders>
            <w:shd w:val="clear" w:color="auto" w:fill="auto"/>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p>
        </w:tc>
        <w:tc>
          <w:tcPr>
            <w:tcW w:w="1266" w:type="dxa"/>
            <w:tcBorders>
              <w:top w:val="nil"/>
              <w:left w:val="nil"/>
              <w:bottom w:val="nil"/>
              <w:right w:val="nil"/>
            </w:tcBorders>
            <w:shd w:val="clear" w:color="auto" w:fill="auto"/>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16 (59.26)</w:t>
            </w:r>
          </w:p>
        </w:tc>
        <w:tc>
          <w:tcPr>
            <w:tcW w:w="982" w:type="dxa"/>
            <w:tcBorders>
              <w:top w:val="nil"/>
              <w:left w:val="nil"/>
              <w:bottom w:val="nil"/>
              <w:right w:val="nil"/>
            </w:tcBorders>
            <w:shd w:val="clear" w:color="auto" w:fill="auto"/>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0.043</w:t>
            </w:r>
          </w:p>
        </w:tc>
        <w:tc>
          <w:tcPr>
            <w:tcW w:w="240" w:type="dxa"/>
            <w:tcBorders>
              <w:top w:val="nil"/>
              <w:left w:val="nil"/>
              <w:bottom w:val="nil"/>
              <w:right w:val="nil"/>
            </w:tcBorders>
            <w:shd w:val="clear" w:color="auto" w:fill="auto"/>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p>
        </w:tc>
        <w:tc>
          <w:tcPr>
            <w:tcW w:w="1371" w:type="dxa"/>
            <w:tcBorders>
              <w:top w:val="nil"/>
              <w:left w:val="nil"/>
              <w:bottom w:val="nil"/>
              <w:right w:val="nil"/>
            </w:tcBorders>
            <w:shd w:val="clear" w:color="auto" w:fill="auto"/>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12 (46.15)</w:t>
            </w:r>
          </w:p>
        </w:tc>
        <w:tc>
          <w:tcPr>
            <w:tcW w:w="1222" w:type="dxa"/>
            <w:tcBorders>
              <w:top w:val="nil"/>
              <w:left w:val="nil"/>
              <w:bottom w:val="nil"/>
              <w:right w:val="nil"/>
            </w:tcBorders>
            <w:shd w:val="clear" w:color="auto" w:fill="auto"/>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0.605</w:t>
            </w:r>
          </w:p>
        </w:tc>
        <w:tc>
          <w:tcPr>
            <w:tcW w:w="240" w:type="dxa"/>
            <w:tcBorders>
              <w:top w:val="nil"/>
              <w:left w:val="nil"/>
              <w:bottom w:val="nil"/>
              <w:right w:val="nil"/>
            </w:tcBorders>
            <w:shd w:val="clear" w:color="auto" w:fill="auto"/>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p>
        </w:tc>
        <w:tc>
          <w:tcPr>
            <w:tcW w:w="1153" w:type="dxa"/>
            <w:tcBorders>
              <w:top w:val="nil"/>
              <w:left w:val="nil"/>
              <w:bottom w:val="nil"/>
              <w:right w:val="nil"/>
            </w:tcBorders>
            <w:shd w:val="clear" w:color="auto" w:fill="auto"/>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2 (28.57)</w:t>
            </w:r>
          </w:p>
        </w:tc>
        <w:tc>
          <w:tcPr>
            <w:tcW w:w="1238" w:type="dxa"/>
            <w:tcBorders>
              <w:top w:val="nil"/>
              <w:left w:val="nil"/>
              <w:bottom w:val="nil"/>
              <w:right w:val="nil"/>
            </w:tcBorders>
            <w:shd w:val="clear" w:color="auto" w:fill="auto"/>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0.478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1" w:hRule="atLeast"/>
        </w:trPr>
        <w:tc>
          <w:tcPr>
            <w:tcW w:w="2315" w:type="dxa"/>
            <w:tcBorders>
              <w:top w:val="nil"/>
              <w:left w:val="nil"/>
              <w:bottom w:val="nil"/>
              <w:right w:val="nil"/>
            </w:tcBorders>
            <w:shd w:val="clear" w:color="auto" w:fill="auto"/>
          </w:tcPr>
          <w:p>
            <w:pPr>
              <w:keepNext w:val="0"/>
              <w:keepLines w:val="0"/>
              <w:widowControl w:val="0"/>
              <w:suppressLineNumbers w:val="0"/>
              <w:spacing w:before="0" w:beforeAutospacing="0" w:afterAutospacing="0"/>
              <w:ind w:left="220" w:leftChars="100" w:right="0"/>
              <w:jc w:val="left"/>
              <w:rPr>
                <w:rFonts w:hint="default" w:ascii="Times New Roman" w:hAnsi="Times New Roman" w:cs="Times New Roman"/>
              </w:rPr>
            </w:pPr>
            <w:r>
              <w:rPr>
                <w:rFonts w:hint="default" w:ascii="Times New Roman" w:hAnsi="Times New Roman" w:cs="Times New Roman"/>
              </w:rPr>
              <w:t>Corticosteroids/ immunosuppressant</w:t>
            </w:r>
          </w:p>
        </w:tc>
        <w:tc>
          <w:tcPr>
            <w:tcW w:w="1290" w:type="dxa"/>
            <w:tcBorders>
              <w:top w:val="nil"/>
              <w:left w:val="nil"/>
              <w:bottom w:val="nil"/>
              <w:right w:val="nil"/>
            </w:tcBorders>
            <w:shd w:val="clear" w:color="auto" w:fill="auto"/>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7 (8.0)</w:t>
            </w:r>
          </w:p>
        </w:tc>
        <w:tc>
          <w:tcPr>
            <w:tcW w:w="1215" w:type="dxa"/>
            <w:tcBorders>
              <w:top w:val="nil"/>
              <w:left w:val="nil"/>
              <w:bottom w:val="nil"/>
              <w:right w:val="nil"/>
            </w:tcBorders>
            <w:shd w:val="clear" w:color="auto" w:fill="auto"/>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0.234</w:t>
            </w:r>
          </w:p>
        </w:tc>
        <w:tc>
          <w:tcPr>
            <w:tcW w:w="240" w:type="dxa"/>
            <w:tcBorders>
              <w:top w:val="nil"/>
              <w:left w:val="nil"/>
              <w:bottom w:val="nil"/>
              <w:right w:val="nil"/>
            </w:tcBorders>
            <w:shd w:val="clear" w:color="auto" w:fill="auto"/>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p>
        </w:tc>
        <w:tc>
          <w:tcPr>
            <w:tcW w:w="1594" w:type="dxa"/>
            <w:tcBorders>
              <w:top w:val="nil"/>
              <w:left w:val="nil"/>
              <w:bottom w:val="nil"/>
              <w:right w:val="nil"/>
            </w:tcBorders>
            <w:shd w:val="clear" w:color="auto" w:fill="auto"/>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2 (5.41)</w:t>
            </w:r>
          </w:p>
        </w:tc>
        <w:tc>
          <w:tcPr>
            <w:tcW w:w="965" w:type="dxa"/>
            <w:tcBorders>
              <w:top w:val="nil"/>
              <w:left w:val="nil"/>
              <w:bottom w:val="nil"/>
              <w:right w:val="nil"/>
            </w:tcBorders>
            <w:shd w:val="clear" w:color="auto" w:fill="auto"/>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0.228</w:t>
            </w:r>
          </w:p>
        </w:tc>
        <w:tc>
          <w:tcPr>
            <w:tcW w:w="240" w:type="dxa"/>
            <w:tcBorders>
              <w:top w:val="nil"/>
              <w:left w:val="nil"/>
              <w:bottom w:val="nil"/>
              <w:right w:val="nil"/>
            </w:tcBorders>
            <w:shd w:val="clear" w:color="auto" w:fill="auto"/>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p>
        </w:tc>
        <w:tc>
          <w:tcPr>
            <w:tcW w:w="1266" w:type="dxa"/>
            <w:tcBorders>
              <w:top w:val="nil"/>
              <w:left w:val="nil"/>
              <w:bottom w:val="nil"/>
              <w:right w:val="nil"/>
            </w:tcBorders>
            <w:shd w:val="clear" w:color="auto" w:fill="auto"/>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1 (3.70)</w:t>
            </w:r>
          </w:p>
        </w:tc>
        <w:tc>
          <w:tcPr>
            <w:tcW w:w="982" w:type="dxa"/>
            <w:tcBorders>
              <w:top w:val="nil"/>
              <w:left w:val="nil"/>
              <w:bottom w:val="nil"/>
              <w:right w:val="nil"/>
            </w:tcBorders>
            <w:shd w:val="clear" w:color="auto" w:fill="auto"/>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0.192</w:t>
            </w:r>
          </w:p>
        </w:tc>
        <w:tc>
          <w:tcPr>
            <w:tcW w:w="240" w:type="dxa"/>
            <w:tcBorders>
              <w:top w:val="nil"/>
              <w:left w:val="nil"/>
              <w:bottom w:val="nil"/>
              <w:right w:val="nil"/>
            </w:tcBorders>
            <w:shd w:val="clear" w:color="auto" w:fill="auto"/>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p>
        </w:tc>
        <w:tc>
          <w:tcPr>
            <w:tcW w:w="1371" w:type="dxa"/>
            <w:tcBorders>
              <w:top w:val="nil"/>
              <w:left w:val="nil"/>
              <w:bottom w:val="nil"/>
              <w:right w:val="nil"/>
            </w:tcBorders>
            <w:shd w:val="clear" w:color="auto" w:fill="auto"/>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7 (26.92)</w:t>
            </w:r>
          </w:p>
        </w:tc>
        <w:tc>
          <w:tcPr>
            <w:tcW w:w="1222" w:type="dxa"/>
            <w:tcBorders>
              <w:top w:val="nil"/>
              <w:left w:val="nil"/>
              <w:bottom w:val="nil"/>
              <w:right w:val="nil"/>
            </w:tcBorders>
            <w:shd w:val="clear" w:color="auto" w:fill="auto"/>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0.005**</w:t>
            </w:r>
          </w:p>
        </w:tc>
        <w:tc>
          <w:tcPr>
            <w:tcW w:w="240" w:type="dxa"/>
            <w:tcBorders>
              <w:top w:val="nil"/>
              <w:left w:val="nil"/>
              <w:bottom w:val="nil"/>
              <w:right w:val="nil"/>
            </w:tcBorders>
            <w:shd w:val="clear" w:color="auto" w:fill="auto"/>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p>
        </w:tc>
        <w:tc>
          <w:tcPr>
            <w:tcW w:w="1153" w:type="dxa"/>
            <w:tcBorders>
              <w:top w:val="nil"/>
              <w:left w:val="nil"/>
              <w:bottom w:val="nil"/>
              <w:right w:val="nil"/>
            </w:tcBorders>
            <w:shd w:val="clear" w:color="auto" w:fill="auto"/>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3 (42.86)</w:t>
            </w:r>
          </w:p>
        </w:tc>
        <w:tc>
          <w:tcPr>
            <w:tcW w:w="1238" w:type="dxa"/>
            <w:tcBorders>
              <w:top w:val="nil"/>
              <w:left w:val="nil"/>
              <w:bottom w:val="nil"/>
              <w:right w:val="nil"/>
            </w:tcBorders>
            <w:shd w:val="clear" w:color="auto" w:fill="auto"/>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0.006**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1" w:hRule="atLeast"/>
        </w:trPr>
        <w:tc>
          <w:tcPr>
            <w:tcW w:w="2315" w:type="dxa"/>
            <w:tcBorders>
              <w:top w:val="nil"/>
              <w:left w:val="nil"/>
              <w:bottom w:val="nil"/>
              <w:right w:val="nil"/>
            </w:tcBorders>
            <w:shd w:val="clear" w:color="auto" w:fill="auto"/>
          </w:tcPr>
          <w:p>
            <w:pPr>
              <w:keepNext w:val="0"/>
              <w:keepLines w:val="0"/>
              <w:widowControl w:val="0"/>
              <w:suppressLineNumbers w:val="0"/>
              <w:spacing w:before="0" w:beforeAutospacing="0" w:afterAutospacing="0"/>
              <w:ind w:left="220" w:leftChars="100" w:right="0"/>
              <w:jc w:val="left"/>
              <w:rPr>
                <w:rFonts w:hint="default" w:ascii="Times New Roman" w:hAnsi="Times New Roman" w:cs="Times New Roman"/>
              </w:rPr>
            </w:pPr>
            <w:r>
              <w:rPr>
                <w:rFonts w:hint="default" w:ascii="Times New Roman" w:hAnsi="Times New Roman" w:cs="Times New Roman"/>
              </w:rPr>
              <w:t>CVC</w:t>
            </w:r>
          </w:p>
        </w:tc>
        <w:tc>
          <w:tcPr>
            <w:tcW w:w="1290" w:type="dxa"/>
            <w:tcBorders>
              <w:top w:val="nil"/>
              <w:left w:val="nil"/>
              <w:bottom w:val="nil"/>
              <w:right w:val="nil"/>
            </w:tcBorders>
            <w:shd w:val="clear" w:color="auto" w:fill="auto"/>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51 (58.6)</w:t>
            </w:r>
          </w:p>
        </w:tc>
        <w:tc>
          <w:tcPr>
            <w:tcW w:w="1215" w:type="dxa"/>
            <w:tcBorders>
              <w:top w:val="nil"/>
              <w:left w:val="nil"/>
              <w:bottom w:val="nil"/>
              <w:right w:val="nil"/>
            </w:tcBorders>
            <w:shd w:val="clear" w:color="auto" w:fill="auto"/>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0.154</w:t>
            </w:r>
          </w:p>
        </w:tc>
        <w:tc>
          <w:tcPr>
            <w:tcW w:w="240" w:type="dxa"/>
            <w:tcBorders>
              <w:top w:val="nil"/>
              <w:left w:val="nil"/>
              <w:bottom w:val="nil"/>
              <w:right w:val="nil"/>
            </w:tcBorders>
            <w:shd w:val="clear" w:color="auto" w:fill="auto"/>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p>
        </w:tc>
        <w:tc>
          <w:tcPr>
            <w:tcW w:w="1594" w:type="dxa"/>
            <w:tcBorders>
              <w:top w:val="nil"/>
              <w:left w:val="nil"/>
              <w:bottom w:val="nil"/>
              <w:right w:val="nil"/>
            </w:tcBorders>
            <w:shd w:val="clear" w:color="auto" w:fill="auto"/>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27 (73.0)</w:t>
            </w:r>
          </w:p>
        </w:tc>
        <w:tc>
          <w:tcPr>
            <w:tcW w:w="965" w:type="dxa"/>
            <w:tcBorders>
              <w:top w:val="nil"/>
              <w:left w:val="nil"/>
              <w:bottom w:val="nil"/>
              <w:right w:val="nil"/>
            </w:tcBorders>
            <w:shd w:val="clear" w:color="auto" w:fill="auto"/>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0.200</w:t>
            </w:r>
          </w:p>
        </w:tc>
        <w:tc>
          <w:tcPr>
            <w:tcW w:w="240" w:type="dxa"/>
            <w:tcBorders>
              <w:top w:val="nil"/>
              <w:left w:val="nil"/>
              <w:bottom w:val="nil"/>
              <w:right w:val="nil"/>
            </w:tcBorders>
            <w:shd w:val="clear" w:color="auto" w:fill="auto"/>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p>
        </w:tc>
        <w:tc>
          <w:tcPr>
            <w:tcW w:w="1266" w:type="dxa"/>
            <w:tcBorders>
              <w:top w:val="nil"/>
              <w:left w:val="nil"/>
              <w:bottom w:val="nil"/>
              <w:right w:val="nil"/>
            </w:tcBorders>
            <w:shd w:val="clear" w:color="auto" w:fill="auto"/>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18 (66.7)</w:t>
            </w:r>
          </w:p>
        </w:tc>
        <w:tc>
          <w:tcPr>
            <w:tcW w:w="982" w:type="dxa"/>
            <w:tcBorders>
              <w:top w:val="nil"/>
              <w:left w:val="nil"/>
              <w:bottom w:val="nil"/>
              <w:right w:val="nil"/>
            </w:tcBorders>
            <w:shd w:val="clear" w:color="auto" w:fill="auto"/>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0.749</w:t>
            </w:r>
          </w:p>
        </w:tc>
        <w:tc>
          <w:tcPr>
            <w:tcW w:w="240" w:type="dxa"/>
            <w:tcBorders>
              <w:top w:val="nil"/>
              <w:left w:val="nil"/>
              <w:bottom w:val="nil"/>
              <w:right w:val="nil"/>
            </w:tcBorders>
            <w:shd w:val="clear" w:color="auto" w:fill="auto"/>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p>
        </w:tc>
        <w:tc>
          <w:tcPr>
            <w:tcW w:w="1371" w:type="dxa"/>
            <w:tcBorders>
              <w:top w:val="nil"/>
              <w:left w:val="nil"/>
              <w:bottom w:val="nil"/>
              <w:right w:val="nil"/>
            </w:tcBorders>
            <w:shd w:val="clear" w:color="auto" w:fill="auto"/>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19 (73.1)</w:t>
            </w:r>
          </w:p>
        </w:tc>
        <w:tc>
          <w:tcPr>
            <w:tcW w:w="1222" w:type="dxa"/>
            <w:tcBorders>
              <w:top w:val="nil"/>
              <w:left w:val="nil"/>
              <w:bottom w:val="nil"/>
              <w:right w:val="nil"/>
            </w:tcBorders>
            <w:shd w:val="clear" w:color="auto" w:fill="auto"/>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0.295</w:t>
            </w:r>
          </w:p>
        </w:tc>
        <w:tc>
          <w:tcPr>
            <w:tcW w:w="240" w:type="dxa"/>
            <w:tcBorders>
              <w:top w:val="nil"/>
              <w:left w:val="nil"/>
              <w:bottom w:val="nil"/>
              <w:right w:val="nil"/>
            </w:tcBorders>
            <w:shd w:val="clear" w:color="auto" w:fill="auto"/>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p>
        </w:tc>
        <w:tc>
          <w:tcPr>
            <w:tcW w:w="1153" w:type="dxa"/>
            <w:tcBorders>
              <w:top w:val="nil"/>
              <w:left w:val="nil"/>
              <w:bottom w:val="nil"/>
              <w:right w:val="nil"/>
            </w:tcBorders>
            <w:shd w:val="clear" w:color="auto" w:fill="auto"/>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2 (28.6)</w:t>
            </w:r>
          </w:p>
        </w:tc>
        <w:tc>
          <w:tcPr>
            <w:tcW w:w="1238" w:type="dxa"/>
            <w:tcBorders>
              <w:top w:val="nil"/>
              <w:left w:val="nil"/>
              <w:bottom w:val="nil"/>
              <w:right w:val="nil"/>
            </w:tcBorders>
            <w:shd w:val="clear" w:color="auto" w:fill="auto"/>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0.047*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1" w:hRule="atLeast"/>
        </w:trPr>
        <w:tc>
          <w:tcPr>
            <w:tcW w:w="2315" w:type="dxa"/>
            <w:tcBorders>
              <w:top w:val="nil"/>
              <w:left w:val="nil"/>
              <w:bottom w:val="nil"/>
              <w:right w:val="nil"/>
            </w:tcBorders>
            <w:shd w:val="clear" w:color="auto" w:fill="auto"/>
          </w:tcPr>
          <w:p>
            <w:pPr>
              <w:keepNext w:val="0"/>
              <w:keepLines w:val="0"/>
              <w:widowControl w:val="0"/>
              <w:suppressLineNumbers w:val="0"/>
              <w:spacing w:before="0" w:beforeAutospacing="0" w:afterAutospacing="0"/>
              <w:ind w:left="220" w:leftChars="100" w:right="0"/>
              <w:jc w:val="left"/>
              <w:rPr>
                <w:rFonts w:hint="default" w:ascii="Times New Roman" w:hAnsi="Times New Roman" w:cs="Times New Roman"/>
              </w:rPr>
            </w:pPr>
            <w:r>
              <w:rPr>
                <w:rFonts w:hint="default" w:ascii="Times New Roman" w:hAnsi="Times New Roman" w:cs="Times New Roman"/>
              </w:rPr>
              <w:t>Mechanical ventilation</w:t>
            </w:r>
          </w:p>
        </w:tc>
        <w:tc>
          <w:tcPr>
            <w:tcW w:w="1290" w:type="dxa"/>
            <w:tcBorders>
              <w:top w:val="nil"/>
              <w:left w:val="nil"/>
              <w:bottom w:val="nil"/>
              <w:right w:val="nil"/>
            </w:tcBorders>
            <w:shd w:val="clear" w:color="auto" w:fill="auto"/>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21 (24.1)</w:t>
            </w:r>
          </w:p>
        </w:tc>
        <w:tc>
          <w:tcPr>
            <w:tcW w:w="1215" w:type="dxa"/>
            <w:tcBorders>
              <w:top w:val="nil"/>
              <w:left w:val="nil"/>
              <w:bottom w:val="nil"/>
              <w:right w:val="nil"/>
            </w:tcBorders>
            <w:shd w:val="clear" w:color="auto" w:fill="auto"/>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0.012*</w:t>
            </w:r>
          </w:p>
        </w:tc>
        <w:tc>
          <w:tcPr>
            <w:tcW w:w="240" w:type="dxa"/>
            <w:tcBorders>
              <w:top w:val="nil"/>
              <w:left w:val="nil"/>
              <w:bottom w:val="nil"/>
              <w:right w:val="nil"/>
            </w:tcBorders>
            <w:shd w:val="clear" w:color="auto" w:fill="auto"/>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p>
        </w:tc>
        <w:tc>
          <w:tcPr>
            <w:tcW w:w="1594" w:type="dxa"/>
            <w:tcBorders>
              <w:top w:val="nil"/>
              <w:left w:val="nil"/>
              <w:bottom w:val="nil"/>
              <w:right w:val="nil"/>
            </w:tcBorders>
            <w:shd w:val="clear" w:color="auto" w:fill="auto"/>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17 (45.95)</w:t>
            </w:r>
          </w:p>
        </w:tc>
        <w:tc>
          <w:tcPr>
            <w:tcW w:w="965" w:type="dxa"/>
            <w:tcBorders>
              <w:top w:val="nil"/>
              <w:left w:val="nil"/>
              <w:bottom w:val="nil"/>
              <w:right w:val="nil"/>
            </w:tcBorders>
            <w:shd w:val="clear" w:color="auto" w:fill="auto"/>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0.068</w:t>
            </w:r>
          </w:p>
        </w:tc>
        <w:tc>
          <w:tcPr>
            <w:tcW w:w="240" w:type="dxa"/>
            <w:tcBorders>
              <w:top w:val="nil"/>
              <w:left w:val="nil"/>
              <w:bottom w:val="nil"/>
              <w:right w:val="nil"/>
            </w:tcBorders>
            <w:shd w:val="clear" w:color="auto" w:fill="auto"/>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p>
        </w:tc>
        <w:tc>
          <w:tcPr>
            <w:tcW w:w="1266" w:type="dxa"/>
            <w:tcBorders>
              <w:top w:val="nil"/>
              <w:left w:val="nil"/>
              <w:bottom w:val="nil"/>
              <w:right w:val="nil"/>
            </w:tcBorders>
            <w:shd w:val="clear" w:color="auto" w:fill="auto"/>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15 (55.56)</w:t>
            </w:r>
          </w:p>
        </w:tc>
        <w:tc>
          <w:tcPr>
            <w:tcW w:w="982" w:type="dxa"/>
            <w:tcBorders>
              <w:top w:val="nil"/>
              <w:left w:val="nil"/>
              <w:bottom w:val="nil"/>
              <w:right w:val="nil"/>
            </w:tcBorders>
            <w:shd w:val="clear" w:color="auto" w:fill="auto"/>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0.008**</w:t>
            </w:r>
          </w:p>
        </w:tc>
        <w:tc>
          <w:tcPr>
            <w:tcW w:w="240" w:type="dxa"/>
            <w:tcBorders>
              <w:top w:val="nil"/>
              <w:left w:val="nil"/>
              <w:bottom w:val="nil"/>
              <w:right w:val="nil"/>
            </w:tcBorders>
            <w:shd w:val="clear" w:color="auto" w:fill="auto"/>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p>
        </w:tc>
        <w:tc>
          <w:tcPr>
            <w:tcW w:w="1371" w:type="dxa"/>
            <w:tcBorders>
              <w:top w:val="nil"/>
              <w:left w:val="nil"/>
              <w:bottom w:val="nil"/>
              <w:right w:val="nil"/>
            </w:tcBorders>
            <w:shd w:val="clear" w:color="auto" w:fill="auto"/>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8 (30.77)</w:t>
            </w:r>
          </w:p>
        </w:tc>
        <w:tc>
          <w:tcPr>
            <w:tcW w:w="1222" w:type="dxa"/>
            <w:tcBorders>
              <w:top w:val="nil"/>
              <w:left w:val="nil"/>
              <w:bottom w:val="nil"/>
              <w:right w:val="nil"/>
            </w:tcBorders>
            <w:shd w:val="clear" w:color="auto" w:fill="auto"/>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0.765</w:t>
            </w:r>
          </w:p>
        </w:tc>
        <w:tc>
          <w:tcPr>
            <w:tcW w:w="240" w:type="dxa"/>
            <w:tcBorders>
              <w:top w:val="nil"/>
              <w:left w:val="nil"/>
              <w:bottom w:val="nil"/>
              <w:right w:val="nil"/>
            </w:tcBorders>
            <w:shd w:val="clear" w:color="auto" w:fill="auto"/>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p>
        </w:tc>
        <w:tc>
          <w:tcPr>
            <w:tcW w:w="1153" w:type="dxa"/>
            <w:tcBorders>
              <w:top w:val="nil"/>
              <w:left w:val="nil"/>
              <w:bottom w:val="nil"/>
              <w:right w:val="nil"/>
            </w:tcBorders>
            <w:shd w:val="clear" w:color="auto" w:fill="auto"/>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0 (0.00)</w:t>
            </w:r>
          </w:p>
        </w:tc>
        <w:tc>
          <w:tcPr>
            <w:tcW w:w="1238" w:type="dxa"/>
            <w:tcBorders>
              <w:top w:val="nil"/>
              <w:left w:val="nil"/>
              <w:bottom w:val="nil"/>
              <w:right w:val="nil"/>
            </w:tcBorders>
            <w:shd w:val="clear" w:color="auto" w:fill="auto"/>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0.056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3" w:hRule="atLeast"/>
        </w:trPr>
        <w:tc>
          <w:tcPr>
            <w:tcW w:w="2315"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i/>
                <w:iCs/>
              </w:rPr>
              <w:t xml:space="preserve">Candida </w:t>
            </w:r>
            <w:r>
              <w:rPr>
                <w:rFonts w:hint="default" w:ascii="Times New Roman" w:hAnsi="Times New Roman" w:cs="Times New Roman"/>
              </w:rPr>
              <w:t>Score</w:t>
            </w:r>
          </w:p>
        </w:tc>
        <w:tc>
          <w:tcPr>
            <w:tcW w:w="1290"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1.4±1.2</w:t>
            </w:r>
          </w:p>
        </w:tc>
        <w:tc>
          <w:tcPr>
            <w:tcW w:w="1215"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0.283</w:t>
            </w:r>
          </w:p>
        </w:tc>
        <w:tc>
          <w:tcPr>
            <w:tcW w:w="240"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p>
        </w:tc>
        <w:tc>
          <w:tcPr>
            <w:tcW w:w="1594"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1.46±1.17</w:t>
            </w:r>
          </w:p>
        </w:tc>
        <w:tc>
          <w:tcPr>
            <w:tcW w:w="965"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0.869</w:t>
            </w:r>
          </w:p>
        </w:tc>
        <w:tc>
          <w:tcPr>
            <w:tcW w:w="240"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p>
        </w:tc>
        <w:tc>
          <w:tcPr>
            <w:tcW w:w="1266"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1.55±1.22</w:t>
            </w:r>
          </w:p>
        </w:tc>
        <w:tc>
          <w:tcPr>
            <w:tcW w:w="982"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0.283</w:t>
            </w:r>
          </w:p>
        </w:tc>
        <w:tc>
          <w:tcPr>
            <w:tcW w:w="240"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p>
        </w:tc>
        <w:tc>
          <w:tcPr>
            <w:tcW w:w="1371"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1.42±1.36</w:t>
            </w:r>
          </w:p>
        </w:tc>
        <w:tc>
          <w:tcPr>
            <w:tcW w:w="1222"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0.516</w:t>
            </w:r>
          </w:p>
        </w:tc>
        <w:tc>
          <w:tcPr>
            <w:tcW w:w="240"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p>
        </w:tc>
        <w:tc>
          <w:tcPr>
            <w:tcW w:w="1153"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1 (0-1)</w:t>
            </w:r>
          </w:p>
        </w:tc>
        <w:tc>
          <w:tcPr>
            <w:tcW w:w="1238"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0.644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3" w:hRule="atLeast"/>
        </w:trPr>
        <w:tc>
          <w:tcPr>
            <w:tcW w:w="2315"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220" w:leftChars="100" w:right="0"/>
              <w:jc w:val="left"/>
              <w:rPr>
                <w:rFonts w:hint="default" w:ascii="Times New Roman" w:hAnsi="Times New Roman" w:cs="Times New Roman"/>
              </w:rPr>
            </w:pPr>
            <w:r>
              <w:rPr>
                <w:rFonts w:hint="default" w:ascii="Times New Roman" w:hAnsi="Times New Roman" w:cs="Times New Roman"/>
              </w:rPr>
              <w:t>Sepsis</w:t>
            </w:r>
          </w:p>
        </w:tc>
        <w:tc>
          <w:tcPr>
            <w:tcW w:w="1290"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17 (19.5)</w:t>
            </w:r>
          </w:p>
        </w:tc>
        <w:tc>
          <w:tcPr>
            <w:tcW w:w="1215"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0.296</w:t>
            </w:r>
          </w:p>
        </w:tc>
        <w:tc>
          <w:tcPr>
            <w:tcW w:w="240"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p>
        </w:tc>
        <w:tc>
          <w:tcPr>
            <w:tcW w:w="1594"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10 (27.02)</w:t>
            </w:r>
          </w:p>
        </w:tc>
        <w:tc>
          <w:tcPr>
            <w:tcW w:w="965"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0.509</w:t>
            </w:r>
          </w:p>
        </w:tc>
        <w:tc>
          <w:tcPr>
            <w:tcW w:w="240"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p>
        </w:tc>
        <w:tc>
          <w:tcPr>
            <w:tcW w:w="1266"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7 (25.93)</w:t>
            </w:r>
          </w:p>
        </w:tc>
        <w:tc>
          <w:tcPr>
            <w:tcW w:w="982"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0.691</w:t>
            </w:r>
          </w:p>
        </w:tc>
        <w:tc>
          <w:tcPr>
            <w:tcW w:w="240"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p>
        </w:tc>
        <w:tc>
          <w:tcPr>
            <w:tcW w:w="1371"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9 (34.62)</w:t>
            </w:r>
          </w:p>
        </w:tc>
        <w:tc>
          <w:tcPr>
            <w:tcW w:w="1222"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0.127</w:t>
            </w:r>
          </w:p>
        </w:tc>
        <w:tc>
          <w:tcPr>
            <w:tcW w:w="240"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p>
        </w:tc>
        <w:tc>
          <w:tcPr>
            <w:tcW w:w="1153"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1 (14.29)</w:t>
            </w:r>
          </w:p>
        </w:tc>
        <w:tc>
          <w:tcPr>
            <w:tcW w:w="1238"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0.578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3" w:hRule="atLeast"/>
        </w:trPr>
        <w:tc>
          <w:tcPr>
            <w:tcW w:w="2315"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220" w:leftChars="100" w:right="0"/>
              <w:jc w:val="left"/>
              <w:rPr>
                <w:rFonts w:hint="default" w:ascii="Times New Roman" w:hAnsi="Times New Roman" w:cs="Times New Roman"/>
              </w:rPr>
            </w:pPr>
            <w:r>
              <w:rPr>
                <w:rFonts w:hint="default" w:ascii="Times New Roman" w:hAnsi="Times New Roman" w:cs="Times New Roman"/>
              </w:rPr>
              <w:t>Surgery</w:t>
            </w:r>
          </w:p>
        </w:tc>
        <w:tc>
          <w:tcPr>
            <w:tcW w:w="1290"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49 (56.3)</w:t>
            </w:r>
          </w:p>
        </w:tc>
        <w:tc>
          <w:tcPr>
            <w:tcW w:w="1215"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0.003**</w:t>
            </w:r>
          </w:p>
        </w:tc>
        <w:tc>
          <w:tcPr>
            <w:tcW w:w="240"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p>
        </w:tc>
        <w:tc>
          <w:tcPr>
            <w:tcW w:w="1594"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15 (40.54)</w:t>
            </w:r>
          </w:p>
        </w:tc>
        <w:tc>
          <w:tcPr>
            <w:tcW w:w="965"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0.559</w:t>
            </w:r>
          </w:p>
        </w:tc>
        <w:tc>
          <w:tcPr>
            <w:tcW w:w="240"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p>
        </w:tc>
        <w:tc>
          <w:tcPr>
            <w:tcW w:w="1266"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7 (25.93)</w:t>
            </w:r>
          </w:p>
        </w:tc>
        <w:tc>
          <w:tcPr>
            <w:tcW w:w="982"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0.033*</w:t>
            </w:r>
          </w:p>
        </w:tc>
        <w:tc>
          <w:tcPr>
            <w:tcW w:w="240"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p>
        </w:tc>
        <w:tc>
          <w:tcPr>
            <w:tcW w:w="1371"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9 (34.62)</w:t>
            </w:r>
          </w:p>
        </w:tc>
        <w:tc>
          <w:tcPr>
            <w:tcW w:w="1222"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0.259</w:t>
            </w:r>
          </w:p>
        </w:tc>
        <w:tc>
          <w:tcPr>
            <w:tcW w:w="240"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p>
        </w:tc>
        <w:tc>
          <w:tcPr>
            <w:tcW w:w="1153"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3 (42.86)</w:t>
            </w:r>
          </w:p>
        </w:tc>
        <w:tc>
          <w:tcPr>
            <w:tcW w:w="1238"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0.916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3" w:hRule="atLeast"/>
        </w:trPr>
        <w:tc>
          <w:tcPr>
            <w:tcW w:w="2315"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220" w:leftChars="100" w:right="0"/>
              <w:jc w:val="left"/>
              <w:rPr>
                <w:rFonts w:hint="default" w:ascii="Times New Roman" w:hAnsi="Times New Roman" w:cs="Times New Roman"/>
              </w:rPr>
            </w:pPr>
            <w:r>
              <w:rPr>
                <w:rFonts w:hint="default" w:ascii="Times New Roman" w:hAnsi="Times New Roman" w:cs="Times New Roman"/>
              </w:rPr>
              <w:t>TPN</w:t>
            </w:r>
          </w:p>
        </w:tc>
        <w:tc>
          <w:tcPr>
            <w:tcW w:w="1290"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40 (46.0)</w:t>
            </w:r>
          </w:p>
        </w:tc>
        <w:tc>
          <w:tcPr>
            <w:tcW w:w="1215"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0.382</w:t>
            </w:r>
          </w:p>
        </w:tc>
        <w:tc>
          <w:tcPr>
            <w:tcW w:w="240"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p>
        </w:tc>
        <w:tc>
          <w:tcPr>
            <w:tcW w:w="1594"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15 (40.54)</w:t>
            </w:r>
          </w:p>
        </w:tc>
        <w:tc>
          <w:tcPr>
            <w:tcW w:w="965"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0.774</w:t>
            </w:r>
          </w:p>
        </w:tc>
        <w:tc>
          <w:tcPr>
            <w:tcW w:w="240"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p>
        </w:tc>
        <w:tc>
          <w:tcPr>
            <w:tcW w:w="1266"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15 (55.56)</w:t>
            </w:r>
          </w:p>
        </w:tc>
        <w:tc>
          <w:tcPr>
            <w:tcW w:w="982"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0.141</w:t>
            </w:r>
          </w:p>
        </w:tc>
        <w:tc>
          <w:tcPr>
            <w:tcW w:w="240"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p>
        </w:tc>
        <w:tc>
          <w:tcPr>
            <w:tcW w:w="1371"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8 (30.77)</w:t>
            </w:r>
          </w:p>
        </w:tc>
        <w:tc>
          <w:tcPr>
            <w:tcW w:w="1222"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0.187</w:t>
            </w:r>
          </w:p>
        </w:tc>
        <w:tc>
          <w:tcPr>
            <w:tcW w:w="240"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p>
        </w:tc>
        <w:tc>
          <w:tcPr>
            <w:tcW w:w="1153"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2 (28.57)</w:t>
            </w:r>
          </w:p>
        </w:tc>
        <w:tc>
          <w:tcPr>
            <w:tcW w:w="1238"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0.443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1" w:hRule="atLeast"/>
        </w:trPr>
        <w:tc>
          <w:tcPr>
            <w:tcW w:w="2315"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220" w:leftChars="100" w:right="0"/>
              <w:jc w:val="left"/>
              <w:rPr>
                <w:rFonts w:hint="default" w:ascii="Times New Roman" w:hAnsi="Times New Roman" w:cs="Times New Roman"/>
              </w:rPr>
            </w:pPr>
            <w:r>
              <w:rPr>
                <w:rFonts w:hint="default" w:ascii="Times New Roman" w:hAnsi="Times New Roman" w:cs="Times New Roman"/>
              </w:rPr>
              <w:t>Multifocal colonization</w:t>
            </w:r>
          </w:p>
        </w:tc>
        <w:tc>
          <w:tcPr>
            <w:tcW w:w="1290"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6 (6.9)</w:t>
            </w:r>
          </w:p>
        </w:tc>
        <w:tc>
          <w:tcPr>
            <w:tcW w:w="1215"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0.141</w:t>
            </w:r>
          </w:p>
        </w:tc>
        <w:tc>
          <w:tcPr>
            <w:tcW w:w="240"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p>
        </w:tc>
        <w:tc>
          <w:tcPr>
            <w:tcW w:w="1594"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5 (13.51)</w:t>
            </w:r>
          </w:p>
        </w:tc>
        <w:tc>
          <w:tcPr>
            <w:tcW w:w="965"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0.485</w:t>
            </w:r>
          </w:p>
        </w:tc>
        <w:tc>
          <w:tcPr>
            <w:tcW w:w="240"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p>
        </w:tc>
        <w:tc>
          <w:tcPr>
            <w:tcW w:w="1266"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6 (22.22)</w:t>
            </w:r>
          </w:p>
        </w:tc>
        <w:tc>
          <w:tcPr>
            <w:tcW w:w="982"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0.029*</w:t>
            </w:r>
          </w:p>
        </w:tc>
        <w:tc>
          <w:tcPr>
            <w:tcW w:w="240"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p>
        </w:tc>
        <w:tc>
          <w:tcPr>
            <w:tcW w:w="1371"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2 (7.69)</w:t>
            </w:r>
          </w:p>
        </w:tc>
        <w:tc>
          <w:tcPr>
            <w:tcW w:w="1222"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0.627</w:t>
            </w:r>
          </w:p>
        </w:tc>
        <w:tc>
          <w:tcPr>
            <w:tcW w:w="240"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p>
        </w:tc>
        <w:tc>
          <w:tcPr>
            <w:tcW w:w="1153"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0 (0.00)</w:t>
            </w:r>
          </w:p>
        </w:tc>
        <w:tc>
          <w:tcPr>
            <w:tcW w:w="1238"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0.358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1" w:hRule="atLeast"/>
        </w:trPr>
        <w:tc>
          <w:tcPr>
            <w:tcW w:w="2315" w:type="dxa"/>
            <w:tcBorders>
              <w:top w:val="nil"/>
              <w:left w:val="nil"/>
              <w:bottom w:val="nil"/>
              <w:right w:val="nil"/>
            </w:tcBorders>
            <w:shd w:val="clear" w:color="auto" w:fill="auto"/>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Antifungal-drug exposure</w:t>
            </w:r>
          </w:p>
        </w:tc>
        <w:tc>
          <w:tcPr>
            <w:tcW w:w="1290" w:type="dxa"/>
            <w:tcBorders>
              <w:top w:val="nil"/>
              <w:left w:val="nil"/>
              <w:bottom w:val="nil"/>
              <w:right w:val="nil"/>
            </w:tcBorders>
            <w:shd w:val="clear" w:color="auto" w:fill="auto"/>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p>
        </w:tc>
        <w:tc>
          <w:tcPr>
            <w:tcW w:w="1215" w:type="dxa"/>
            <w:tcBorders>
              <w:top w:val="nil"/>
              <w:left w:val="nil"/>
              <w:bottom w:val="nil"/>
              <w:right w:val="nil"/>
            </w:tcBorders>
            <w:shd w:val="clear" w:color="auto" w:fill="auto"/>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p>
        </w:tc>
        <w:tc>
          <w:tcPr>
            <w:tcW w:w="240" w:type="dxa"/>
            <w:tcBorders>
              <w:top w:val="nil"/>
              <w:left w:val="nil"/>
              <w:bottom w:val="nil"/>
              <w:right w:val="nil"/>
            </w:tcBorders>
            <w:shd w:val="clear" w:color="auto" w:fill="auto"/>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p>
        </w:tc>
        <w:tc>
          <w:tcPr>
            <w:tcW w:w="1594" w:type="dxa"/>
            <w:tcBorders>
              <w:top w:val="nil"/>
              <w:left w:val="nil"/>
              <w:bottom w:val="nil"/>
              <w:right w:val="nil"/>
            </w:tcBorders>
            <w:shd w:val="clear" w:color="auto" w:fill="auto"/>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p>
        </w:tc>
        <w:tc>
          <w:tcPr>
            <w:tcW w:w="965" w:type="dxa"/>
            <w:tcBorders>
              <w:top w:val="nil"/>
              <w:left w:val="nil"/>
              <w:bottom w:val="nil"/>
              <w:right w:val="nil"/>
            </w:tcBorders>
            <w:shd w:val="clear" w:color="auto" w:fill="auto"/>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p>
        </w:tc>
        <w:tc>
          <w:tcPr>
            <w:tcW w:w="240" w:type="dxa"/>
            <w:tcBorders>
              <w:top w:val="nil"/>
              <w:left w:val="nil"/>
              <w:bottom w:val="nil"/>
              <w:right w:val="nil"/>
            </w:tcBorders>
            <w:shd w:val="clear" w:color="auto" w:fill="auto"/>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p>
        </w:tc>
        <w:tc>
          <w:tcPr>
            <w:tcW w:w="1266" w:type="dxa"/>
            <w:tcBorders>
              <w:top w:val="nil"/>
              <w:left w:val="nil"/>
              <w:bottom w:val="nil"/>
              <w:right w:val="nil"/>
            </w:tcBorders>
            <w:shd w:val="clear" w:color="auto" w:fill="auto"/>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p>
        </w:tc>
        <w:tc>
          <w:tcPr>
            <w:tcW w:w="982" w:type="dxa"/>
            <w:tcBorders>
              <w:top w:val="nil"/>
              <w:left w:val="nil"/>
              <w:bottom w:val="nil"/>
              <w:right w:val="nil"/>
            </w:tcBorders>
            <w:shd w:val="clear" w:color="auto" w:fill="auto"/>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p>
        </w:tc>
        <w:tc>
          <w:tcPr>
            <w:tcW w:w="240" w:type="dxa"/>
            <w:tcBorders>
              <w:top w:val="nil"/>
              <w:left w:val="nil"/>
              <w:bottom w:val="nil"/>
              <w:right w:val="nil"/>
            </w:tcBorders>
            <w:shd w:val="clear" w:color="auto" w:fill="auto"/>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p>
        </w:tc>
        <w:tc>
          <w:tcPr>
            <w:tcW w:w="1371" w:type="dxa"/>
            <w:tcBorders>
              <w:top w:val="nil"/>
              <w:left w:val="nil"/>
              <w:bottom w:val="nil"/>
              <w:right w:val="nil"/>
            </w:tcBorders>
            <w:shd w:val="clear" w:color="auto" w:fill="auto"/>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p>
        </w:tc>
        <w:tc>
          <w:tcPr>
            <w:tcW w:w="1222" w:type="dxa"/>
            <w:tcBorders>
              <w:top w:val="nil"/>
              <w:left w:val="nil"/>
              <w:bottom w:val="nil"/>
              <w:right w:val="nil"/>
            </w:tcBorders>
            <w:shd w:val="clear" w:color="auto" w:fill="auto"/>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p>
        </w:tc>
        <w:tc>
          <w:tcPr>
            <w:tcW w:w="240" w:type="dxa"/>
            <w:tcBorders>
              <w:top w:val="nil"/>
              <w:left w:val="nil"/>
              <w:bottom w:val="nil"/>
              <w:right w:val="nil"/>
            </w:tcBorders>
            <w:shd w:val="clear" w:color="auto" w:fill="auto"/>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p>
        </w:tc>
        <w:tc>
          <w:tcPr>
            <w:tcW w:w="1153" w:type="dxa"/>
            <w:tcBorders>
              <w:top w:val="nil"/>
              <w:left w:val="nil"/>
              <w:bottom w:val="nil"/>
              <w:right w:val="nil"/>
            </w:tcBorders>
            <w:shd w:val="clear" w:color="auto" w:fill="auto"/>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p>
        </w:tc>
        <w:tc>
          <w:tcPr>
            <w:tcW w:w="1238" w:type="dxa"/>
            <w:tcBorders>
              <w:top w:val="nil"/>
              <w:left w:val="nil"/>
              <w:bottom w:val="nil"/>
              <w:right w:val="nil"/>
            </w:tcBorders>
            <w:shd w:val="clear" w:color="auto" w:fill="auto"/>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3" w:hRule="atLeast"/>
        </w:trPr>
        <w:tc>
          <w:tcPr>
            <w:tcW w:w="2315" w:type="dxa"/>
            <w:tcBorders>
              <w:top w:val="nil"/>
              <w:left w:val="nil"/>
              <w:bottom w:val="nil"/>
              <w:right w:val="nil"/>
            </w:tcBorders>
            <w:shd w:val="clear" w:color="auto" w:fill="auto"/>
          </w:tcPr>
          <w:p>
            <w:pPr>
              <w:keepNext w:val="0"/>
              <w:keepLines w:val="0"/>
              <w:widowControl w:val="0"/>
              <w:suppressLineNumbers w:val="0"/>
              <w:spacing w:before="0" w:beforeAutospacing="0" w:afterAutospacing="0"/>
              <w:ind w:left="220" w:leftChars="100" w:right="0"/>
              <w:jc w:val="left"/>
              <w:rPr>
                <w:rFonts w:hint="default" w:ascii="Times New Roman" w:hAnsi="Times New Roman" w:cs="Times New Roman"/>
              </w:rPr>
            </w:pPr>
            <w:r>
              <w:rPr>
                <w:rFonts w:hint="default" w:ascii="Times New Roman" w:hAnsi="Times New Roman" w:cs="Times New Roman"/>
              </w:rPr>
              <w:t xml:space="preserve">Fluconazole </w:t>
            </w:r>
          </w:p>
        </w:tc>
        <w:tc>
          <w:tcPr>
            <w:tcW w:w="1290" w:type="dxa"/>
            <w:tcBorders>
              <w:top w:val="nil"/>
              <w:left w:val="nil"/>
              <w:bottom w:val="nil"/>
              <w:right w:val="nil"/>
            </w:tcBorders>
            <w:shd w:val="clear" w:color="auto" w:fill="auto"/>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3 (3.4)</w:t>
            </w:r>
          </w:p>
        </w:tc>
        <w:tc>
          <w:tcPr>
            <w:tcW w:w="1215" w:type="dxa"/>
            <w:tcBorders>
              <w:top w:val="nil"/>
              <w:left w:val="nil"/>
              <w:bottom w:val="nil"/>
              <w:right w:val="nil"/>
            </w:tcBorders>
            <w:shd w:val="clear" w:color="auto" w:fill="auto"/>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&lt;0.001***</w:t>
            </w:r>
          </w:p>
        </w:tc>
        <w:tc>
          <w:tcPr>
            <w:tcW w:w="240" w:type="dxa"/>
            <w:tcBorders>
              <w:top w:val="nil"/>
              <w:left w:val="nil"/>
              <w:bottom w:val="nil"/>
              <w:right w:val="nil"/>
            </w:tcBorders>
            <w:shd w:val="clear" w:color="auto" w:fill="auto"/>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p>
        </w:tc>
        <w:tc>
          <w:tcPr>
            <w:tcW w:w="1594" w:type="dxa"/>
            <w:tcBorders>
              <w:top w:val="nil"/>
              <w:left w:val="nil"/>
              <w:bottom w:val="nil"/>
              <w:right w:val="nil"/>
            </w:tcBorders>
            <w:shd w:val="clear" w:color="auto" w:fill="auto"/>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10 (27.0)</w:t>
            </w:r>
          </w:p>
        </w:tc>
        <w:tc>
          <w:tcPr>
            <w:tcW w:w="965" w:type="dxa"/>
            <w:tcBorders>
              <w:top w:val="nil"/>
              <w:left w:val="nil"/>
              <w:bottom w:val="nil"/>
              <w:right w:val="nil"/>
            </w:tcBorders>
            <w:shd w:val="clear" w:color="auto" w:fill="auto"/>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0.050</w:t>
            </w:r>
          </w:p>
        </w:tc>
        <w:tc>
          <w:tcPr>
            <w:tcW w:w="240" w:type="dxa"/>
            <w:tcBorders>
              <w:top w:val="nil"/>
              <w:left w:val="nil"/>
              <w:bottom w:val="nil"/>
              <w:right w:val="nil"/>
            </w:tcBorders>
            <w:shd w:val="clear" w:color="auto" w:fill="auto"/>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p>
        </w:tc>
        <w:tc>
          <w:tcPr>
            <w:tcW w:w="1266" w:type="dxa"/>
            <w:tcBorders>
              <w:top w:val="nil"/>
              <w:left w:val="nil"/>
              <w:bottom w:val="nil"/>
              <w:right w:val="nil"/>
            </w:tcBorders>
            <w:shd w:val="clear" w:color="auto" w:fill="auto"/>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9 (33.3)</w:t>
            </w:r>
          </w:p>
        </w:tc>
        <w:tc>
          <w:tcPr>
            <w:tcW w:w="982" w:type="dxa"/>
            <w:tcBorders>
              <w:top w:val="nil"/>
              <w:left w:val="nil"/>
              <w:bottom w:val="nil"/>
              <w:right w:val="nil"/>
            </w:tcBorders>
            <w:shd w:val="clear" w:color="auto" w:fill="auto"/>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0.010*</w:t>
            </w:r>
          </w:p>
        </w:tc>
        <w:tc>
          <w:tcPr>
            <w:tcW w:w="240" w:type="dxa"/>
            <w:tcBorders>
              <w:top w:val="nil"/>
              <w:left w:val="nil"/>
              <w:bottom w:val="nil"/>
              <w:right w:val="nil"/>
            </w:tcBorders>
            <w:shd w:val="clear" w:color="auto" w:fill="auto"/>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p>
        </w:tc>
        <w:tc>
          <w:tcPr>
            <w:tcW w:w="1371" w:type="dxa"/>
            <w:tcBorders>
              <w:top w:val="nil"/>
              <w:left w:val="nil"/>
              <w:bottom w:val="nil"/>
              <w:right w:val="nil"/>
            </w:tcBorders>
            <w:shd w:val="clear" w:color="auto" w:fill="auto"/>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7 (26.9)</w:t>
            </w:r>
          </w:p>
        </w:tc>
        <w:tc>
          <w:tcPr>
            <w:tcW w:w="1222" w:type="dxa"/>
            <w:tcBorders>
              <w:top w:val="nil"/>
              <w:left w:val="nil"/>
              <w:bottom w:val="nil"/>
              <w:right w:val="nil"/>
            </w:tcBorders>
            <w:shd w:val="clear" w:color="auto" w:fill="auto"/>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0.117</w:t>
            </w:r>
          </w:p>
        </w:tc>
        <w:tc>
          <w:tcPr>
            <w:tcW w:w="240" w:type="dxa"/>
            <w:tcBorders>
              <w:top w:val="nil"/>
              <w:left w:val="nil"/>
              <w:bottom w:val="nil"/>
              <w:right w:val="nil"/>
            </w:tcBorders>
            <w:shd w:val="clear" w:color="auto" w:fill="auto"/>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p>
        </w:tc>
        <w:tc>
          <w:tcPr>
            <w:tcW w:w="1153" w:type="dxa"/>
            <w:tcBorders>
              <w:top w:val="nil"/>
              <w:left w:val="nil"/>
              <w:bottom w:val="nil"/>
              <w:right w:val="nil"/>
            </w:tcBorders>
            <w:shd w:val="clear" w:color="auto" w:fill="auto"/>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 xml:space="preserve">0 </w:t>
            </w:r>
          </w:p>
        </w:tc>
        <w:tc>
          <w:tcPr>
            <w:tcW w:w="1238" w:type="dxa"/>
            <w:tcBorders>
              <w:top w:val="nil"/>
              <w:left w:val="nil"/>
              <w:bottom w:val="nil"/>
              <w:right w:val="nil"/>
            </w:tcBorders>
            <w:shd w:val="clear" w:color="auto" w:fill="auto"/>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0.232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3" w:hRule="atLeast"/>
        </w:trPr>
        <w:tc>
          <w:tcPr>
            <w:tcW w:w="2315" w:type="dxa"/>
            <w:tcBorders>
              <w:top w:val="nil"/>
              <w:left w:val="nil"/>
              <w:bottom w:val="nil"/>
              <w:right w:val="nil"/>
            </w:tcBorders>
            <w:shd w:val="clear" w:color="auto" w:fill="auto"/>
          </w:tcPr>
          <w:p>
            <w:pPr>
              <w:keepNext w:val="0"/>
              <w:keepLines w:val="0"/>
              <w:widowControl w:val="0"/>
              <w:suppressLineNumbers w:val="0"/>
              <w:spacing w:before="0" w:beforeAutospacing="0" w:afterAutospacing="0"/>
              <w:ind w:left="220" w:leftChars="100" w:right="0"/>
              <w:jc w:val="left"/>
              <w:rPr>
                <w:rFonts w:hint="default" w:ascii="Times New Roman" w:hAnsi="Times New Roman" w:cs="Times New Roman"/>
              </w:rPr>
            </w:pPr>
            <w:r>
              <w:rPr>
                <w:rFonts w:hint="default" w:ascii="Times New Roman" w:hAnsi="Times New Roman" w:cs="Times New Roman"/>
              </w:rPr>
              <w:t xml:space="preserve">Voriconazole </w:t>
            </w:r>
          </w:p>
        </w:tc>
        <w:tc>
          <w:tcPr>
            <w:tcW w:w="1290" w:type="dxa"/>
            <w:tcBorders>
              <w:top w:val="nil"/>
              <w:left w:val="nil"/>
              <w:bottom w:val="nil"/>
              <w:right w:val="nil"/>
            </w:tcBorders>
            <w:shd w:val="clear" w:color="auto" w:fill="auto"/>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1 (1.1)</w:t>
            </w:r>
          </w:p>
        </w:tc>
        <w:tc>
          <w:tcPr>
            <w:tcW w:w="1215" w:type="dxa"/>
            <w:tcBorders>
              <w:top w:val="nil"/>
              <w:left w:val="nil"/>
              <w:bottom w:val="nil"/>
              <w:right w:val="nil"/>
            </w:tcBorders>
            <w:shd w:val="clear" w:color="auto" w:fill="auto"/>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0.001**</w:t>
            </w:r>
          </w:p>
        </w:tc>
        <w:tc>
          <w:tcPr>
            <w:tcW w:w="240" w:type="dxa"/>
            <w:tcBorders>
              <w:top w:val="nil"/>
              <w:left w:val="nil"/>
              <w:bottom w:val="nil"/>
              <w:right w:val="nil"/>
            </w:tcBorders>
            <w:shd w:val="clear" w:color="auto" w:fill="auto"/>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p>
        </w:tc>
        <w:tc>
          <w:tcPr>
            <w:tcW w:w="1594" w:type="dxa"/>
            <w:tcBorders>
              <w:top w:val="nil"/>
              <w:left w:val="nil"/>
              <w:bottom w:val="nil"/>
              <w:right w:val="nil"/>
            </w:tcBorders>
            <w:shd w:val="clear" w:color="auto" w:fill="auto"/>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5 (13.5)</w:t>
            </w:r>
          </w:p>
        </w:tc>
        <w:tc>
          <w:tcPr>
            <w:tcW w:w="965" w:type="dxa"/>
            <w:tcBorders>
              <w:top w:val="nil"/>
              <w:left w:val="nil"/>
              <w:bottom w:val="nil"/>
              <w:right w:val="nil"/>
            </w:tcBorders>
            <w:shd w:val="clear" w:color="auto" w:fill="auto"/>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0.250</w:t>
            </w:r>
          </w:p>
        </w:tc>
        <w:tc>
          <w:tcPr>
            <w:tcW w:w="240" w:type="dxa"/>
            <w:tcBorders>
              <w:top w:val="nil"/>
              <w:left w:val="nil"/>
              <w:bottom w:val="nil"/>
              <w:right w:val="nil"/>
            </w:tcBorders>
            <w:shd w:val="clear" w:color="auto" w:fill="auto"/>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p>
        </w:tc>
        <w:tc>
          <w:tcPr>
            <w:tcW w:w="1266" w:type="dxa"/>
            <w:tcBorders>
              <w:top w:val="nil"/>
              <w:left w:val="nil"/>
              <w:bottom w:val="nil"/>
              <w:right w:val="nil"/>
            </w:tcBorders>
            <w:shd w:val="clear" w:color="auto" w:fill="auto"/>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3 (11.1)</w:t>
            </w:r>
          </w:p>
        </w:tc>
        <w:tc>
          <w:tcPr>
            <w:tcW w:w="982" w:type="dxa"/>
            <w:tcBorders>
              <w:top w:val="nil"/>
              <w:left w:val="nil"/>
              <w:bottom w:val="nil"/>
              <w:right w:val="nil"/>
            </w:tcBorders>
            <w:shd w:val="clear" w:color="auto" w:fill="auto"/>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0.637</w:t>
            </w:r>
          </w:p>
        </w:tc>
        <w:tc>
          <w:tcPr>
            <w:tcW w:w="240" w:type="dxa"/>
            <w:tcBorders>
              <w:top w:val="nil"/>
              <w:left w:val="nil"/>
              <w:bottom w:val="nil"/>
              <w:right w:val="nil"/>
            </w:tcBorders>
            <w:shd w:val="clear" w:color="auto" w:fill="auto"/>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p>
        </w:tc>
        <w:tc>
          <w:tcPr>
            <w:tcW w:w="1371" w:type="dxa"/>
            <w:tcBorders>
              <w:top w:val="nil"/>
              <w:left w:val="nil"/>
              <w:bottom w:val="nil"/>
              <w:right w:val="nil"/>
            </w:tcBorders>
            <w:shd w:val="clear" w:color="auto" w:fill="auto"/>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5 (19.2)</w:t>
            </w:r>
          </w:p>
        </w:tc>
        <w:tc>
          <w:tcPr>
            <w:tcW w:w="1222" w:type="dxa"/>
            <w:tcBorders>
              <w:top w:val="nil"/>
              <w:left w:val="nil"/>
              <w:bottom w:val="nil"/>
              <w:right w:val="nil"/>
            </w:tcBorders>
            <w:shd w:val="clear" w:color="auto" w:fill="auto"/>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0.041*</w:t>
            </w:r>
          </w:p>
        </w:tc>
        <w:tc>
          <w:tcPr>
            <w:tcW w:w="240" w:type="dxa"/>
            <w:tcBorders>
              <w:top w:val="nil"/>
              <w:left w:val="nil"/>
              <w:bottom w:val="nil"/>
              <w:right w:val="nil"/>
            </w:tcBorders>
            <w:shd w:val="clear" w:color="auto" w:fill="auto"/>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p>
        </w:tc>
        <w:tc>
          <w:tcPr>
            <w:tcW w:w="1153" w:type="dxa"/>
            <w:tcBorders>
              <w:top w:val="nil"/>
              <w:left w:val="nil"/>
              <w:bottom w:val="nil"/>
              <w:right w:val="nil"/>
            </w:tcBorders>
            <w:shd w:val="clear" w:color="auto" w:fill="auto"/>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1 (14.3)</w:t>
            </w:r>
          </w:p>
        </w:tc>
        <w:tc>
          <w:tcPr>
            <w:tcW w:w="1238" w:type="dxa"/>
            <w:tcBorders>
              <w:top w:val="nil"/>
              <w:left w:val="nil"/>
              <w:bottom w:val="nil"/>
              <w:right w:val="nil"/>
            </w:tcBorders>
            <w:shd w:val="clear" w:color="auto" w:fill="auto"/>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0.597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3" w:hRule="atLeast"/>
        </w:trPr>
        <w:tc>
          <w:tcPr>
            <w:tcW w:w="2315" w:type="dxa"/>
            <w:tcBorders>
              <w:top w:val="nil"/>
              <w:left w:val="nil"/>
              <w:bottom w:val="nil"/>
              <w:right w:val="nil"/>
            </w:tcBorders>
            <w:shd w:val="clear" w:color="auto" w:fill="auto"/>
          </w:tcPr>
          <w:p>
            <w:pPr>
              <w:keepNext w:val="0"/>
              <w:keepLines w:val="0"/>
              <w:widowControl w:val="0"/>
              <w:suppressLineNumbers w:val="0"/>
              <w:spacing w:before="0" w:beforeAutospacing="0" w:afterAutospacing="0"/>
              <w:ind w:left="220" w:leftChars="100" w:right="0"/>
              <w:jc w:val="left"/>
              <w:rPr>
                <w:rFonts w:hint="default" w:ascii="Times New Roman" w:hAnsi="Times New Roman" w:cs="Times New Roman"/>
              </w:rPr>
            </w:pPr>
            <w:r>
              <w:rPr>
                <w:rFonts w:hint="default" w:ascii="Times New Roman" w:hAnsi="Times New Roman" w:cs="Times New Roman"/>
              </w:rPr>
              <w:t>Amphotericin B</w:t>
            </w:r>
          </w:p>
        </w:tc>
        <w:tc>
          <w:tcPr>
            <w:tcW w:w="1290" w:type="dxa"/>
            <w:tcBorders>
              <w:top w:val="nil"/>
              <w:left w:val="nil"/>
              <w:bottom w:val="nil"/>
              <w:right w:val="nil"/>
            </w:tcBorders>
            <w:shd w:val="clear" w:color="auto" w:fill="auto"/>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1 (1.1)</w:t>
            </w:r>
          </w:p>
        </w:tc>
        <w:tc>
          <w:tcPr>
            <w:tcW w:w="1215" w:type="dxa"/>
            <w:tcBorders>
              <w:top w:val="nil"/>
              <w:left w:val="nil"/>
              <w:bottom w:val="nil"/>
              <w:right w:val="nil"/>
            </w:tcBorders>
            <w:shd w:val="clear" w:color="auto" w:fill="auto"/>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0.619</w:t>
            </w:r>
          </w:p>
        </w:tc>
        <w:tc>
          <w:tcPr>
            <w:tcW w:w="240" w:type="dxa"/>
            <w:tcBorders>
              <w:top w:val="nil"/>
              <w:left w:val="nil"/>
              <w:bottom w:val="nil"/>
              <w:right w:val="nil"/>
            </w:tcBorders>
            <w:shd w:val="clear" w:color="auto" w:fill="auto"/>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p>
        </w:tc>
        <w:tc>
          <w:tcPr>
            <w:tcW w:w="1594" w:type="dxa"/>
            <w:tcBorders>
              <w:top w:val="nil"/>
              <w:left w:val="nil"/>
              <w:bottom w:val="nil"/>
              <w:right w:val="nil"/>
            </w:tcBorders>
            <w:shd w:val="clear" w:color="auto" w:fill="auto"/>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0</w:t>
            </w:r>
          </w:p>
        </w:tc>
        <w:tc>
          <w:tcPr>
            <w:tcW w:w="965" w:type="dxa"/>
            <w:tcBorders>
              <w:top w:val="nil"/>
              <w:left w:val="nil"/>
              <w:bottom w:val="nil"/>
              <w:right w:val="nil"/>
            </w:tcBorders>
            <w:shd w:val="clear" w:color="auto" w:fill="auto"/>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0.379</w:t>
            </w:r>
          </w:p>
        </w:tc>
        <w:tc>
          <w:tcPr>
            <w:tcW w:w="240" w:type="dxa"/>
            <w:tcBorders>
              <w:top w:val="nil"/>
              <w:left w:val="nil"/>
              <w:bottom w:val="nil"/>
              <w:right w:val="nil"/>
            </w:tcBorders>
            <w:shd w:val="clear" w:color="auto" w:fill="auto"/>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p>
        </w:tc>
        <w:tc>
          <w:tcPr>
            <w:tcW w:w="1266" w:type="dxa"/>
            <w:tcBorders>
              <w:top w:val="nil"/>
              <w:left w:val="nil"/>
              <w:bottom w:val="nil"/>
              <w:right w:val="nil"/>
            </w:tcBorders>
            <w:shd w:val="clear" w:color="auto" w:fill="auto"/>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1 (3.7)</w:t>
            </w:r>
          </w:p>
        </w:tc>
        <w:tc>
          <w:tcPr>
            <w:tcW w:w="982" w:type="dxa"/>
            <w:tcBorders>
              <w:top w:val="nil"/>
              <w:left w:val="nil"/>
              <w:bottom w:val="nil"/>
              <w:right w:val="nil"/>
            </w:tcBorders>
            <w:shd w:val="clear" w:color="auto" w:fill="auto"/>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0.360</w:t>
            </w:r>
          </w:p>
        </w:tc>
        <w:tc>
          <w:tcPr>
            <w:tcW w:w="240" w:type="dxa"/>
            <w:tcBorders>
              <w:top w:val="nil"/>
              <w:left w:val="nil"/>
              <w:bottom w:val="nil"/>
              <w:right w:val="nil"/>
            </w:tcBorders>
            <w:shd w:val="clear" w:color="auto" w:fill="auto"/>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p>
        </w:tc>
        <w:tc>
          <w:tcPr>
            <w:tcW w:w="1371" w:type="dxa"/>
            <w:tcBorders>
              <w:top w:val="nil"/>
              <w:left w:val="nil"/>
              <w:bottom w:val="nil"/>
              <w:right w:val="nil"/>
            </w:tcBorders>
            <w:shd w:val="clear" w:color="auto" w:fill="auto"/>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1 (3.8)</w:t>
            </w:r>
          </w:p>
        </w:tc>
        <w:tc>
          <w:tcPr>
            <w:tcW w:w="1222" w:type="dxa"/>
            <w:tcBorders>
              <w:top w:val="nil"/>
              <w:left w:val="nil"/>
              <w:bottom w:val="nil"/>
              <w:right w:val="nil"/>
            </w:tcBorders>
            <w:shd w:val="clear" w:color="auto" w:fill="auto"/>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0.339</w:t>
            </w:r>
          </w:p>
        </w:tc>
        <w:tc>
          <w:tcPr>
            <w:tcW w:w="240" w:type="dxa"/>
            <w:tcBorders>
              <w:top w:val="nil"/>
              <w:left w:val="nil"/>
              <w:bottom w:val="nil"/>
              <w:right w:val="nil"/>
            </w:tcBorders>
            <w:shd w:val="clear" w:color="auto" w:fill="auto"/>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p>
        </w:tc>
        <w:tc>
          <w:tcPr>
            <w:tcW w:w="1153" w:type="dxa"/>
            <w:tcBorders>
              <w:top w:val="nil"/>
              <w:left w:val="nil"/>
              <w:bottom w:val="nil"/>
              <w:right w:val="nil"/>
            </w:tcBorders>
            <w:shd w:val="clear" w:color="auto" w:fill="auto"/>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0</w:t>
            </w:r>
          </w:p>
        </w:tc>
        <w:tc>
          <w:tcPr>
            <w:tcW w:w="1238" w:type="dxa"/>
            <w:tcBorders>
              <w:top w:val="nil"/>
              <w:left w:val="nil"/>
              <w:bottom w:val="nil"/>
              <w:right w:val="nil"/>
            </w:tcBorders>
            <w:shd w:val="clear" w:color="auto" w:fill="auto"/>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0.728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3" w:hRule="atLeast"/>
        </w:trPr>
        <w:tc>
          <w:tcPr>
            <w:tcW w:w="2315" w:type="dxa"/>
            <w:tcBorders>
              <w:top w:val="nil"/>
              <w:left w:val="nil"/>
              <w:bottom w:val="nil"/>
              <w:right w:val="nil"/>
            </w:tcBorders>
            <w:shd w:val="clear" w:color="auto" w:fill="auto"/>
          </w:tcPr>
          <w:p>
            <w:pPr>
              <w:keepNext w:val="0"/>
              <w:keepLines w:val="0"/>
              <w:widowControl w:val="0"/>
              <w:suppressLineNumbers w:val="0"/>
              <w:spacing w:before="0" w:beforeAutospacing="0" w:afterAutospacing="0"/>
              <w:ind w:left="220" w:leftChars="100" w:right="0"/>
              <w:jc w:val="left"/>
              <w:rPr>
                <w:rFonts w:hint="default" w:ascii="Times New Roman" w:hAnsi="Times New Roman" w:cs="Times New Roman"/>
              </w:rPr>
            </w:pPr>
            <w:r>
              <w:rPr>
                <w:rFonts w:hint="default" w:ascii="Times New Roman" w:hAnsi="Times New Roman" w:cs="Times New Roman"/>
              </w:rPr>
              <w:t xml:space="preserve">Echinocandins </w:t>
            </w:r>
          </w:p>
        </w:tc>
        <w:tc>
          <w:tcPr>
            <w:tcW w:w="1290" w:type="dxa"/>
            <w:tcBorders>
              <w:top w:val="nil"/>
              <w:left w:val="nil"/>
              <w:bottom w:val="nil"/>
              <w:right w:val="nil"/>
            </w:tcBorders>
            <w:shd w:val="clear" w:color="auto" w:fill="auto"/>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2 (2.3)</w:t>
            </w:r>
          </w:p>
        </w:tc>
        <w:tc>
          <w:tcPr>
            <w:tcW w:w="1215" w:type="dxa"/>
            <w:tcBorders>
              <w:top w:val="nil"/>
              <w:left w:val="nil"/>
              <w:bottom w:val="nil"/>
              <w:right w:val="nil"/>
            </w:tcBorders>
            <w:shd w:val="clear" w:color="auto" w:fill="auto"/>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0.073</w:t>
            </w:r>
          </w:p>
        </w:tc>
        <w:tc>
          <w:tcPr>
            <w:tcW w:w="240" w:type="dxa"/>
            <w:tcBorders>
              <w:top w:val="nil"/>
              <w:left w:val="nil"/>
              <w:bottom w:val="nil"/>
              <w:right w:val="nil"/>
            </w:tcBorders>
            <w:shd w:val="clear" w:color="auto" w:fill="auto"/>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p>
        </w:tc>
        <w:tc>
          <w:tcPr>
            <w:tcW w:w="1594" w:type="dxa"/>
            <w:tcBorders>
              <w:top w:val="nil"/>
              <w:left w:val="nil"/>
              <w:bottom w:val="nil"/>
              <w:right w:val="nil"/>
            </w:tcBorders>
            <w:shd w:val="clear" w:color="auto" w:fill="auto"/>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3 (8.1)</w:t>
            </w:r>
          </w:p>
        </w:tc>
        <w:tc>
          <w:tcPr>
            <w:tcW w:w="965" w:type="dxa"/>
            <w:tcBorders>
              <w:top w:val="nil"/>
              <w:left w:val="nil"/>
              <w:bottom w:val="nil"/>
              <w:right w:val="nil"/>
            </w:tcBorders>
            <w:shd w:val="clear" w:color="auto" w:fill="auto"/>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0.428</w:t>
            </w:r>
          </w:p>
        </w:tc>
        <w:tc>
          <w:tcPr>
            <w:tcW w:w="240" w:type="dxa"/>
            <w:tcBorders>
              <w:top w:val="nil"/>
              <w:left w:val="nil"/>
              <w:bottom w:val="nil"/>
              <w:right w:val="nil"/>
            </w:tcBorders>
            <w:shd w:val="clear" w:color="auto" w:fill="auto"/>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p>
        </w:tc>
        <w:tc>
          <w:tcPr>
            <w:tcW w:w="1266" w:type="dxa"/>
            <w:tcBorders>
              <w:top w:val="nil"/>
              <w:left w:val="nil"/>
              <w:bottom w:val="nil"/>
              <w:right w:val="nil"/>
            </w:tcBorders>
            <w:shd w:val="clear" w:color="auto" w:fill="auto"/>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3 (11.1)</w:t>
            </w:r>
          </w:p>
        </w:tc>
        <w:tc>
          <w:tcPr>
            <w:tcW w:w="982" w:type="dxa"/>
            <w:tcBorders>
              <w:top w:val="nil"/>
              <w:left w:val="nil"/>
              <w:bottom w:val="nil"/>
              <w:right w:val="nil"/>
            </w:tcBorders>
            <w:shd w:val="clear" w:color="auto" w:fill="auto"/>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0.162</w:t>
            </w:r>
          </w:p>
        </w:tc>
        <w:tc>
          <w:tcPr>
            <w:tcW w:w="240" w:type="dxa"/>
            <w:tcBorders>
              <w:top w:val="nil"/>
              <w:left w:val="nil"/>
              <w:bottom w:val="nil"/>
              <w:right w:val="nil"/>
            </w:tcBorders>
            <w:shd w:val="clear" w:color="auto" w:fill="auto"/>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p>
        </w:tc>
        <w:tc>
          <w:tcPr>
            <w:tcW w:w="1371" w:type="dxa"/>
            <w:tcBorders>
              <w:top w:val="nil"/>
              <w:left w:val="nil"/>
              <w:bottom w:val="nil"/>
              <w:right w:val="nil"/>
            </w:tcBorders>
            <w:shd w:val="clear" w:color="auto" w:fill="auto"/>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1 (3.8)</w:t>
            </w:r>
          </w:p>
        </w:tc>
        <w:tc>
          <w:tcPr>
            <w:tcW w:w="1222" w:type="dxa"/>
            <w:tcBorders>
              <w:top w:val="nil"/>
              <w:left w:val="nil"/>
              <w:bottom w:val="nil"/>
              <w:right w:val="nil"/>
            </w:tcBorders>
            <w:shd w:val="clear" w:color="auto" w:fill="auto"/>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0.695</w:t>
            </w:r>
          </w:p>
        </w:tc>
        <w:tc>
          <w:tcPr>
            <w:tcW w:w="240" w:type="dxa"/>
            <w:tcBorders>
              <w:top w:val="nil"/>
              <w:left w:val="nil"/>
              <w:bottom w:val="nil"/>
              <w:right w:val="nil"/>
            </w:tcBorders>
            <w:shd w:val="clear" w:color="auto" w:fill="auto"/>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p>
        </w:tc>
        <w:tc>
          <w:tcPr>
            <w:tcW w:w="1153" w:type="dxa"/>
            <w:tcBorders>
              <w:top w:val="nil"/>
              <w:left w:val="nil"/>
              <w:bottom w:val="nil"/>
              <w:right w:val="nil"/>
            </w:tcBorders>
            <w:shd w:val="clear" w:color="auto" w:fill="auto"/>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1 (14.3)</w:t>
            </w:r>
          </w:p>
        </w:tc>
        <w:tc>
          <w:tcPr>
            <w:tcW w:w="1238" w:type="dxa"/>
            <w:tcBorders>
              <w:top w:val="nil"/>
              <w:left w:val="nil"/>
              <w:bottom w:val="nil"/>
              <w:right w:val="nil"/>
            </w:tcBorders>
            <w:shd w:val="clear" w:color="auto" w:fill="auto"/>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0.295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3" w:hRule="atLeast"/>
        </w:trPr>
        <w:tc>
          <w:tcPr>
            <w:tcW w:w="2315"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Sites</w:t>
            </w:r>
          </w:p>
        </w:tc>
        <w:tc>
          <w:tcPr>
            <w:tcW w:w="1290"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p>
        </w:tc>
        <w:tc>
          <w:tcPr>
            <w:tcW w:w="1215"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p>
        </w:tc>
        <w:tc>
          <w:tcPr>
            <w:tcW w:w="240"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p>
        </w:tc>
        <w:tc>
          <w:tcPr>
            <w:tcW w:w="1594"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p>
        </w:tc>
        <w:tc>
          <w:tcPr>
            <w:tcW w:w="965"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p>
        </w:tc>
        <w:tc>
          <w:tcPr>
            <w:tcW w:w="240"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p>
        </w:tc>
        <w:tc>
          <w:tcPr>
            <w:tcW w:w="1266"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p>
        </w:tc>
        <w:tc>
          <w:tcPr>
            <w:tcW w:w="982"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p>
        </w:tc>
        <w:tc>
          <w:tcPr>
            <w:tcW w:w="240"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p>
        </w:tc>
        <w:tc>
          <w:tcPr>
            <w:tcW w:w="1371"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p>
        </w:tc>
        <w:tc>
          <w:tcPr>
            <w:tcW w:w="1222"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p>
        </w:tc>
        <w:tc>
          <w:tcPr>
            <w:tcW w:w="240"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p>
        </w:tc>
        <w:tc>
          <w:tcPr>
            <w:tcW w:w="1153"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p>
        </w:tc>
        <w:tc>
          <w:tcPr>
            <w:tcW w:w="1238"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3" w:hRule="atLeast"/>
        </w:trPr>
        <w:tc>
          <w:tcPr>
            <w:tcW w:w="2315"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220" w:leftChars="100" w:right="0"/>
              <w:jc w:val="left"/>
              <w:rPr>
                <w:rFonts w:hint="default" w:ascii="Times New Roman" w:hAnsi="Times New Roman" w:cs="Times New Roman"/>
              </w:rPr>
            </w:pPr>
            <w:r>
              <w:rPr>
                <w:rFonts w:hint="default" w:ascii="Times New Roman" w:hAnsi="Times New Roman" w:cs="Times New Roman"/>
              </w:rPr>
              <w:t>Blood/CVC</w:t>
            </w:r>
          </w:p>
        </w:tc>
        <w:tc>
          <w:tcPr>
            <w:tcW w:w="1290"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54 (62.1)</w:t>
            </w:r>
          </w:p>
        </w:tc>
        <w:tc>
          <w:tcPr>
            <w:tcW w:w="1215"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0.002**</w:t>
            </w:r>
          </w:p>
        </w:tc>
        <w:tc>
          <w:tcPr>
            <w:tcW w:w="240"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p>
        </w:tc>
        <w:tc>
          <w:tcPr>
            <w:tcW w:w="1594"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34 (92.0)</w:t>
            </w:r>
          </w:p>
        </w:tc>
        <w:tc>
          <w:tcPr>
            <w:tcW w:w="965"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0.003**</w:t>
            </w:r>
          </w:p>
        </w:tc>
        <w:tc>
          <w:tcPr>
            <w:tcW w:w="240"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p>
        </w:tc>
        <w:tc>
          <w:tcPr>
            <w:tcW w:w="1266"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23 (85.2)</w:t>
            </w:r>
          </w:p>
        </w:tc>
        <w:tc>
          <w:tcPr>
            <w:tcW w:w="982"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0.114</w:t>
            </w:r>
          </w:p>
        </w:tc>
        <w:tc>
          <w:tcPr>
            <w:tcW w:w="240"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p>
        </w:tc>
        <w:tc>
          <w:tcPr>
            <w:tcW w:w="1371"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19 (73.1)</w:t>
            </w:r>
          </w:p>
        </w:tc>
        <w:tc>
          <w:tcPr>
            <w:tcW w:w="1222"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0.961</w:t>
            </w:r>
          </w:p>
        </w:tc>
        <w:tc>
          <w:tcPr>
            <w:tcW w:w="240"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p>
        </w:tc>
        <w:tc>
          <w:tcPr>
            <w:tcW w:w="1153"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4 (57.1)</w:t>
            </w:r>
          </w:p>
        </w:tc>
        <w:tc>
          <w:tcPr>
            <w:tcW w:w="1238"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0.347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3" w:hRule="atLeast"/>
        </w:trPr>
        <w:tc>
          <w:tcPr>
            <w:tcW w:w="2315"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220" w:leftChars="100" w:right="0"/>
              <w:jc w:val="left"/>
              <w:rPr>
                <w:rFonts w:hint="default" w:ascii="Times New Roman" w:hAnsi="Times New Roman" w:cs="Times New Roman"/>
              </w:rPr>
            </w:pPr>
            <w:r>
              <w:rPr>
                <w:rFonts w:hint="default" w:ascii="Times New Roman" w:hAnsi="Times New Roman" w:cs="Times New Roman"/>
              </w:rPr>
              <w:t xml:space="preserve">Drainage </w:t>
            </w:r>
          </w:p>
        </w:tc>
        <w:tc>
          <w:tcPr>
            <w:tcW w:w="1290"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20 (23.0)</w:t>
            </w:r>
          </w:p>
        </w:tc>
        <w:tc>
          <w:tcPr>
            <w:tcW w:w="1215"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0.022*</w:t>
            </w:r>
          </w:p>
        </w:tc>
        <w:tc>
          <w:tcPr>
            <w:tcW w:w="240"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p>
        </w:tc>
        <w:tc>
          <w:tcPr>
            <w:tcW w:w="1594"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1 (2.7)</w:t>
            </w:r>
          </w:p>
        </w:tc>
        <w:tc>
          <w:tcPr>
            <w:tcW w:w="965"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0.012*</w:t>
            </w:r>
          </w:p>
        </w:tc>
        <w:tc>
          <w:tcPr>
            <w:tcW w:w="240"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p>
        </w:tc>
        <w:tc>
          <w:tcPr>
            <w:tcW w:w="1266"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2 (7.4)</w:t>
            </w:r>
          </w:p>
        </w:tc>
        <w:tc>
          <w:tcPr>
            <w:tcW w:w="982"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0.172</w:t>
            </w:r>
          </w:p>
        </w:tc>
        <w:tc>
          <w:tcPr>
            <w:tcW w:w="240"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p>
        </w:tc>
        <w:tc>
          <w:tcPr>
            <w:tcW w:w="1371"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5 (19.2)</w:t>
            </w:r>
          </w:p>
        </w:tc>
        <w:tc>
          <w:tcPr>
            <w:tcW w:w="1222"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0.673</w:t>
            </w:r>
          </w:p>
        </w:tc>
        <w:tc>
          <w:tcPr>
            <w:tcW w:w="240"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p>
        </w:tc>
        <w:tc>
          <w:tcPr>
            <w:tcW w:w="1153"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3 (42.9)</w:t>
            </w:r>
          </w:p>
        </w:tc>
        <w:tc>
          <w:tcPr>
            <w:tcW w:w="1238"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0.054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3" w:hRule="atLeast"/>
        </w:trPr>
        <w:tc>
          <w:tcPr>
            <w:tcW w:w="2315"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220" w:leftChars="100" w:right="0"/>
              <w:jc w:val="left"/>
              <w:rPr>
                <w:rFonts w:hint="default" w:ascii="Times New Roman" w:hAnsi="Times New Roman" w:cs="Times New Roman"/>
              </w:rPr>
            </w:pPr>
            <w:r>
              <w:rPr>
                <w:rFonts w:hint="default" w:ascii="Times New Roman" w:hAnsi="Times New Roman" w:cs="Times New Roman"/>
              </w:rPr>
              <w:t>CSF</w:t>
            </w:r>
          </w:p>
        </w:tc>
        <w:tc>
          <w:tcPr>
            <w:tcW w:w="1290"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8 (9.2)</w:t>
            </w:r>
          </w:p>
        </w:tc>
        <w:tc>
          <w:tcPr>
            <w:tcW w:w="1215"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0.002**</w:t>
            </w:r>
          </w:p>
        </w:tc>
        <w:tc>
          <w:tcPr>
            <w:tcW w:w="240"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p>
        </w:tc>
        <w:tc>
          <w:tcPr>
            <w:tcW w:w="1594"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0 (0.0)</w:t>
            </w:r>
          </w:p>
        </w:tc>
        <w:tc>
          <w:tcPr>
            <w:tcW w:w="965"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0.145</w:t>
            </w:r>
          </w:p>
        </w:tc>
        <w:tc>
          <w:tcPr>
            <w:tcW w:w="240"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p>
        </w:tc>
        <w:tc>
          <w:tcPr>
            <w:tcW w:w="1266"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0 (0.0)</w:t>
            </w:r>
          </w:p>
        </w:tc>
        <w:tc>
          <w:tcPr>
            <w:tcW w:w="982"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0.229</w:t>
            </w:r>
          </w:p>
        </w:tc>
        <w:tc>
          <w:tcPr>
            <w:tcW w:w="240"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p>
        </w:tc>
        <w:tc>
          <w:tcPr>
            <w:tcW w:w="1371"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0 (0.0)</w:t>
            </w:r>
          </w:p>
        </w:tc>
        <w:tc>
          <w:tcPr>
            <w:tcW w:w="1222"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0.239</w:t>
            </w:r>
          </w:p>
        </w:tc>
        <w:tc>
          <w:tcPr>
            <w:tcW w:w="240"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p>
        </w:tc>
        <w:tc>
          <w:tcPr>
            <w:tcW w:w="1153"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0 (0.0)</w:t>
            </w:r>
          </w:p>
        </w:tc>
        <w:tc>
          <w:tcPr>
            <w:tcW w:w="1238"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0.564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3" w:hRule="atLeast"/>
        </w:trPr>
        <w:tc>
          <w:tcPr>
            <w:tcW w:w="2315"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220" w:leftChars="100" w:right="0"/>
              <w:jc w:val="left"/>
              <w:rPr>
                <w:rFonts w:hint="default" w:ascii="Times New Roman" w:hAnsi="Times New Roman" w:cs="Times New Roman"/>
              </w:rPr>
            </w:pPr>
            <w:r>
              <w:rPr>
                <w:rFonts w:hint="default" w:ascii="Times New Roman" w:hAnsi="Times New Roman" w:cs="Times New Roman"/>
              </w:rPr>
              <w:t>Other puncture fluids</w:t>
            </w:r>
          </w:p>
        </w:tc>
        <w:tc>
          <w:tcPr>
            <w:tcW w:w="1290"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5 (5.7)</w:t>
            </w:r>
          </w:p>
        </w:tc>
        <w:tc>
          <w:tcPr>
            <w:tcW w:w="1215"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0.496</w:t>
            </w:r>
          </w:p>
        </w:tc>
        <w:tc>
          <w:tcPr>
            <w:tcW w:w="240"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p>
        </w:tc>
        <w:tc>
          <w:tcPr>
            <w:tcW w:w="1594"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2 (5.4)</w:t>
            </w:r>
          </w:p>
        </w:tc>
        <w:tc>
          <w:tcPr>
            <w:tcW w:w="965"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0.653</w:t>
            </w:r>
          </w:p>
        </w:tc>
        <w:tc>
          <w:tcPr>
            <w:tcW w:w="240"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p>
        </w:tc>
        <w:tc>
          <w:tcPr>
            <w:tcW w:w="1266"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2 (7.4)</w:t>
            </w:r>
          </w:p>
        </w:tc>
        <w:tc>
          <w:tcPr>
            <w:tcW w:w="982"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0.947</w:t>
            </w:r>
          </w:p>
        </w:tc>
        <w:tc>
          <w:tcPr>
            <w:tcW w:w="240"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p>
        </w:tc>
        <w:tc>
          <w:tcPr>
            <w:tcW w:w="1371"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4 (15.4)</w:t>
            </w:r>
          </w:p>
        </w:tc>
        <w:tc>
          <w:tcPr>
            <w:tcW w:w="1222"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0.076</w:t>
            </w:r>
          </w:p>
        </w:tc>
        <w:tc>
          <w:tcPr>
            <w:tcW w:w="240"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p>
        </w:tc>
        <w:tc>
          <w:tcPr>
            <w:tcW w:w="1153"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1 (14.3)</w:t>
            </w:r>
          </w:p>
        </w:tc>
        <w:tc>
          <w:tcPr>
            <w:tcW w:w="1238"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0.451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3" w:hRule="atLeast"/>
        </w:trPr>
        <w:tc>
          <w:tcPr>
            <w:tcW w:w="2315"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220" w:leftChars="100" w:right="0"/>
              <w:jc w:val="left"/>
              <w:rPr>
                <w:rFonts w:hint="default" w:ascii="Times New Roman" w:hAnsi="Times New Roman" w:cs="Times New Roman"/>
              </w:rPr>
            </w:pPr>
            <w:r>
              <w:rPr>
                <w:rFonts w:hint="default" w:ascii="Times New Roman" w:hAnsi="Times New Roman" w:cs="Times New Roman"/>
              </w:rPr>
              <w:t xml:space="preserve">Bone </w:t>
            </w:r>
          </w:p>
        </w:tc>
        <w:tc>
          <w:tcPr>
            <w:tcW w:w="1290"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2 (2.3)</w:t>
            </w:r>
          </w:p>
        </w:tc>
        <w:tc>
          <w:tcPr>
            <w:tcW w:w="1215"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0.135</w:t>
            </w:r>
          </w:p>
        </w:tc>
        <w:tc>
          <w:tcPr>
            <w:tcW w:w="240"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p>
        </w:tc>
        <w:tc>
          <w:tcPr>
            <w:tcW w:w="1594"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0 (0.0)</w:t>
            </w:r>
          </w:p>
        </w:tc>
        <w:tc>
          <w:tcPr>
            <w:tcW w:w="965"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0.474</w:t>
            </w:r>
          </w:p>
        </w:tc>
        <w:tc>
          <w:tcPr>
            <w:tcW w:w="240"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p>
        </w:tc>
        <w:tc>
          <w:tcPr>
            <w:tcW w:w="1266"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0 (0.0)</w:t>
            </w:r>
          </w:p>
        </w:tc>
        <w:tc>
          <w:tcPr>
            <w:tcW w:w="982"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0.554</w:t>
            </w:r>
          </w:p>
        </w:tc>
        <w:tc>
          <w:tcPr>
            <w:tcW w:w="240"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p>
        </w:tc>
        <w:tc>
          <w:tcPr>
            <w:tcW w:w="1371"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0 (0.0)</w:t>
            </w:r>
          </w:p>
        </w:tc>
        <w:tc>
          <w:tcPr>
            <w:tcW w:w="1222"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0.563</w:t>
            </w:r>
          </w:p>
        </w:tc>
        <w:tc>
          <w:tcPr>
            <w:tcW w:w="240"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p>
        </w:tc>
        <w:tc>
          <w:tcPr>
            <w:tcW w:w="1153"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0 (0.0)</w:t>
            </w:r>
          </w:p>
        </w:tc>
        <w:tc>
          <w:tcPr>
            <w:tcW w:w="1238"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0.777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1" w:hRule="atLeast"/>
        </w:trPr>
        <w:tc>
          <w:tcPr>
            <w:tcW w:w="2315" w:type="dxa"/>
            <w:tcBorders>
              <w:top w:val="nil"/>
              <w:left w:val="nil"/>
              <w:bottom w:val="single" w:color="auto" w:sz="8" w:space="0"/>
              <w:right w:val="nil"/>
            </w:tcBorders>
            <w:shd w:val="clear" w:color="auto" w:fill="auto"/>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90-day all-cause mortality</w:t>
            </w:r>
            <w:r>
              <w:rPr>
                <w:rFonts w:hint="default" w:ascii="Times New Roman" w:hAnsi="Times New Roman" w:cs="Times New Roman"/>
                <w:lang w:val="en-US" w:eastAsia="zh-CN"/>
              </w:rPr>
              <w:t xml:space="preserve"> </w:t>
            </w:r>
            <w:r>
              <w:rPr>
                <w:rFonts w:hint="default" w:ascii="Times New Roman" w:hAnsi="Times New Roman" w:cs="Times New Roman"/>
                <w:vertAlign w:val="superscript"/>
                <w:lang w:val="en-US" w:eastAsia="zh-CN"/>
              </w:rPr>
              <w:t>a</w:t>
            </w:r>
          </w:p>
        </w:tc>
        <w:tc>
          <w:tcPr>
            <w:tcW w:w="1290" w:type="dxa"/>
            <w:tcBorders>
              <w:top w:val="nil"/>
              <w:left w:val="nil"/>
              <w:bottom w:val="single" w:color="auto" w:sz="8" w:space="0"/>
              <w:right w:val="nil"/>
            </w:tcBorders>
            <w:shd w:val="clear" w:color="auto" w:fill="auto"/>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22 (28.9)</w:t>
            </w:r>
          </w:p>
        </w:tc>
        <w:tc>
          <w:tcPr>
            <w:tcW w:w="1215" w:type="dxa"/>
            <w:tcBorders>
              <w:top w:val="nil"/>
              <w:left w:val="nil"/>
              <w:bottom w:val="single" w:color="auto" w:sz="8" w:space="0"/>
              <w:right w:val="nil"/>
            </w:tcBorders>
            <w:shd w:val="clear" w:color="auto" w:fill="auto"/>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0.334</w:t>
            </w:r>
          </w:p>
        </w:tc>
        <w:tc>
          <w:tcPr>
            <w:tcW w:w="240" w:type="dxa"/>
            <w:tcBorders>
              <w:top w:val="nil"/>
              <w:left w:val="nil"/>
              <w:bottom w:val="single" w:color="auto" w:sz="8" w:space="0"/>
              <w:right w:val="nil"/>
            </w:tcBorders>
            <w:shd w:val="clear" w:color="auto" w:fill="auto"/>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p>
        </w:tc>
        <w:tc>
          <w:tcPr>
            <w:tcW w:w="1594" w:type="dxa"/>
            <w:tcBorders>
              <w:top w:val="nil"/>
              <w:left w:val="nil"/>
              <w:bottom w:val="single" w:color="auto" w:sz="8" w:space="0"/>
              <w:right w:val="nil"/>
            </w:tcBorders>
            <w:shd w:val="clear" w:color="auto" w:fill="auto"/>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9 (25.7)</w:t>
            </w:r>
          </w:p>
        </w:tc>
        <w:tc>
          <w:tcPr>
            <w:tcW w:w="965" w:type="dxa"/>
            <w:tcBorders>
              <w:top w:val="nil"/>
              <w:left w:val="nil"/>
              <w:bottom w:val="single" w:color="auto" w:sz="8" w:space="0"/>
              <w:right w:val="nil"/>
            </w:tcBorders>
            <w:shd w:val="clear" w:color="auto" w:fill="auto"/>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0.318</w:t>
            </w:r>
          </w:p>
        </w:tc>
        <w:tc>
          <w:tcPr>
            <w:tcW w:w="240" w:type="dxa"/>
            <w:tcBorders>
              <w:top w:val="nil"/>
              <w:left w:val="nil"/>
              <w:bottom w:val="single" w:color="auto" w:sz="8" w:space="0"/>
              <w:right w:val="nil"/>
            </w:tcBorders>
            <w:shd w:val="clear" w:color="auto" w:fill="auto"/>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p>
        </w:tc>
        <w:tc>
          <w:tcPr>
            <w:tcW w:w="1266" w:type="dxa"/>
            <w:tcBorders>
              <w:top w:val="nil"/>
              <w:left w:val="nil"/>
              <w:bottom w:val="single" w:color="auto" w:sz="8" w:space="0"/>
              <w:right w:val="nil"/>
            </w:tcBorders>
            <w:shd w:val="clear" w:color="auto" w:fill="auto"/>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11 (45.8)</w:t>
            </w:r>
          </w:p>
        </w:tc>
        <w:tc>
          <w:tcPr>
            <w:tcW w:w="982" w:type="dxa"/>
            <w:tcBorders>
              <w:top w:val="nil"/>
              <w:left w:val="nil"/>
              <w:bottom w:val="single" w:color="auto" w:sz="8" w:space="0"/>
              <w:right w:val="nil"/>
            </w:tcBorders>
            <w:shd w:val="clear" w:color="auto" w:fill="auto"/>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0.137</w:t>
            </w:r>
          </w:p>
        </w:tc>
        <w:tc>
          <w:tcPr>
            <w:tcW w:w="240" w:type="dxa"/>
            <w:tcBorders>
              <w:top w:val="nil"/>
              <w:left w:val="nil"/>
              <w:bottom w:val="single" w:color="auto" w:sz="8" w:space="0"/>
              <w:right w:val="nil"/>
            </w:tcBorders>
            <w:shd w:val="clear" w:color="auto" w:fill="auto"/>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p>
        </w:tc>
        <w:tc>
          <w:tcPr>
            <w:tcW w:w="1371" w:type="dxa"/>
            <w:tcBorders>
              <w:top w:val="nil"/>
              <w:left w:val="nil"/>
              <w:bottom w:val="single" w:color="auto" w:sz="8" w:space="0"/>
              <w:right w:val="nil"/>
            </w:tcBorders>
            <w:shd w:val="clear" w:color="auto" w:fill="auto"/>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9 (40.9)</w:t>
            </w:r>
          </w:p>
        </w:tc>
        <w:tc>
          <w:tcPr>
            <w:tcW w:w="1222" w:type="dxa"/>
            <w:tcBorders>
              <w:top w:val="nil"/>
              <w:left w:val="nil"/>
              <w:bottom w:val="single" w:color="auto" w:sz="8" w:space="0"/>
              <w:right w:val="nil"/>
            </w:tcBorders>
            <w:shd w:val="clear" w:color="auto" w:fill="auto"/>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0.377</w:t>
            </w:r>
          </w:p>
        </w:tc>
        <w:tc>
          <w:tcPr>
            <w:tcW w:w="240" w:type="dxa"/>
            <w:tcBorders>
              <w:top w:val="nil"/>
              <w:left w:val="nil"/>
              <w:bottom w:val="single" w:color="auto" w:sz="8" w:space="0"/>
              <w:right w:val="nil"/>
            </w:tcBorders>
            <w:shd w:val="clear" w:color="auto" w:fill="auto"/>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p>
        </w:tc>
        <w:tc>
          <w:tcPr>
            <w:tcW w:w="1153" w:type="dxa"/>
            <w:tcBorders>
              <w:top w:val="nil"/>
              <w:left w:val="nil"/>
              <w:bottom w:val="single" w:color="auto" w:sz="8" w:space="0"/>
              <w:right w:val="nil"/>
            </w:tcBorders>
            <w:shd w:val="clear" w:color="auto" w:fill="auto"/>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1 (25.0)</w:t>
            </w:r>
          </w:p>
        </w:tc>
        <w:tc>
          <w:tcPr>
            <w:tcW w:w="1238" w:type="dxa"/>
            <w:tcBorders>
              <w:top w:val="nil"/>
              <w:left w:val="nil"/>
              <w:bottom w:val="single" w:color="auto" w:sz="8" w:space="0"/>
              <w:right w:val="nil"/>
            </w:tcBorders>
            <w:shd w:val="clear" w:color="auto" w:fill="auto"/>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0.739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49" w:hRule="atLeast"/>
        </w:trPr>
        <w:tc>
          <w:tcPr>
            <w:tcW w:w="15571" w:type="dxa"/>
            <w:gridSpan w:val="15"/>
            <w:tcBorders>
              <w:top w:val="single" w:color="auto" w:sz="8" w:space="0"/>
              <w:left w:val="nil"/>
              <w:bottom w:val="nil"/>
              <w:right w:val="nil"/>
            </w:tcBorders>
            <w:shd w:val="clear" w:color="auto" w:fill="auto"/>
          </w:tcPr>
          <w:p>
            <w:pPr>
              <w:keepNext w:val="0"/>
              <w:keepLines w:val="0"/>
              <w:widowControl w:val="0"/>
              <w:suppressLineNumbers w:val="0"/>
              <w:spacing w:before="0" w:beforeAutospacing="0" w:after="0" w:afterAutospacing="0" w:line="260" w:lineRule="auto"/>
              <w:ind w:left="0" w:right="0"/>
              <w:jc w:val="both"/>
              <w:rPr>
                <w:rFonts w:hint="default" w:ascii="Times New Roman" w:hAnsi="Times New Roman" w:cs="Times New Roman"/>
              </w:rPr>
            </w:pPr>
            <w:r>
              <w:rPr>
                <w:rFonts w:hint="default" w:ascii="Times New Roman" w:hAnsi="Times New Roman" w:cs="Times New Roman"/>
              </w:rPr>
              <w:t>Normally distributed variables are presented with mean±standard deviation and compared using two-tailed student t-test</w:t>
            </w:r>
            <w:r>
              <w:rPr>
                <w:rFonts w:hint="eastAsia" w:ascii="Times New Roman" w:hAnsi="Times New Roman" w:cs="Times New Roman"/>
                <w:lang w:val="en-US" w:eastAsia="zh-CN"/>
              </w:rPr>
              <w:t>s</w:t>
            </w:r>
            <w:r>
              <w:rPr>
                <w:rFonts w:hint="default" w:ascii="Times New Roman" w:hAnsi="Times New Roman" w:cs="Times New Roman"/>
              </w:rPr>
              <w:t>; Non-normally distributed variables are presented with median (interquartile range) and compared using Mann-Whitney U tests; Categorical variables are presented with the patient number (percentage, %) and compared using chi-squared test</w:t>
            </w:r>
            <w:r>
              <w:rPr>
                <w:rFonts w:hint="eastAsia" w:ascii="Times New Roman" w:hAnsi="Times New Roman" w:cs="Times New Roman"/>
                <w:lang w:val="en-US" w:eastAsia="zh-CN"/>
              </w:rPr>
              <w:t>s</w:t>
            </w:r>
            <w:r>
              <w:rPr>
                <w:rFonts w:hint="default" w:ascii="Times New Roman" w:hAnsi="Times New Roman" w:cs="Times New Roman"/>
              </w:rPr>
              <w:t xml:space="preserve">. </w:t>
            </w:r>
          </w:p>
          <w:p>
            <w:pPr>
              <w:keepNext w:val="0"/>
              <w:keepLines w:val="0"/>
              <w:widowControl w:val="0"/>
              <w:suppressLineNumbers w:val="0"/>
              <w:spacing w:before="0" w:beforeAutospacing="0" w:after="0" w:afterAutospacing="0" w:line="260" w:lineRule="auto"/>
              <w:ind w:left="0" w:right="0"/>
              <w:jc w:val="both"/>
              <w:rPr>
                <w:rFonts w:hint="default" w:ascii="Times New Roman" w:hAnsi="Times New Roman" w:cs="Times New Roman"/>
              </w:rPr>
            </w:pPr>
            <w:r>
              <w:rPr>
                <w:rFonts w:hint="default" w:ascii="Times New Roman" w:hAnsi="Times New Roman" w:cs="Times New Roman"/>
              </w:rPr>
              <w:t xml:space="preserve">Rare </w:t>
            </w:r>
            <w:r>
              <w:rPr>
                <w:rFonts w:hint="default" w:ascii="Times New Roman" w:hAnsi="Times New Roman" w:cs="Times New Roman"/>
                <w:i/>
                <w:iCs/>
              </w:rPr>
              <w:t xml:space="preserve">Candida </w:t>
            </w:r>
            <w:r>
              <w:rPr>
                <w:rFonts w:hint="default" w:ascii="Times New Roman" w:hAnsi="Times New Roman" w:cs="Times New Roman"/>
              </w:rPr>
              <w:t xml:space="preserve">species are not included in this table, including </w:t>
            </w:r>
            <w:r>
              <w:rPr>
                <w:rFonts w:hint="default" w:ascii="Times New Roman" w:hAnsi="Times New Roman" w:eastAsia="KsqycxAdvOTa9103878" w:cs="Times New Roman"/>
                <w:i/>
                <w:iCs/>
                <w:color w:val="231F20"/>
                <w:lang w:bidi="ar"/>
              </w:rPr>
              <w:t>Candida inconspicua</w:t>
            </w:r>
            <w:r>
              <w:rPr>
                <w:rFonts w:hint="default" w:ascii="Times New Roman" w:hAnsi="Times New Roman" w:cs="Times New Roman"/>
              </w:rPr>
              <w:t xml:space="preserve">, </w:t>
            </w:r>
            <w:r>
              <w:rPr>
                <w:rFonts w:hint="default" w:ascii="Times New Roman" w:hAnsi="Times New Roman" w:eastAsia="KsqycxAdvOTa9103878" w:cs="Times New Roman"/>
                <w:i/>
                <w:iCs/>
                <w:color w:val="231F20"/>
                <w:lang w:bidi="ar"/>
              </w:rPr>
              <w:t>Candida kefyr</w:t>
            </w:r>
            <w:r>
              <w:rPr>
                <w:rFonts w:hint="default" w:ascii="Times New Roman" w:hAnsi="Times New Roman" w:cs="Times New Roman"/>
              </w:rPr>
              <w:t xml:space="preserve">, </w:t>
            </w:r>
            <w:r>
              <w:rPr>
                <w:rFonts w:hint="default" w:ascii="Times New Roman" w:hAnsi="Times New Roman" w:eastAsia="KsqycxAdvOTa9103878" w:cs="Times New Roman"/>
                <w:i/>
                <w:iCs/>
                <w:color w:val="231F20"/>
                <w:lang w:bidi="ar"/>
              </w:rPr>
              <w:t>Candida lipolytica</w:t>
            </w:r>
            <w:r>
              <w:rPr>
                <w:rFonts w:hint="default" w:ascii="Times New Roman" w:hAnsi="Times New Roman" w:cs="Times New Roman"/>
              </w:rPr>
              <w:t xml:space="preserve">, </w:t>
            </w:r>
            <w:r>
              <w:rPr>
                <w:rFonts w:hint="default" w:ascii="Times New Roman" w:hAnsi="Times New Roman" w:eastAsia="KsqycxAdvOTa9103878" w:cs="Times New Roman"/>
                <w:i/>
                <w:iCs/>
                <w:color w:val="231F20"/>
                <w:lang w:bidi="ar"/>
              </w:rPr>
              <w:t>Candida carpophila</w:t>
            </w:r>
            <w:r>
              <w:rPr>
                <w:rFonts w:hint="default" w:ascii="Times New Roman" w:hAnsi="Times New Roman" w:cs="Times New Roman"/>
              </w:rPr>
              <w:t xml:space="preserve">, </w:t>
            </w:r>
            <w:r>
              <w:rPr>
                <w:rFonts w:hint="default" w:ascii="Times New Roman" w:hAnsi="Times New Roman" w:eastAsia="KsqycxAdvOTa9103878" w:cs="Times New Roman"/>
                <w:i/>
                <w:iCs/>
                <w:color w:val="231F20"/>
                <w:lang w:bidi="ar"/>
              </w:rPr>
              <w:t>Candida guilliermondii</w:t>
            </w:r>
            <w:r>
              <w:rPr>
                <w:rFonts w:hint="default" w:ascii="Times New Roman" w:hAnsi="Times New Roman" w:cs="Times New Roman"/>
              </w:rPr>
              <w:t xml:space="preserve">. Mixed infection with two </w:t>
            </w:r>
            <w:r>
              <w:rPr>
                <w:rFonts w:hint="default" w:ascii="Times New Roman" w:hAnsi="Times New Roman" w:eastAsia="KsqycxAdvOTa9103878" w:cs="Times New Roman"/>
                <w:i/>
                <w:iCs/>
                <w:color w:val="231F20"/>
                <w:lang w:bidi="ar"/>
              </w:rPr>
              <w:t>Candida</w:t>
            </w:r>
            <w:r>
              <w:rPr>
                <w:rFonts w:hint="default" w:ascii="Times New Roman" w:hAnsi="Times New Roman" w:cs="Times New Roman"/>
              </w:rPr>
              <w:t xml:space="preserve"> species were analyzed in both </w:t>
            </w:r>
            <w:r>
              <w:rPr>
                <w:rFonts w:hint="default" w:ascii="Times New Roman" w:hAnsi="Times New Roman" w:cs="Times New Roman"/>
                <w:i/>
                <w:iCs/>
              </w:rPr>
              <w:t xml:space="preserve">Candida </w:t>
            </w:r>
            <w:r>
              <w:rPr>
                <w:rFonts w:hint="default" w:ascii="Times New Roman" w:hAnsi="Times New Roman" w:cs="Times New Roman"/>
              </w:rPr>
              <w:t xml:space="preserve">species groups. </w:t>
            </w:r>
            <w:r>
              <w:rPr>
                <w:rFonts w:hint="default" w:ascii="Times New Roman" w:hAnsi="Times New Roman" w:cs="Times New Roman"/>
                <w:vertAlign w:val="superscript"/>
                <w:lang w:val="en-US" w:eastAsia="zh-CN"/>
              </w:rPr>
              <w:t xml:space="preserve">a </w:t>
            </w:r>
            <w:r>
              <w:rPr>
                <w:rFonts w:hint="default" w:ascii="Times New Roman" w:hAnsi="Times New Roman" w:cs="Times New Roman"/>
              </w:rPr>
              <w:t xml:space="preserve">Mortality data were available in 159 episodes including 76 episodes of </w:t>
            </w:r>
            <w:r>
              <w:rPr>
                <w:rFonts w:hint="default" w:ascii="Times New Roman" w:hAnsi="Times New Roman" w:cs="Times New Roman"/>
                <w:i/>
                <w:iCs/>
              </w:rPr>
              <w:t>C.albicans</w:t>
            </w:r>
            <w:r>
              <w:rPr>
                <w:rFonts w:hint="default" w:ascii="Times New Roman" w:hAnsi="Times New Roman" w:cs="Times New Roman"/>
              </w:rPr>
              <w:t xml:space="preserve"> infection and 83 episodes of </w:t>
            </w:r>
            <w:r>
              <w:rPr>
                <w:rFonts w:hint="default" w:ascii="Times New Roman" w:hAnsi="Times New Roman" w:cs="Times New Roman"/>
                <w:i/>
                <w:iCs/>
              </w:rPr>
              <w:t>C.</w:t>
            </w:r>
            <w:r>
              <w:rPr>
                <w:rFonts w:hint="default" w:ascii="Times New Roman" w:hAnsi="Times New Roman" w:cs="Times New Roman"/>
              </w:rPr>
              <w:t>non-</w:t>
            </w:r>
            <w:r>
              <w:rPr>
                <w:rFonts w:hint="default" w:ascii="Times New Roman" w:hAnsi="Times New Roman" w:cs="Times New Roman"/>
                <w:i/>
                <w:iCs/>
              </w:rPr>
              <w:t>albicans</w:t>
            </w:r>
            <w:r>
              <w:rPr>
                <w:rFonts w:hint="default" w:ascii="Times New Roman" w:hAnsi="Times New Roman" w:cs="Times New Roman"/>
              </w:rPr>
              <w:t xml:space="preserve"> infection.</w:t>
            </w:r>
          </w:p>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 xml:space="preserve">Abbreviations: </w:t>
            </w:r>
            <w:r>
              <w:rPr>
                <w:rFonts w:hint="default" w:ascii="Times New Roman" w:hAnsi="Times New Roman" w:eastAsia="KsqycxAdvOTa9103878" w:cs="Times New Roman"/>
                <w:color w:val="231F20"/>
                <w:lang w:bidi="ar"/>
              </w:rPr>
              <w:t xml:space="preserve">CVC: </w:t>
            </w:r>
            <w:r>
              <w:rPr>
                <w:rFonts w:hint="default" w:ascii="Times New Roman" w:hAnsi="Times New Roman" w:eastAsia="宋体" w:cs="Times New Roman"/>
                <w:color w:val="231F20"/>
                <w:lang w:bidi="ar"/>
              </w:rPr>
              <w:t>C</w:t>
            </w:r>
            <w:r>
              <w:rPr>
                <w:rFonts w:hint="default" w:ascii="Times New Roman" w:hAnsi="Times New Roman" w:eastAsia="MinionPro-Regular" w:cs="Times New Roman"/>
                <w:color w:val="231F20"/>
                <w:lang w:bidi="ar"/>
              </w:rPr>
              <w:t>entral venous catheter; CSF:</w:t>
            </w:r>
            <w:r>
              <w:rPr>
                <w:rFonts w:hint="default" w:ascii="Times New Roman" w:hAnsi="Times New Roman" w:cs="Times New Roman"/>
                <w:lang w:bidi="ar"/>
              </w:rPr>
              <w:t xml:space="preserve"> Cerebrospinal fluid</w:t>
            </w:r>
            <w:r>
              <w:rPr>
                <w:rFonts w:hint="default" w:ascii="Times New Roman" w:hAnsi="Times New Roman" w:cs="Times New Roman"/>
              </w:rPr>
              <w:t>; TPN: Total parenteral nutrition</w:t>
            </w:r>
            <w:r>
              <w:rPr>
                <w:rFonts w:hint="default" w:ascii="Times New Roman" w:hAnsi="Times New Roman" w:cs="Times New Roman"/>
                <w:lang w:bidi="ar"/>
              </w:rPr>
              <w:t>.</w:t>
            </w:r>
          </w:p>
        </w:tc>
      </w:tr>
    </w:tbl>
    <w:p>
      <w:pPr>
        <w:rPr>
          <w:rFonts w:hint="default" w:ascii="Times New Roman" w:hAnsi="Times New Roman" w:cs="Times New Roman"/>
          <w:lang w:val="en-US" w:eastAsia="zh-CN"/>
        </w:rPr>
      </w:pPr>
    </w:p>
    <w:p>
      <w:pPr>
        <w:pStyle w:val="3"/>
        <w:numPr>
          <w:ilvl w:val="1"/>
          <w:numId w:val="0"/>
        </w:numPr>
        <w:rPr>
          <w:rFonts w:hint="default" w:ascii="Times New Roman" w:hAnsi="Times New Roman" w:cs="Times New Roman"/>
          <w:sz w:val="22"/>
          <w:szCs w:val="22"/>
        </w:rPr>
      </w:pPr>
      <w:r>
        <w:rPr>
          <w:rFonts w:hint="default" w:ascii="Times New Roman" w:hAnsi="Times New Roman" w:cs="Times New Roman"/>
        </w:rPr>
        <w:t>Supplementary table 4</w:t>
      </w:r>
    </w:p>
    <w:p>
      <w:pPr>
        <w:pStyle w:val="11"/>
        <w:rPr>
          <w:rFonts w:hint="default" w:ascii="Times New Roman" w:hAnsi="Times New Roman" w:eastAsia="宋体" w:cs="Times New Roman"/>
          <w:i w:val="0"/>
          <w:iCs w:val="0"/>
          <w:sz w:val="22"/>
          <w:szCs w:val="22"/>
        </w:rPr>
      </w:pPr>
      <w:r>
        <w:rPr>
          <w:rFonts w:hint="default" w:ascii="Times New Roman" w:hAnsi="Times New Roman" w:cs="Times New Roman"/>
          <w:b/>
          <w:bCs/>
          <w:i w:val="0"/>
          <w:iCs w:val="0"/>
          <w:sz w:val="22"/>
          <w:szCs w:val="22"/>
        </w:rPr>
        <w:t>Supplementary Table 4</w:t>
      </w:r>
      <w:r>
        <w:rPr>
          <w:rFonts w:hint="default" w:ascii="Times New Roman" w:hAnsi="Times New Roman" w:cs="Times New Roman"/>
          <w:i w:val="0"/>
          <w:iCs w:val="0"/>
          <w:sz w:val="22"/>
          <w:szCs w:val="22"/>
        </w:rPr>
        <w:t>. In vitro resistance of the 212 yeast isolates to five antifungal agents in this study.</w:t>
      </w:r>
    </w:p>
    <w:tbl>
      <w:tblPr>
        <w:tblStyle w:val="20"/>
        <w:tblW w:w="12853" w:type="dxa"/>
        <w:tblInd w:w="0" w:type="dxa"/>
        <w:tblBorders>
          <w:top w:val="single" w:color="auto" w:sz="8" w:space="0"/>
          <w:left w:val="none" w:color="auto" w:sz="0" w:space="0"/>
          <w:bottom w:val="single" w:color="auto" w:sz="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392"/>
        <w:gridCol w:w="1014"/>
        <w:gridCol w:w="1014"/>
        <w:gridCol w:w="1014"/>
        <w:gridCol w:w="1078"/>
        <w:gridCol w:w="956"/>
        <w:gridCol w:w="299"/>
        <w:gridCol w:w="1014"/>
        <w:gridCol w:w="1014"/>
        <w:gridCol w:w="1014"/>
        <w:gridCol w:w="1087"/>
        <w:gridCol w:w="957"/>
      </w:tblGrid>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1" w:hRule="atLeast"/>
        </w:trPr>
        <w:tc>
          <w:tcPr>
            <w:tcW w:w="2392" w:type="dxa"/>
            <w:vMerge w:val="restart"/>
            <w:tcBorders>
              <w:top w:val="single" w:color="auto" w:sz="8" w:space="0"/>
              <w:left w:val="nil"/>
              <w:bottom w:val="single" w:color="auto" w:sz="8" w:space="0"/>
              <w:right w:val="nil"/>
            </w:tcBorders>
            <w:shd w:val="clear" w:color="auto" w:fill="F7CAAC" w:themeFill="accent2" w:themeFillTint="66"/>
          </w:tcPr>
          <w:p>
            <w:pPr>
              <w:keepNext w:val="0"/>
              <w:keepLines w:val="0"/>
              <w:widowControl w:val="0"/>
              <w:suppressLineNumbers w:val="0"/>
              <w:spacing w:before="0" w:beforeAutospacing="0" w:afterAutospacing="0"/>
              <w:ind w:left="0" w:right="0"/>
              <w:jc w:val="left"/>
              <w:rPr>
                <w:rFonts w:hint="eastAsia" w:ascii="Times New Roman" w:hAnsi="Times New Roman" w:eastAsia="宋体" w:cs="Times New Roman"/>
                <w:lang w:val="en-US" w:eastAsia="zh-CN"/>
              </w:rPr>
            </w:pPr>
            <w:r>
              <w:rPr>
                <w:rFonts w:hint="default" w:ascii="Times New Roman" w:hAnsi="Times New Roman" w:cs="Times New Roman"/>
                <w:i/>
                <w:iCs/>
              </w:rPr>
              <w:t xml:space="preserve">Candida </w:t>
            </w:r>
            <w:r>
              <w:rPr>
                <w:rFonts w:hint="default" w:ascii="Times New Roman" w:hAnsi="Times New Roman" w:cs="Times New Roman"/>
              </w:rPr>
              <w:t>spp. (n=208)</w:t>
            </w:r>
            <w:r>
              <w:rPr>
                <w:rFonts w:hint="eastAsia" w:ascii="Times New Roman" w:hAnsi="Times New Roman" w:eastAsia="宋体" w:cs="Times New Roman"/>
                <w:color w:val="231F20"/>
                <w:sz w:val="19"/>
                <w:szCs w:val="19"/>
                <w:vertAlign w:val="superscript"/>
                <w:lang w:val="en-US" w:eastAsia="zh-CN" w:bidi="ar"/>
              </w:rPr>
              <w:t>a</w:t>
            </w:r>
          </w:p>
        </w:tc>
        <w:tc>
          <w:tcPr>
            <w:tcW w:w="5076" w:type="dxa"/>
            <w:gridSpan w:val="5"/>
            <w:tcBorders>
              <w:top w:val="single" w:color="auto" w:sz="8" w:space="0"/>
              <w:left w:val="nil"/>
              <w:bottom w:val="single" w:color="auto" w:sz="8" w:space="0"/>
              <w:right w:val="nil"/>
            </w:tcBorders>
            <w:shd w:val="clear" w:color="auto" w:fill="F7CAAC" w:themeFill="accent2" w:themeFillTint="66"/>
          </w:tcPr>
          <w:p>
            <w:pPr>
              <w:keepNext w:val="0"/>
              <w:keepLines w:val="0"/>
              <w:widowControl w:val="0"/>
              <w:suppressLineNumbers w:val="0"/>
              <w:spacing w:before="0" w:beforeAutospacing="0" w:afterAutospacing="0"/>
              <w:ind w:left="0" w:right="0"/>
              <w:jc w:val="center"/>
              <w:rPr>
                <w:rFonts w:hint="default" w:ascii="Times New Roman" w:hAnsi="Times New Roman" w:cs="Times New Roman"/>
              </w:rPr>
            </w:pPr>
            <w:r>
              <w:rPr>
                <w:rFonts w:hint="default" w:ascii="Times New Roman" w:hAnsi="Times New Roman" w:cs="Times New Roman"/>
              </w:rPr>
              <w:t>Drug resistance</w:t>
            </w:r>
          </w:p>
        </w:tc>
        <w:tc>
          <w:tcPr>
            <w:tcW w:w="299" w:type="dxa"/>
            <w:tcBorders>
              <w:top w:val="single" w:color="auto" w:sz="8" w:space="0"/>
              <w:left w:val="nil"/>
              <w:bottom w:val="nil"/>
              <w:right w:val="nil"/>
            </w:tcBorders>
            <w:shd w:val="clear" w:color="auto" w:fill="F7CAAC" w:themeFill="accent2" w:themeFillTint="66"/>
          </w:tcPr>
          <w:p>
            <w:pPr>
              <w:keepNext w:val="0"/>
              <w:keepLines w:val="0"/>
              <w:widowControl w:val="0"/>
              <w:suppressLineNumbers w:val="0"/>
              <w:spacing w:before="0" w:beforeAutospacing="0" w:afterAutospacing="0"/>
              <w:ind w:left="0" w:right="0"/>
              <w:jc w:val="center"/>
              <w:rPr>
                <w:rFonts w:hint="default" w:ascii="Times New Roman" w:hAnsi="Times New Roman" w:cs="Times New Roman"/>
              </w:rPr>
            </w:pPr>
          </w:p>
        </w:tc>
        <w:tc>
          <w:tcPr>
            <w:tcW w:w="5086" w:type="dxa"/>
            <w:gridSpan w:val="5"/>
            <w:tcBorders>
              <w:top w:val="single" w:color="auto" w:sz="8" w:space="0"/>
              <w:left w:val="nil"/>
              <w:bottom w:val="single" w:color="auto" w:sz="8" w:space="0"/>
              <w:right w:val="nil"/>
            </w:tcBorders>
            <w:shd w:val="clear" w:color="auto" w:fill="F7CAAC" w:themeFill="accent2" w:themeFillTint="66"/>
          </w:tcPr>
          <w:p>
            <w:pPr>
              <w:keepNext w:val="0"/>
              <w:keepLines w:val="0"/>
              <w:widowControl w:val="0"/>
              <w:suppressLineNumbers w:val="0"/>
              <w:spacing w:before="0" w:beforeAutospacing="0" w:afterAutospacing="0"/>
              <w:ind w:left="0" w:right="0"/>
              <w:jc w:val="center"/>
              <w:rPr>
                <w:rFonts w:hint="default" w:ascii="Times New Roman" w:hAnsi="Times New Roman" w:cs="Times New Roman"/>
              </w:rPr>
            </w:pPr>
            <w:r>
              <w:rPr>
                <w:rFonts w:hint="default" w:ascii="Times New Roman" w:hAnsi="Times New Roman" w:cs="Times New Roman"/>
              </w:rPr>
              <w:t xml:space="preserve">Non-wild type </w:t>
            </w: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5" w:hRule="atLeast"/>
        </w:trPr>
        <w:tc>
          <w:tcPr>
            <w:tcW w:w="2392" w:type="dxa"/>
            <w:vMerge w:val="continue"/>
            <w:tcBorders>
              <w:top w:val="single" w:color="auto" w:sz="8" w:space="0"/>
              <w:left w:val="nil"/>
              <w:bottom w:val="single" w:color="auto" w:sz="8" w:space="0"/>
              <w:right w:val="nil"/>
            </w:tcBorders>
            <w:vAlign w:val="center"/>
          </w:tcPr>
          <w:p>
            <w:pPr>
              <w:keepNext w:val="0"/>
              <w:keepLines w:val="0"/>
              <w:widowControl w:val="0"/>
              <w:suppressLineNumbers w:val="0"/>
              <w:spacing w:before="0" w:beforeAutospacing="0" w:after="0" w:afterAutospacing="0" w:line="240" w:lineRule="auto"/>
              <w:ind w:left="0" w:right="0"/>
              <w:jc w:val="both"/>
              <w:rPr>
                <w:rFonts w:hint="default" w:ascii="Times New Roman" w:hAnsi="Times New Roman" w:cs="Times New Roman"/>
              </w:rPr>
            </w:pPr>
          </w:p>
        </w:tc>
        <w:tc>
          <w:tcPr>
            <w:tcW w:w="1014" w:type="dxa"/>
            <w:tcBorders>
              <w:top w:val="single" w:color="auto" w:sz="8" w:space="0"/>
              <w:left w:val="nil"/>
              <w:bottom w:val="single" w:color="auto" w:sz="8" w:space="0"/>
              <w:right w:val="nil"/>
            </w:tcBorders>
            <w:shd w:val="clear" w:color="auto" w:fill="F7CAAC" w:themeFill="accent2" w:themeFillTint="66"/>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FCZ (%)</w:t>
            </w:r>
          </w:p>
        </w:tc>
        <w:tc>
          <w:tcPr>
            <w:tcW w:w="1014" w:type="dxa"/>
            <w:tcBorders>
              <w:top w:val="single" w:color="auto" w:sz="8" w:space="0"/>
              <w:left w:val="nil"/>
              <w:bottom w:val="single" w:color="auto" w:sz="8" w:space="0"/>
              <w:right w:val="nil"/>
            </w:tcBorders>
            <w:shd w:val="clear" w:color="auto" w:fill="F7CAAC" w:themeFill="accent2" w:themeFillTint="66"/>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VCZ (%)</w:t>
            </w:r>
          </w:p>
        </w:tc>
        <w:tc>
          <w:tcPr>
            <w:tcW w:w="1014" w:type="dxa"/>
            <w:tcBorders>
              <w:top w:val="single" w:color="auto" w:sz="8" w:space="0"/>
              <w:left w:val="nil"/>
              <w:bottom w:val="single" w:color="auto" w:sz="8" w:space="0"/>
              <w:right w:val="nil"/>
            </w:tcBorders>
            <w:shd w:val="clear" w:color="auto" w:fill="F7CAAC" w:themeFill="accent2" w:themeFillTint="66"/>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AMB (%)</w:t>
            </w:r>
          </w:p>
        </w:tc>
        <w:tc>
          <w:tcPr>
            <w:tcW w:w="1078" w:type="dxa"/>
            <w:tcBorders>
              <w:top w:val="single" w:color="auto" w:sz="8" w:space="0"/>
              <w:left w:val="nil"/>
              <w:bottom w:val="single" w:color="auto" w:sz="8" w:space="0"/>
              <w:right w:val="nil"/>
            </w:tcBorders>
            <w:shd w:val="clear" w:color="auto" w:fill="F7CAAC" w:themeFill="accent2" w:themeFillTint="66"/>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MICA (%)</w:t>
            </w:r>
          </w:p>
        </w:tc>
        <w:tc>
          <w:tcPr>
            <w:tcW w:w="956" w:type="dxa"/>
            <w:tcBorders>
              <w:top w:val="single" w:color="auto" w:sz="8" w:space="0"/>
              <w:left w:val="nil"/>
              <w:bottom w:val="single" w:color="auto" w:sz="8" w:space="0"/>
              <w:right w:val="nil"/>
            </w:tcBorders>
            <w:shd w:val="clear" w:color="auto" w:fill="F7CAAC" w:themeFill="accent2" w:themeFillTint="66"/>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CAS (%)</w:t>
            </w:r>
          </w:p>
        </w:tc>
        <w:tc>
          <w:tcPr>
            <w:tcW w:w="299" w:type="dxa"/>
            <w:tcBorders>
              <w:top w:val="nil"/>
              <w:left w:val="nil"/>
              <w:bottom w:val="single" w:color="auto" w:sz="8" w:space="0"/>
              <w:right w:val="nil"/>
            </w:tcBorders>
            <w:shd w:val="clear" w:color="auto" w:fill="F7CAAC" w:themeFill="accent2" w:themeFillTint="66"/>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p>
        </w:tc>
        <w:tc>
          <w:tcPr>
            <w:tcW w:w="1014" w:type="dxa"/>
            <w:tcBorders>
              <w:top w:val="single" w:color="auto" w:sz="8" w:space="0"/>
              <w:left w:val="nil"/>
              <w:bottom w:val="single" w:color="auto" w:sz="8" w:space="0"/>
              <w:right w:val="nil"/>
            </w:tcBorders>
            <w:shd w:val="clear" w:color="auto" w:fill="F7CAAC" w:themeFill="accent2" w:themeFillTint="66"/>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FCZ (%)</w:t>
            </w:r>
          </w:p>
        </w:tc>
        <w:tc>
          <w:tcPr>
            <w:tcW w:w="1014" w:type="dxa"/>
            <w:tcBorders>
              <w:top w:val="single" w:color="auto" w:sz="8" w:space="0"/>
              <w:left w:val="nil"/>
              <w:bottom w:val="single" w:color="auto" w:sz="8" w:space="0"/>
              <w:right w:val="nil"/>
            </w:tcBorders>
            <w:shd w:val="clear" w:color="auto" w:fill="F7CAAC" w:themeFill="accent2" w:themeFillTint="66"/>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VCZ (%)</w:t>
            </w:r>
          </w:p>
        </w:tc>
        <w:tc>
          <w:tcPr>
            <w:tcW w:w="1014" w:type="dxa"/>
            <w:tcBorders>
              <w:top w:val="single" w:color="auto" w:sz="8" w:space="0"/>
              <w:left w:val="nil"/>
              <w:bottom w:val="single" w:color="auto" w:sz="8" w:space="0"/>
              <w:right w:val="nil"/>
            </w:tcBorders>
            <w:shd w:val="clear" w:color="auto" w:fill="F7CAAC" w:themeFill="accent2" w:themeFillTint="66"/>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AMB (%)</w:t>
            </w:r>
          </w:p>
        </w:tc>
        <w:tc>
          <w:tcPr>
            <w:tcW w:w="1087" w:type="dxa"/>
            <w:tcBorders>
              <w:top w:val="single" w:color="auto" w:sz="8" w:space="0"/>
              <w:left w:val="nil"/>
              <w:bottom w:val="single" w:color="auto" w:sz="8" w:space="0"/>
              <w:right w:val="nil"/>
            </w:tcBorders>
            <w:shd w:val="clear" w:color="auto" w:fill="F7CAAC" w:themeFill="accent2" w:themeFillTint="66"/>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MICA (%)</w:t>
            </w:r>
          </w:p>
        </w:tc>
        <w:tc>
          <w:tcPr>
            <w:tcW w:w="957" w:type="dxa"/>
            <w:tcBorders>
              <w:top w:val="single" w:color="auto" w:sz="8" w:space="0"/>
              <w:left w:val="nil"/>
              <w:bottom w:val="single" w:color="auto" w:sz="8" w:space="0"/>
              <w:right w:val="nil"/>
            </w:tcBorders>
            <w:shd w:val="clear" w:color="auto" w:fill="F7CAAC" w:themeFill="accent2" w:themeFillTint="66"/>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CAS (%)</w:t>
            </w: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6" w:hRule="atLeast"/>
        </w:trPr>
        <w:tc>
          <w:tcPr>
            <w:tcW w:w="2392" w:type="dxa"/>
            <w:tcBorders>
              <w:top w:val="single" w:color="auto" w:sz="8" w:space="0"/>
              <w:left w:val="nil"/>
              <w:bottom w:val="nil"/>
              <w:right w:val="nil"/>
            </w:tcBorders>
            <w:shd w:val="clear" w:color="auto" w:fill="FBE5D6" w:themeFill="accent2" w:themeFillTint="32"/>
          </w:tcPr>
          <w:p>
            <w:pPr>
              <w:keepNext w:val="0"/>
              <w:keepLines w:val="0"/>
              <w:widowControl w:val="0"/>
              <w:suppressLineNumbers w:val="0"/>
              <w:tabs>
                <w:tab w:val="left" w:pos="215"/>
              </w:tabs>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i/>
                <w:iCs/>
              </w:rPr>
              <w:t xml:space="preserve">C.albicans </w:t>
            </w:r>
            <w:r>
              <w:rPr>
                <w:rFonts w:hint="default" w:ascii="Times New Roman" w:hAnsi="Times New Roman" w:cs="Times New Roman"/>
              </w:rPr>
              <w:t>(n=98)</w:t>
            </w:r>
          </w:p>
        </w:tc>
        <w:tc>
          <w:tcPr>
            <w:tcW w:w="1014" w:type="dxa"/>
            <w:tcBorders>
              <w:top w:val="single" w:color="auto" w:sz="8" w:space="0"/>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4 (4.1)</w:t>
            </w:r>
          </w:p>
        </w:tc>
        <w:tc>
          <w:tcPr>
            <w:tcW w:w="1014" w:type="dxa"/>
            <w:tcBorders>
              <w:top w:val="single" w:color="auto" w:sz="8" w:space="0"/>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3 (3.1)</w:t>
            </w:r>
          </w:p>
        </w:tc>
        <w:tc>
          <w:tcPr>
            <w:tcW w:w="1014" w:type="dxa"/>
            <w:tcBorders>
              <w:top w:val="single" w:color="auto" w:sz="8" w:space="0"/>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w:t>
            </w:r>
          </w:p>
        </w:tc>
        <w:tc>
          <w:tcPr>
            <w:tcW w:w="1078" w:type="dxa"/>
            <w:tcBorders>
              <w:top w:val="single" w:color="auto" w:sz="8" w:space="0"/>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3 (3.1)</w:t>
            </w:r>
          </w:p>
        </w:tc>
        <w:tc>
          <w:tcPr>
            <w:tcW w:w="956" w:type="dxa"/>
            <w:tcBorders>
              <w:top w:val="single" w:color="auto" w:sz="8" w:space="0"/>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1 (1.0)</w:t>
            </w:r>
          </w:p>
        </w:tc>
        <w:tc>
          <w:tcPr>
            <w:tcW w:w="299" w:type="dxa"/>
            <w:tcBorders>
              <w:top w:val="single" w:color="auto" w:sz="8" w:space="0"/>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p>
        </w:tc>
        <w:tc>
          <w:tcPr>
            <w:tcW w:w="1014" w:type="dxa"/>
            <w:tcBorders>
              <w:top w:val="single" w:color="auto" w:sz="8" w:space="0"/>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w:t>
            </w:r>
          </w:p>
        </w:tc>
        <w:tc>
          <w:tcPr>
            <w:tcW w:w="1014" w:type="dxa"/>
            <w:tcBorders>
              <w:top w:val="single" w:color="auto" w:sz="8" w:space="0"/>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w:t>
            </w:r>
          </w:p>
        </w:tc>
        <w:tc>
          <w:tcPr>
            <w:tcW w:w="1014" w:type="dxa"/>
            <w:tcBorders>
              <w:top w:val="single" w:color="auto" w:sz="8" w:space="0"/>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0</w:t>
            </w:r>
          </w:p>
        </w:tc>
        <w:tc>
          <w:tcPr>
            <w:tcW w:w="1087" w:type="dxa"/>
            <w:tcBorders>
              <w:top w:val="single" w:color="auto" w:sz="8" w:space="0"/>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w:t>
            </w:r>
          </w:p>
        </w:tc>
        <w:tc>
          <w:tcPr>
            <w:tcW w:w="957" w:type="dxa"/>
            <w:tcBorders>
              <w:top w:val="single" w:color="auto" w:sz="8" w:space="0"/>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w:t>
            </w: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6" w:hRule="atLeast"/>
        </w:trPr>
        <w:tc>
          <w:tcPr>
            <w:tcW w:w="2392" w:type="dxa"/>
            <w:tcBorders>
              <w:top w:val="nil"/>
              <w:left w:val="nil"/>
              <w:bottom w:val="nil"/>
              <w:right w:val="nil"/>
            </w:tcBorders>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i/>
                <w:iCs/>
              </w:rPr>
              <w:t xml:space="preserve">C.parapsilosis </w:t>
            </w:r>
            <w:r>
              <w:rPr>
                <w:rFonts w:hint="default" w:ascii="Times New Roman" w:hAnsi="Times New Roman" w:cs="Times New Roman"/>
              </w:rPr>
              <w:t>(n=44)</w:t>
            </w:r>
          </w:p>
        </w:tc>
        <w:tc>
          <w:tcPr>
            <w:tcW w:w="1014" w:type="dxa"/>
            <w:tcBorders>
              <w:top w:val="nil"/>
              <w:left w:val="nil"/>
              <w:bottom w:val="nil"/>
              <w:right w:val="nil"/>
            </w:tcBorders>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1 (2.3)</w:t>
            </w:r>
          </w:p>
        </w:tc>
        <w:tc>
          <w:tcPr>
            <w:tcW w:w="1014" w:type="dxa"/>
            <w:tcBorders>
              <w:top w:val="nil"/>
              <w:left w:val="nil"/>
              <w:bottom w:val="nil"/>
              <w:right w:val="nil"/>
            </w:tcBorders>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0</w:t>
            </w:r>
          </w:p>
        </w:tc>
        <w:tc>
          <w:tcPr>
            <w:tcW w:w="1014" w:type="dxa"/>
            <w:tcBorders>
              <w:top w:val="nil"/>
              <w:left w:val="nil"/>
              <w:bottom w:val="nil"/>
              <w:right w:val="nil"/>
            </w:tcBorders>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w:t>
            </w:r>
          </w:p>
        </w:tc>
        <w:tc>
          <w:tcPr>
            <w:tcW w:w="1078" w:type="dxa"/>
            <w:tcBorders>
              <w:top w:val="nil"/>
              <w:left w:val="nil"/>
              <w:bottom w:val="nil"/>
              <w:right w:val="nil"/>
            </w:tcBorders>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0</w:t>
            </w:r>
          </w:p>
        </w:tc>
        <w:tc>
          <w:tcPr>
            <w:tcW w:w="956" w:type="dxa"/>
            <w:tcBorders>
              <w:top w:val="nil"/>
              <w:left w:val="nil"/>
              <w:bottom w:val="nil"/>
              <w:right w:val="nil"/>
            </w:tcBorders>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0</w:t>
            </w:r>
          </w:p>
        </w:tc>
        <w:tc>
          <w:tcPr>
            <w:tcW w:w="299" w:type="dxa"/>
            <w:tcBorders>
              <w:top w:val="nil"/>
              <w:left w:val="nil"/>
              <w:bottom w:val="nil"/>
              <w:right w:val="nil"/>
            </w:tcBorders>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p>
        </w:tc>
        <w:tc>
          <w:tcPr>
            <w:tcW w:w="1014" w:type="dxa"/>
            <w:tcBorders>
              <w:top w:val="nil"/>
              <w:left w:val="nil"/>
              <w:bottom w:val="nil"/>
              <w:right w:val="nil"/>
            </w:tcBorders>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w:t>
            </w:r>
          </w:p>
        </w:tc>
        <w:tc>
          <w:tcPr>
            <w:tcW w:w="1014" w:type="dxa"/>
            <w:tcBorders>
              <w:top w:val="nil"/>
              <w:left w:val="nil"/>
              <w:bottom w:val="nil"/>
              <w:right w:val="nil"/>
            </w:tcBorders>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w:t>
            </w:r>
          </w:p>
        </w:tc>
        <w:tc>
          <w:tcPr>
            <w:tcW w:w="1014" w:type="dxa"/>
            <w:tcBorders>
              <w:top w:val="nil"/>
              <w:left w:val="nil"/>
              <w:bottom w:val="nil"/>
              <w:right w:val="nil"/>
            </w:tcBorders>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0</w:t>
            </w:r>
          </w:p>
        </w:tc>
        <w:tc>
          <w:tcPr>
            <w:tcW w:w="1087" w:type="dxa"/>
            <w:tcBorders>
              <w:top w:val="nil"/>
              <w:left w:val="nil"/>
              <w:bottom w:val="nil"/>
              <w:right w:val="nil"/>
            </w:tcBorders>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w:t>
            </w:r>
          </w:p>
        </w:tc>
        <w:tc>
          <w:tcPr>
            <w:tcW w:w="957" w:type="dxa"/>
            <w:tcBorders>
              <w:top w:val="nil"/>
              <w:left w:val="nil"/>
              <w:bottom w:val="nil"/>
              <w:right w:val="nil"/>
            </w:tcBorders>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w:t>
            </w: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6" w:hRule="atLeast"/>
        </w:trPr>
        <w:tc>
          <w:tcPr>
            <w:tcW w:w="2392"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i/>
                <w:iCs/>
              </w:rPr>
              <w:t xml:space="preserve">C.glabrata </w:t>
            </w:r>
            <w:r>
              <w:rPr>
                <w:rFonts w:hint="default" w:ascii="Times New Roman" w:hAnsi="Times New Roman" w:cs="Times New Roman"/>
              </w:rPr>
              <w:t>(n=29)</w:t>
            </w:r>
          </w:p>
        </w:tc>
        <w:tc>
          <w:tcPr>
            <w:tcW w:w="1014"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7 (24.1)</w:t>
            </w:r>
          </w:p>
        </w:tc>
        <w:tc>
          <w:tcPr>
            <w:tcW w:w="1014"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w:t>
            </w:r>
          </w:p>
        </w:tc>
        <w:tc>
          <w:tcPr>
            <w:tcW w:w="1014"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w:t>
            </w:r>
          </w:p>
        </w:tc>
        <w:tc>
          <w:tcPr>
            <w:tcW w:w="1078"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3 (10.3)</w:t>
            </w:r>
          </w:p>
        </w:tc>
        <w:tc>
          <w:tcPr>
            <w:tcW w:w="956"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3 (10.3)</w:t>
            </w:r>
          </w:p>
        </w:tc>
        <w:tc>
          <w:tcPr>
            <w:tcW w:w="299"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p>
        </w:tc>
        <w:tc>
          <w:tcPr>
            <w:tcW w:w="1014"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w:t>
            </w:r>
          </w:p>
        </w:tc>
        <w:tc>
          <w:tcPr>
            <w:tcW w:w="1014"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17 (58.6)</w:t>
            </w:r>
          </w:p>
        </w:tc>
        <w:tc>
          <w:tcPr>
            <w:tcW w:w="1014"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0</w:t>
            </w:r>
          </w:p>
        </w:tc>
        <w:tc>
          <w:tcPr>
            <w:tcW w:w="1087"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w:t>
            </w:r>
          </w:p>
        </w:tc>
        <w:tc>
          <w:tcPr>
            <w:tcW w:w="957"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w:t>
            </w: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6" w:hRule="atLeast"/>
        </w:trPr>
        <w:tc>
          <w:tcPr>
            <w:tcW w:w="2392" w:type="dxa"/>
            <w:tcBorders>
              <w:top w:val="nil"/>
              <w:left w:val="nil"/>
              <w:bottom w:val="nil"/>
              <w:right w:val="nil"/>
            </w:tcBorders>
          </w:tcPr>
          <w:p>
            <w:pPr>
              <w:keepNext w:val="0"/>
              <w:keepLines w:val="0"/>
              <w:widowControl w:val="0"/>
              <w:suppressLineNumbers w:val="0"/>
              <w:tabs>
                <w:tab w:val="left" w:pos="215"/>
              </w:tabs>
              <w:spacing w:before="0" w:beforeAutospacing="0" w:afterAutospacing="0"/>
              <w:ind w:left="0" w:right="0"/>
              <w:jc w:val="left"/>
              <w:rPr>
                <w:rFonts w:hint="default" w:ascii="Times New Roman" w:hAnsi="Times New Roman" w:cs="Times New Roman"/>
                <w:i/>
                <w:iCs/>
              </w:rPr>
            </w:pPr>
            <w:r>
              <w:rPr>
                <w:rFonts w:hint="default" w:ascii="Times New Roman" w:hAnsi="Times New Roman" w:cs="Times New Roman"/>
                <w:i/>
                <w:iCs/>
              </w:rPr>
              <w:t xml:space="preserve">C.tropicalis </w:t>
            </w:r>
            <w:r>
              <w:rPr>
                <w:rFonts w:hint="default" w:ascii="Times New Roman" w:hAnsi="Times New Roman" w:cs="Times New Roman"/>
              </w:rPr>
              <w:t>(n=27)</w:t>
            </w:r>
          </w:p>
        </w:tc>
        <w:tc>
          <w:tcPr>
            <w:tcW w:w="1014" w:type="dxa"/>
            <w:tcBorders>
              <w:top w:val="nil"/>
              <w:left w:val="nil"/>
              <w:bottom w:val="nil"/>
              <w:right w:val="nil"/>
            </w:tcBorders>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10 (37.0)</w:t>
            </w:r>
          </w:p>
        </w:tc>
        <w:tc>
          <w:tcPr>
            <w:tcW w:w="1014" w:type="dxa"/>
            <w:tcBorders>
              <w:top w:val="nil"/>
              <w:left w:val="nil"/>
              <w:bottom w:val="nil"/>
              <w:right w:val="nil"/>
            </w:tcBorders>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0</w:t>
            </w:r>
          </w:p>
        </w:tc>
        <w:tc>
          <w:tcPr>
            <w:tcW w:w="1014" w:type="dxa"/>
            <w:tcBorders>
              <w:top w:val="nil"/>
              <w:left w:val="nil"/>
              <w:bottom w:val="nil"/>
              <w:right w:val="nil"/>
            </w:tcBorders>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w:t>
            </w:r>
          </w:p>
        </w:tc>
        <w:tc>
          <w:tcPr>
            <w:tcW w:w="1078" w:type="dxa"/>
            <w:tcBorders>
              <w:top w:val="nil"/>
              <w:left w:val="nil"/>
              <w:bottom w:val="nil"/>
              <w:right w:val="nil"/>
            </w:tcBorders>
          </w:tcPr>
          <w:p>
            <w:pPr>
              <w:keepNext w:val="0"/>
              <w:keepLines w:val="0"/>
              <w:widowControl w:val="0"/>
              <w:suppressLineNumbers w:val="0"/>
              <w:tabs>
                <w:tab w:val="center" w:pos="544"/>
              </w:tabs>
              <w:spacing w:before="0" w:beforeAutospacing="0" w:afterAutospacing="0"/>
              <w:ind w:left="0" w:right="0"/>
              <w:jc w:val="both"/>
              <w:rPr>
                <w:rFonts w:hint="default" w:ascii="Times New Roman" w:hAnsi="Times New Roman" w:cs="Times New Roman"/>
                <w:color w:val="0000FF"/>
              </w:rPr>
            </w:pPr>
            <w:r>
              <w:rPr>
                <w:rFonts w:hint="default" w:ascii="Times New Roman" w:hAnsi="Times New Roman" w:cs="Times New Roman"/>
                <w:color w:val="000000" w:themeColor="text1"/>
                <w14:textFill>
                  <w14:solidFill>
                    <w14:schemeClr w14:val="tx1"/>
                  </w14:solidFill>
                </w14:textFill>
              </w:rPr>
              <w:t>2 (7.4)</w:t>
            </w:r>
          </w:p>
        </w:tc>
        <w:tc>
          <w:tcPr>
            <w:tcW w:w="956" w:type="dxa"/>
            <w:tcBorders>
              <w:top w:val="nil"/>
              <w:left w:val="nil"/>
              <w:bottom w:val="nil"/>
              <w:right w:val="nil"/>
            </w:tcBorders>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2 (7.4)</w:t>
            </w:r>
          </w:p>
        </w:tc>
        <w:tc>
          <w:tcPr>
            <w:tcW w:w="299" w:type="dxa"/>
            <w:tcBorders>
              <w:top w:val="nil"/>
              <w:left w:val="nil"/>
              <w:bottom w:val="nil"/>
              <w:right w:val="nil"/>
            </w:tcBorders>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p>
        </w:tc>
        <w:tc>
          <w:tcPr>
            <w:tcW w:w="1014" w:type="dxa"/>
            <w:tcBorders>
              <w:top w:val="nil"/>
              <w:left w:val="nil"/>
              <w:bottom w:val="nil"/>
              <w:right w:val="nil"/>
            </w:tcBorders>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w:t>
            </w:r>
          </w:p>
        </w:tc>
        <w:tc>
          <w:tcPr>
            <w:tcW w:w="1014" w:type="dxa"/>
            <w:tcBorders>
              <w:top w:val="nil"/>
              <w:left w:val="nil"/>
              <w:bottom w:val="nil"/>
              <w:right w:val="nil"/>
            </w:tcBorders>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w:t>
            </w:r>
          </w:p>
        </w:tc>
        <w:tc>
          <w:tcPr>
            <w:tcW w:w="1014" w:type="dxa"/>
            <w:tcBorders>
              <w:top w:val="nil"/>
              <w:left w:val="nil"/>
              <w:bottom w:val="nil"/>
              <w:right w:val="nil"/>
            </w:tcBorders>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0</w:t>
            </w:r>
          </w:p>
        </w:tc>
        <w:tc>
          <w:tcPr>
            <w:tcW w:w="1087" w:type="dxa"/>
            <w:tcBorders>
              <w:top w:val="nil"/>
              <w:left w:val="nil"/>
              <w:bottom w:val="nil"/>
              <w:right w:val="nil"/>
            </w:tcBorders>
          </w:tcPr>
          <w:p>
            <w:pPr>
              <w:keepNext w:val="0"/>
              <w:keepLines w:val="0"/>
              <w:widowControl w:val="0"/>
              <w:suppressLineNumbers w:val="0"/>
              <w:tabs>
                <w:tab w:val="center" w:pos="544"/>
              </w:tabs>
              <w:spacing w:before="0" w:beforeAutospacing="0" w:afterAutospacing="0"/>
              <w:ind w:left="0" w:right="0"/>
              <w:jc w:val="both"/>
              <w:rPr>
                <w:rFonts w:hint="default" w:ascii="Times New Roman" w:hAnsi="Times New Roman" w:cs="Times New Roman"/>
                <w:color w:val="0000FF"/>
              </w:rPr>
            </w:pPr>
            <w:r>
              <w:rPr>
                <w:rFonts w:hint="default" w:ascii="Times New Roman" w:hAnsi="Times New Roman" w:cs="Times New Roman"/>
                <w:color w:val="000000" w:themeColor="text1"/>
                <w14:textFill>
                  <w14:solidFill>
                    <w14:schemeClr w14:val="tx1"/>
                  </w14:solidFill>
                </w14:textFill>
              </w:rPr>
              <w:t>-</w:t>
            </w:r>
          </w:p>
        </w:tc>
        <w:tc>
          <w:tcPr>
            <w:tcW w:w="957" w:type="dxa"/>
            <w:tcBorders>
              <w:top w:val="nil"/>
              <w:left w:val="nil"/>
              <w:bottom w:val="nil"/>
              <w:right w:val="nil"/>
            </w:tcBorders>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w:t>
            </w: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6" w:hRule="atLeast"/>
        </w:trPr>
        <w:tc>
          <w:tcPr>
            <w:tcW w:w="2392"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i/>
                <w:iCs/>
              </w:rPr>
              <w:t xml:space="preserve">C.krusei </w:t>
            </w:r>
            <w:r>
              <w:rPr>
                <w:rFonts w:hint="default" w:ascii="Times New Roman" w:hAnsi="Times New Roman" w:cs="Times New Roman"/>
              </w:rPr>
              <w:t>(n=8)</w:t>
            </w:r>
          </w:p>
        </w:tc>
        <w:tc>
          <w:tcPr>
            <w:tcW w:w="1014"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IR</w:t>
            </w:r>
          </w:p>
        </w:tc>
        <w:tc>
          <w:tcPr>
            <w:tcW w:w="1014"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0</w:t>
            </w:r>
          </w:p>
        </w:tc>
        <w:tc>
          <w:tcPr>
            <w:tcW w:w="1014"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w:t>
            </w:r>
          </w:p>
        </w:tc>
        <w:tc>
          <w:tcPr>
            <w:tcW w:w="1078"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0</w:t>
            </w:r>
          </w:p>
        </w:tc>
        <w:tc>
          <w:tcPr>
            <w:tcW w:w="956"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0</w:t>
            </w:r>
          </w:p>
        </w:tc>
        <w:tc>
          <w:tcPr>
            <w:tcW w:w="299"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p>
        </w:tc>
        <w:tc>
          <w:tcPr>
            <w:tcW w:w="1014"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IR</w:t>
            </w:r>
          </w:p>
        </w:tc>
        <w:tc>
          <w:tcPr>
            <w:tcW w:w="1014"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w:t>
            </w:r>
          </w:p>
        </w:tc>
        <w:tc>
          <w:tcPr>
            <w:tcW w:w="1014"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0</w:t>
            </w:r>
          </w:p>
        </w:tc>
        <w:tc>
          <w:tcPr>
            <w:tcW w:w="1087"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w:t>
            </w:r>
          </w:p>
        </w:tc>
        <w:tc>
          <w:tcPr>
            <w:tcW w:w="957"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w:t>
            </w: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6" w:hRule="atLeast"/>
        </w:trPr>
        <w:tc>
          <w:tcPr>
            <w:tcW w:w="2392" w:type="dxa"/>
            <w:tcBorders>
              <w:top w:val="nil"/>
              <w:left w:val="nil"/>
              <w:bottom w:val="nil"/>
              <w:right w:val="nil"/>
            </w:tcBorders>
          </w:tcPr>
          <w:p>
            <w:pPr>
              <w:keepNext w:val="0"/>
              <w:keepLines w:val="0"/>
              <w:widowControl w:val="0"/>
              <w:suppressLineNumbers w:val="0"/>
              <w:spacing w:before="0" w:beforeAutospacing="0" w:afterAutospacing="0"/>
              <w:ind w:left="0" w:right="0"/>
              <w:jc w:val="left"/>
              <w:rPr>
                <w:rFonts w:hint="default" w:ascii="Times New Roman" w:hAnsi="Times New Roman" w:eastAsia="等线" w:cs="Times New Roman"/>
              </w:rPr>
            </w:pPr>
            <w:r>
              <w:rPr>
                <w:rFonts w:hint="default" w:ascii="Times New Roman" w:hAnsi="Times New Roman" w:cs="Times New Roman"/>
                <w:i/>
                <w:iCs/>
              </w:rPr>
              <w:t>C. guilliermondii</w:t>
            </w:r>
            <w:r>
              <w:rPr>
                <w:rFonts w:hint="default" w:ascii="Times New Roman" w:hAnsi="Times New Roman" w:eastAsia="等线" w:cs="Times New Roman"/>
                <w:i/>
                <w:iCs/>
                <w:color w:val="000000"/>
                <w:szCs w:val="21"/>
              </w:rPr>
              <w:t xml:space="preserve"> </w:t>
            </w:r>
            <w:r>
              <w:rPr>
                <w:rFonts w:hint="default" w:ascii="Times New Roman" w:hAnsi="Times New Roman" w:eastAsia="等线" w:cs="Times New Roman"/>
                <w:color w:val="000000"/>
                <w:szCs w:val="21"/>
              </w:rPr>
              <w:t>(n=1)</w:t>
            </w:r>
          </w:p>
        </w:tc>
        <w:tc>
          <w:tcPr>
            <w:tcW w:w="1014" w:type="dxa"/>
            <w:tcBorders>
              <w:top w:val="nil"/>
              <w:left w:val="nil"/>
              <w:bottom w:val="nil"/>
              <w:right w:val="nil"/>
            </w:tcBorders>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w:t>
            </w:r>
          </w:p>
        </w:tc>
        <w:tc>
          <w:tcPr>
            <w:tcW w:w="1014" w:type="dxa"/>
            <w:tcBorders>
              <w:top w:val="nil"/>
              <w:left w:val="nil"/>
              <w:bottom w:val="nil"/>
              <w:right w:val="nil"/>
            </w:tcBorders>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w:t>
            </w:r>
          </w:p>
        </w:tc>
        <w:tc>
          <w:tcPr>
            <w:tcW w:w="1014" w:type="dxa"/>
            <w:tcBorders>
              <w:top w:val="nil"/>
              <w:left w:val="nil"/>
              <w:bottom w:val="nil"/>
              <w:right w:val="nil"/>
            </w:tcBorders>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w:t>
            </w:r>
          </w:p>
        </w:tc>
        <w:tc>
          <w:tcPr>
            <w:tcW w:w="1078" w:type="dxa"/>
            <w:tcBorders>
              <w:top w:val="nil"/>
              <w:left w:val="nil"/>
              <w:bottom w:val="nil"/>
              <w:right w:val="nil"/>
            </w:tcBorders>
          </w:tcPr>
          <w:p>
            <w:pPr>
              <w:keepNext w:val="0"/>
              <w:keepLines w:val="0"/>
              <w:widowControl w:val="0"/>
              <w:suppressLineNumbers w:val="0"/>
              <w:spacing w:before="0" w:beforeAutospacing="0" w:afterAutospacing="0"/>
              <w:ind w:left="0" w:right="0"/>
              <w:jc w:val="both"/>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0</w:t>
            </w:r>
          </w:p>
        </w:tc>
        <w:tc>
          <w:tcPr>
            <w:tcW w:w="956" w:type="dxa"/>
            <w:tcBorders>
              <w:top w:val="nil"/>
              <w:left w:val="nil"/>
              <w:bottom w:val="nil"/>
              <w:right w:val="nil"/>
            </w:tcBorders>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0</w:t>
            </w:r>
          </w:p>
        </w:tc>
        <w:tc>
          <w:tcPr>
            <w:tcW w:w="299" w:type="dxa"/>
            <w:tcBorders>
              <w:top w:val="nil"/>
              <w:left w:val="nil"/>
              <w:bottom w:val="nil"/>
              <w:right w:val="nil"/>
            </w:tcBorders>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p>
        </w:tc>
        <w:tc>
          <w:tcPr>
            <w:tcW w:w="1014" w:type="dxa"/>
            <w:tcBorders>
              <w:top w:val="nil"/>
              <w:left w:val="nil"/>
              <w:bottom w:val="nil"/>
              <w:right w:val="nil"/>
            </w:tcBorders>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0</w:t>
            </w:r>
          </w:p>
        </w:tc>
        <w:tc>
          <w:tcPr>
            <w:tcW w:w="1014" w:type="dxa"/>
            <w:tcBorders>
              <w:top w:val="nil"/>
              <w:left w:val="nil"/>
              <w:bottom w:val="nil"/>
              <w:right w:val="nil"/>
            </w:tcBorders>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0</w:t>
            </w:r>
          </w:p>
        </w:tc>
        <w:tc>
          <w:tcPr>
            <w:tcW w:w="1014" w:type="dxa"/>
            <w:tcBorders>
              <w:top w:val="nil"/>
              <w:left w:val="nil"/>
              <w:bottom w:val="nil"/>
              <w:right w:val="nil"/>
            </w:tcBorders>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0</w:t>
            </w:r>
          </w:p>
        </w:tc>
        <w:tc>
          <w:tcPr>
            <w:tcW w:w="1087" w:type="dxa"/>
            <w:tcBorders>
              <w:top w:val="nil"/>
              <w:left w:val="nil"/>
              <w:bottom w:val="nil"/>
              <w:right w:val="nil"/>
            </w:tcBorders>
          </w:tcPr>
          <w:p>
            <w:pPr>
              <w:keepNext w:val="0"/>
              <w:keepLines w:val="0"/>
              <w:widowControl w:val="0"/>
              <w:suppressLineNumbers w:val="0"/>
              <w:spacing w:before="0" w:beforeAutospacing="0" w:afterAutospacing="0"/>
              <w:ind w:left="0" w:right="0"/>
              <w:jc w:val="both"/>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w:t>
            </w:r>
          </w:p>
        </w:tc>
        <w:tc>
          <w:tcPr>
            <w:tcW w:w="957" w:type="dxa"/>
            <w:tcBorders>
              <w:top w:val="nil"/>
              <w:left w:val="nil"/>
              <w:bottom w:val="nil"/>
              <w:right w:val="nil"/>
            </w:tcBorders>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w:t>
            </w: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6" w:hRule="atLeast"/>
        </w:trPr>
        <w:tc>
          <w:tcPr>
            <w:tcW w:w="2392"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i/>
                <w:iCs/>
              </w:rPr>
              <w:t xml:space="preserve">C.kefyr </w:t>
            </w:r>
            <w:r>
              <w:rPr>
                <w:rFonts w:hint="default" w:ascii="Times New Roman" w:hAnsi="Times New Roman" w:cs="Times New Roman"/>
              </w:rPr>
              <w:t>(n=1)</w:t>
            </w:r>
          </w:p>
        </w:tc>
        <w:tc>
          <w:tcPr>
            <w:tcW w:w="1014"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w:t>
            </w:r>
          </w:p>
        </w:tc>
        <w:tc>
          <w:tcPr>
            <w:tcW w:w="1014"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w:t>
            </w:r>
          </w:p>
        </w:tc>
        <w:tc>
          <w:tcPr>
            <w:tcW w:w="1014"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w:t>
            </w:r>
          </w:p>
        </w:tc>
        <w:tc>
          <w:tcPr>
            <w:tcW w:w="1078"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w:t>
            </w:r>
          </w:p>
        </w:tc>
        <w:tc>
          <w:tcPr>
            <w:tcW w:w="956"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w:t>
            </w:r>
          </w:p>
        </w:tc>
        <w:tc>
          <w:tcPr>
            <w:tcW w:w="299"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p>
        </w:tc>
        <w:tc>
          <w:tcPr>
            <w:tcW w:w="1014"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0</w:t>
            </w:r>
          </w:p>
        </w:tc>
        <w:tc>
          <w:tcPr>
            <w:tcW w:w="1014"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0</w:t>
            </w:r>
          </w:p>
        </w:tc>
        <w:tc>
          <w:tcPr>
            <w:tcW w:w="1014"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0</w:t>
            </w:r>
          </w:p>
        </w:tc>
        <w:tc>
          <w:tcPr>
            <w:tcW w:w="1087"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0</w:t>
            </w:r>
          </w:p>
        </w:tc>
        <w:tc>
          <w:tcPr>
            <w:tcW w:w="957"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0</w:t>
            </w: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95" w:hRule="atLeast"/>
        </w:trPr>
        <w:tc>
          <w:tcPr>
            <w:tcW w:w="12853" w:type="dxa"/>
            <w:gridSpan w:val="12"/>
            <w:tcBorders>
              <w:top w:val="single" w:color="auto" w:sz="8" w:space="0"/>
              <w:left w:val="nil"/>
              <w:bottom w:val="nil"/>
              <w:right w:val="nil"/>
            </w:tcBorders>
          </w:tcPr>
          <w:p>
            <w:pPr>
              <w:keepNext w:val="0"/>
              <w:keepLines w:val="0"/>
              <w:widowControl/>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eastAsia="宋体" w:cs="Times New Roman"/>
                <w:color w:val="231F20"/>
                <w:lang w:bidi="ar"/>
              </w:rPr>
              <w:t xml:space="preserve">Variables are presented as number (percentage). </w:t>
            </w:r>
            <w:r>
              <w:rPr>
                <w:rFonts w:hint="eastAsia" w:ascii="Times New Roman" w:hAnsi="Times New Roman" w:eastAsia="宋体" w:cs="Times New Roman"/>
                <w:color w:val="231F20"/>
                <w:sz w:val="19"/>
                <w:szCs w:val="19"/>
                <w:vertAlign w:val="superscript"/>
                <w:lang w:val="en-US" w:eastAsia="zh-CN" w:bidi="ar"/>
              </w:rPr>
              <w:t>a</w:t>
            </w:r>
            <w:r>
              <w:rPr>
                <w:rFonts w:hint="default" w:ascii="Times New Roman" w:hAnsi="Times New Roman" w:eastAsia="宋体" w:cs="Times New Roman"/>
                <w:color w:val="231F20"/>
                <w:lang w:bidi="ar"/>
              </w:rPr>
              <w:t xml:space="preserve">Four other isolates are not shown in this table including </w:t>
            </w:r>
            <w:r>
              <w:rPr>
                <w:rFonts w:hint="default" w:ascii="Times New Roman" w:hAnsi="Times New Roman" w:eastAsia="宋体" w:cs="Times New Roman"/>
                <w:i/>
                <w:color w:val="231F20"/>
                <w:lang w:bidi="ar"/>
              </w:rPr>
              <w:t>Candida lipolytica</w:t>
            </w:r>
            <w:r>
              <w:rPr>
                <w:rFonts w:hint="default" w:ascii="Times New Roman" w:hAnsi="Times New Roman" w:eastAsia="宋体" w:cs="Times New Roman"/>
                <w:color w:val="231F20"/>
                <w:lang w:bidi="ar"/>
              </w:rPr>
              <w:t xml:space="preserve">, </w:t>
            </w:r>
            <w:r>
              <w:rPr>
                <w:rFonts w:hint="default" w:ascii="Times New Roman" w:hAnsi="Times New Roman" w:eastAsia="宋体" w:cs="Times New Roman"/>
                <w:i/>
                <w:color w:val="231F20"/>
                <w:lang w:bidi="ar"/>
              </w:rPr>
              <w:t xml:space="preserve">Candida inconspicua </w:t>
            </w:r>
            <w:r>
              <w:rPr>
                <w:rFonts w:hint="default" w:ascii="Times New Roman" w:hAnsi="Times New Roman" w:eastAsia="宋体" w:cs="Times New Roman"/>
                <w:color w:val="231F20"/>
                <w:lang w:bidi="ar"/>
              </w:rPr>
              <w:t>and</w:t>
            </w:r>
            <w:r>
              <w:rPr>
                <w:rFonts w:hint="default" w:ascii="Times New Roman" w:hAnsi="Times New Roman" w:eastAsia="宋体" w:cs="Times New Roman"/>
                <w:i/>
                <w:color w:val="231F20"/>
                <w:lang w:bidi="ar"/>
              </w:rPr>
              <w:t xml:space="preserve"> </w:t>
            </w:r>
            <w:r>
              <w:rPr>
                <w:rFonts w:hint="default" w:ascii="Times New Roman" w:hAnsi="Times New Roman" w:cs="Times New Roman"/>
                <w:i/>
              </w:rPr>
              <w:t>Candida carpophila</w:t>
            </w:r>
            <w:r>
              <w:rPr>
                <w:rFonts w:hint="default" w:ascii="Times New Roman" w:hAnsi="Times New Roman" w:cs="Times New Roman"/>
              </w:rPr>
              <w:t xml:space="preserve">, since the reference cut-off value to determine resistance has not been established due to its rarity. </w:t>
            </w:r>
          </w:p>
          <w:p>
            <w:pPr>
              <w:keepNext w:val="0"/>
              <w:keepLines w:val="0"/>
              <w:widowControl/>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 xml:space="preserve">Abbreviations: AMB: </w:t>
            </w:r>
            <w:bookmarkStart w:id="1" w:name="OLE_LINK8"/>
            <w:r>
              <w:rPr>
                <w:rFonts w:hint="default" w:ascii="Times New Roman" w:hAnsi="Times New Roman" w:eastAsia="等线" w:cs="Times New Roman"/>
                <w:color w:val="000000"/>
              </w:rPr>
              <w:t>Amphotericin B</w:t>
            </w:r>
            <w:bookmarkEnd w:id="1"/>
            <w:r>
              <w:rPr>
                <w:rFonts w:hint="default" w:ascii="Times New Roman" w:hAnsi="Times New Roman" w:eastAsia="等线" w:cs="Times New Roman"/>
                <w:color w:val="000000"/>
              </w:rPr>
              <w:t>; CAS: Caspofungin;</w:t>
            </w:r>
            <w:r>
              <w:rPr>
                <w:rFonts w:hint="default" w:ascii="Times New Roman" w:hAnsi="Times New Roman" w:cs="Times New Roman"/>
              </w:rPr>
              <w:t xml:space="preserve"> FCZ: Fluconazole; IR: Intrinsic resistance; MICA: </w:t>
            </w:r>
            <w:r>
              <w:rPr>
                <w:rFonts w:hint="default" w:ascii="Times New Roman" w:hAnsi="Times New Roman" w:eastAsia="等线" w:cs="Times New Roman"/>
                <w:color w:val="000000"/>
              </w:rPr>
              <w:t xml:space="preserve">Micafungin; VCZ: Voriconazole. </w:t>
            </w:r>
          </w:p>
        </w:tc>
      </w:tr>
    </w:tbl>
    <w:p>
      <w:pPr>
        <w:rPr>
          <w:rFonts w:hint="default" w:ascii="Times New Roman" w:hAnsi="Times New Roman" w:cs="Times New Roman"/>
        </w:rPr>
      </w:pPr>
    </w:p>
    <w:p>
      <w:pPr>
        <w:pStyle w:val="3"/>
        <w:numPr>
          <w:ilvl w:val="1"/>
          <w:numId w:val="0"/>
        </w:numPr>
        <w:rPr>
          <w:rFonts w:hint="default" w:ascii="Times New Roman" w:hAnsi="Times New Roman" w:cs="Times New Roman"/>
          <w:sz w:val="22"/>
          <w:szCs w:val="22"/>
        </w:rPr>
      </w:pPr>
      <w:r>
        <w:rPr>
          <w:rFonts w:hint="default" w:ascii="Times New Roman" w:hAnsi="Times New Roman" w:cs="Times New Roman"/>
        </w:rPr>
        <w:t>Supplementary table 5</w:t>
      </w:r>
    </w:p>
    <w:p>
      <w:pPr>
        <w:pStyle w:val="11"/>
        <w:rPr>
          <w:rFonts w:hint="default" w:ascii="Times New Roman" w:hAnsi="Times New Roman" w:eastAsia="宋体" w:cs="Times New Roman"/>
          <w:i w:val="0"/>
          <w:iCs w:val="0"/>
          <w:sz w:val="22"/>
          <w:szCs w:val="22"/>
        </w:rPr>
      </w:pPr>
      <w:r>
        <w:rPr>
          <w:rFonts w:hint="default" w:ascii="Times New Roman" w:hAnsi="Times New Roman" w:cs="Times New Roman"/>
          <w:b/>
          <w:bCs/>
          <w:i w:val="0"/>
          <w:iCs w:val="0"/>
          <w:sz w:val="22"/>
          <w:szCs w:val="22"/>
        </w:rPr>
        <w:t>Supplementary Table 5</w:t>
      </w:r>
      <w:r>
        <w:rPr>
          <w:rFonts w:hint="default" w:ascii="Times New Roman" w:hAnsi="Times New Roman" w:cs="Times New Roman"/>
          <w:i w:val="0"/>
          <w:iCs w:val="0"/>
          <w:sz w:val="22"/>
          <w:szCs w:val="22"/>
        </w:rPr>
        <w:t>. Association between risk factors and 90-day all-cause mortality.</w:t>
      </w:r>
    </w:p>
    <w:tbl>
      <w:tblPr>
        <w:tblStyle w:val="20"/>
        <w:tblW w:w="10179" w:type="dxa"/>
        <w:tblInd w:w="0" w:type="dxa"/>
        <w:tblBorders>
          <w:top w:val="single" w:color="auto" w:sz="8" w:space="0"/>
          <w:left w:val="none" w:color="auto" w:sz="0" w:space="0"/>
          <w:bottom w:val="single" w:color="auto" w:sz="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912"/>
        <w:gridCol w:w="2219"/>
        <w:gridCol w:w="1278"/>
        <w:gridCol w:w="312"/>
        <w:gridCol w:w="2261"/>
        <w:gridCol w:w="1197"/>
      </w:tblGrid>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0" w:hRule="atLeast"/>
        </w:trPr>
        <w:tc>
          <w:tcPr>
            <w:tcW w:w="2912" w:type="dxa"/>
            <w:tcBorders>
              <w:top w:val="single" w:color="auto" w:sz="8" w:space="0"/>
              <w:left w:val="nil"/>
              <w:bottom w:val="nil"/>
              <w:right w:val="nil"/>
            </w:tcBorders>
            <w:shd w:val="clear" w:color="auto" w:fill="F7CAAC" w:themeFill="accent2" w:themeFillTint="66"/>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Risk factors</w:t>
            </w:r>
          </w:p>
        </w:tc>
        <w:tc>
          <w:tcPr>
            <w:tcW w:w="3497" w:type="dxa"/>
            <w:gridSpan w:val="2"/>
            <w:tcBorders>
              <w:top w:val="single" w:color="auto" w:sz="8" w:space="0"/>
              <w:left w:val="nil"/>
              <w:bottom w:val="single" w:color="auto" w:sz="8" w:space="0"/>
              <w:right w:val="nil"/>
            </w:tcBorders>
            <w:shd w:val="clear" w:color="auto" w:fill="F7CAAC" w:themeFill="accent2" w:themeFillTint="66"/>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bookmarkStart w:id="2" w:name="OLE_LINK7"/>
            <w:r>
              <w:rPr>
                <w:rFonts w:hint="default" w:ascii="Times New Roman" w:hAnsi="Times New Roman" w:cs="Times New Roman"/>
              </w:rPr>
              <w:t xml:space="preserve">Univariate </w:t>
            </w:r>
            <w:bookmarkEnd w:id="2"/>
            <w:r>
              <w:rPr>
                <w:rFonts w:hint="default" w:ascii="Times New Roman" w:hAnsi="Times New Roman" w:cs="Times New Roman"/>
              </w:rPr>
              <w:t>analysis</w:t>
            </w:r>
          </w:p>
        </w:tc>
        <w:tc>
          <w:tcPr>
            <w:tcW w:w="312" w:type="dxa"/>
            <w:tcBorders>
              <w:top w:val="single" w:color="auto" w:sz="8" w:space="0"/>
              <w:left w:val="nil"/>
              <w:bottom w:val="nil"/>
              <w:right w:val="nil"/>
            </w:tcBorders>
            <w:shd w:val="clear" w:color="auto" w:fill="F7CAAC" w:themeFill="accent2" w:themeFillTint="66"/>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p>
        </w:tc>
        <w:tc>
          <w:tcPr>
            <w:tcW w:w="3458" w:type="dxa"/>
            <w:gridSpan w:val="2"/>
            <w:tcBorders>
              <w:top w:val="single" w:color="auto" w:sz="8" w:space="0"/>
              <w:left w:val="nil"/>
              <w:bottom w:val="single" w:color="auto" w:sz="8" w:space="0"/>
              <w:right w:val="nil"/>
            </w:tcBorders>
            <w:shd w:val="clear" w:color="auto" w:fill="F7CAAC" w:themeFill="accent2" w:themeFillTint="66"/>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Multivariate analysis</w:t>
            </w: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4" w:hRule="atLeast"/>
        </w:trPr>
        <w:tc>
          <w:tcPr>
            <w:tcW w:w="2912" w:type="dxa"/>
            <w:tcBorders>
              <w:top w:val="nil"/>
              <w:left w:val="nil"/>
              <w:bottom w:val="single" w:color="auto" w:sz="8" w:space="0"/>
              <w:right w:val="nil"/>
            </w:tcBorders>
            <w:shd w:val="clear" w:color="auto" w:fill="F7CAAC" w:themeFill="accent2" w:themeFillTint="66"/>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p>
        </w:tc>
        <w:tc>
          <w:tcPr>
            <w:tcW w:w="2219" w:type="dxa"/>
            <w:tcBorders>
              <w:top w:val="single" w:color="auto" w:sz="8" w:space="0"/>
              <w:left w:val="nil"/>
              <w:bottom w:val="single" w:color="auto" w:sz="8" w:space="0"/>
              <w:right w:val="nil"/>
            </w:tcBorders>
            <w:shd w:val="clear" w:color="auto" w:fill="F7CAAC" w:themeFill="accent2" w:themeFillTint="66"/>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OR (95% CI)</w:t>
            </w:r>
          </w:p>
        </w:tc>
        <w:tc>
          <w:tcPr>
            <w:tcW w:w="1278" w:type="dxa"/>
            <w:tcBorders>
              <w:top w:val="single" w:color="auto" w:sz="8" w:space="0"/>
              <w:left w:val="nil"/>
              <w:bottom w:val="single" w:color="auto" w:sz="8" w:space="0"/>
              <w:right w:val="nil"/>
            </w:tcBorders>
            <w:shd w:val="clear" w:color="auto" w:fill="F7CAAC" w:themeFill="accent2" w:themeFillTint="66"/>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P-value</w:t>
            </w:r>
          </w:p>
        </w:tc>
        <w:tc>
          <w:tcPr>
            <w:tcW w:w="312" w:type="dxa"/>
            <w:tcBorders>
              <w:top w:val="nil"/>
              <w:left w:val="nil"/>
              <w:bottom w:val="single" w:color="auto" w:sz="8" w:space="0"/>
              <w:right w:val="nil"/>
            </w:tcBorders>
            <w:shd w:val="clear" w:color="auto" w:fill="F7CAAC" w:themeFill="accent2" w:themeFillTint="66"/>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p>
        </w:tc>
        <w:tc>
          <w:tcPr>
            <w:tcW w:w="2261" w:type="dxa"/>
            <w:tcBorders>
              <w:top w:val="single" w:color="auto" w:sz="8" w:space="0"/>
              <w:left w:val="nil"/>
              <w:bottom w:val="single" w:color="auto" w:sz="8" w:space="0"/>
              <w:right w:val="nil"/>
            </w:tcBorders>
            <w:shd w:val="clear" w:color="auto" w:fill="F7CAAC" w:themeFill="accent2" w:themeFillTint="66"/>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OR (95% CI)</w:t>
            </w:r>
          </w:p>
        </w:tc>
        <w:tc>
          <w:tcPr>
            <w:tcW w:w="1197" w:type="dxa"/>
            <w:tcBorders>
              <w:top w:val="single" w:color="auto" w:sz="8" w:space="0"/>
              <w:left w:val="nil"/>
              <w:bottom w:val="single" w:color="auto" w:sz="8" w:space="0"/>
              <w:right w:val="nil"/>
            </w:tcBorders>
            <w:shd w:val="clear" w:color="auto" w:fill="F7CAAC" w:themeFill="accent2" w:themeFillTint="66"/>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P-value</w:t>
            </w: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6" w:hRule="atLeast"/>
        </w:trPr>
        <w:tc>
          <w:tcPr>
            <w:tcW w:w="2912" w:type="dxa"/>
            <w:tcBorders>
              <w:top w:val="single" w:color="auto" w:sz="8" w:space="0"/>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Male</w:t>
            </w:r>
          </w:p>
        </w:tc>
        <w:tc>
          <w:tcPr>
            <w:tcW w:w="2219" w:type="dxa"/>
            <w:tcBorders>
              <w:top w:val="single" w:color="auto" w:sz="8" w:space="0"/>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0.84 (0.41-1.72)</w:t>
            </w:r>
          </w:p>
        </w:tc>
        <w:tc>
          <w:tcPr>
            <w:tcW w:w="1278" w:type="dxa"/>
            <w:tcBorders>
              <w:top w:val="single" w:color="auto" w:sz="8" w:space="0"/>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0.632</w:t>
            </w:r>
          </w:p>
        </w:tc>
        <w:tc>
          <w:tcPr>
            <w:tcW w:w="312" w:type="dxa"/>
            <w:tcBorders>
              <w:top w:val="single" w:color="auto" w:sz="8" w:space="0"/>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p>
        </w:tc>
        <w:tc>
          <w:tcPr>
            <w:tcW w:w="2261" w:type="dxa"/>
            <w:tcBorders>
              <w:top w:val="single" w:color="auto" w:sz="8" w:space="0"/>
              <w:left w:val="nil"/>
              <w:bottom w:val="nil"/>
              <w:right w:val="nil"/>
            </w:tcBorders>
            <w:shd w:val="clear" w:color="auto" w:fill="FBE5D6" w:themeFill="accent2" w:themeFillTint="32"/>
            <w:vAlign w:val="top"/>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lang w:val="en-US" w:eastAsia="zh-CN"/>
              </w:rPr>
              <w:t>0.79 (0.26-2.39)</w:t>
            </w:r>
          </w:p>
        </w:tc>
        <w:tc>
          <w:tcPr>
            <w:tcW w:w="1197" w:type="dxa"/>
            <w:tcBorders>
              <w:top w:val="single" w:color="auto" w:sz="8" w:space="0"/>
              <w:left w:val="nil"/>
              <w:bottom w:val="nil"/>
              <w:right w:val="nil"/>
            </w:tcBorders>
            <w:shd w:val="clear" w:color="auto" w:fill="FBE5D6" w:themeFill="accent2" w:themeFillTint="32"/>
            <w:vAlign w:val="top"/>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lang w:val="en-US" w:eastAsia="zh-CN"/>
              </w:rPr>
              <w:t>0.674</w:t>
            </w: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6" w:hRule="atLeast"/>
        </w:trPr>
        <w:tc>
          <w:tcPr>
            <w:tcW w:w="2912" w:type="dxa"/>
            <w:tcBorders>
              <w:top w:val="nil"/>
              <w:left w:val="nil"/>
              <w:bottom w:val="nil"/>
              <w:right w:val="nil"/>
            </w:tcBorders>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 xml:space="preserve">Age </w:t>
            </w:r>
          </w:p>
        </w:tc>
        <w:tc>
          <w:tcPr>
            <w:tcW w:w="2219" w:type="dxa"/>
            <w:tcBorders>
              <w:top w:val="nil"/>
              <w:left w:val="nil"/>
              <w:bottom w:val="nil"/>
              <w:right w:val="nil"/>
            </w:tcBorders>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1.02 (1.01-1.04)</w:t>
            </w:r>
          </w:p>
        </w:tc>
        <w:tc>
          <w:tcPr>
            <w:tcW w:w="1278" w:type="dxa"/>
            <w:tcBorders>
              <w:top w:val="nil"/>
              <w:left w:val="nil"/>
              <w:bottom w:val="nil"/>
              <w:right w:val="nil"/>
            </w:tcBorders>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0.001**</w:t>
            </w:r>
          </w:p>
        </w:tc>
        <w:tc>
          <w:tcPr>
            <w:tcW w:w="312" w:type="dxa"/>
            <w:tcBorders>
              <w:top w:val="nil"/>
              <w:left w:val="nil"/>
              <w:bottom w:val="nil"/>
              <w:right w:val="nil"/>
            </w:tcBorders>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p>
        </w:tc>
        <w:tc>
          <w:tcPr>
            <w:tcW w:w="2261" w:type="dxa"/>
            <w:tcBorders>
              <w:top w:val="nil"/>
              <w:left w:val="nil"/>
              <w:bottom w:val="nil"/>
              <w:right w:val="nil"/>
            </w:tcBorders>
            <w:vAlign w:val="top"/>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lang w:val="en-US" w:eastAsia="zh-CN"/>
              </w:rPr>
              <w:t>1.01 (0.99-1.03)</w:t>
            </w:r>
          </w:p>
        </w:tc>
        <w:tc>
          <w:tcPr>
            <w:tcW w:w="1197" w:type="dxa"/>
            <w:tcBorders>
              <w:top w:val="nil"/>
              <w:left w:val="nil"/>
              <w:bottom w:val="nil"/>
              <w:right w:val="nil"/>
            </w:tcBorders>
            <w:vAlign w:val="top"/>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lang w:val="en-US" w:eastAsia="zh-CN"/>
              </w:rPr>
              <w:t>0.347</w:t>
            </w: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6" w:hRule="atLeast"/>
        </w:trPr>
        <w:tc>
          <w:tcPr>
            <w:tcW w:w="2912"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Hemoglobin&lt;80g/L</w:t>
            </w:r>
          </w:p>
        </w:tc>
        <w:tc>
          <w:tcPr>
            <w:tcW w:w="2219"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0.92 (0.40-2.12)</w:t>
            </w:r>
          </w:p>
        </w:tc>
        <w:tc>
          <w:tcPr>
            <w:tcW w:w="1278"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0.844</w:t>
            </w:r>
          </w:p>
        </w:tc>
        <w:tc>
          <w:tcPr>
            <w:tcW w:w="312"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p>
        </w:tc>
        <w:tc>
          <w:tcPr>
            <w:tcW w:w="2261" w:type="dxa"/>
            <w:tcBorders>
              <w:top w:val="nil"/>
              <w:left w:val="nil"/>
              <w:bottom w:val="nil"/>
              <w:right w:val="nil"/>
            </w:tcBorders>
            <w:shd w:val="clear" w:color="auto" w:fill="FBE5D6" w:themeFill="accent2" w:themeFillTint="32"/>
            <w:vAlign w:val="top"/>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lang w:val="en-US" w:eastAsia="zh-CN"/>
              </w:rPr>
              <w:t>0.78 (0.20-3.08)</w:t>
            </w:r>
          </w:p>
        </w:tc>
        <w:tc>
          <w:tcPr>
            <w:tcW w:w="1197" w:type="dxa"/>
            <w:tcBorders>
              <w:top w:val="nil"/>
              <w:left w:val="nil"/>
              <w:bottom w:val="nil"/>
              <w:right w:val="nil"/>
            </w:tcBorders>
            <w:shd w:val="clear" w:color="auto" w:fill="FBE5D6" w:themeFill="accent2" w:themeFillTint="32"/>
            <w:vAlign w:val="top"/>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lang w:val="en-US" w:eastAsia="zh-CN"/>
              </w:rPr>
              <w:t>0.720</w:t>
            </w: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6" w:hRule="atLeast"/>
        </w:trPr>
        <w:tc>
          <w:tcPr>
            <w:tcW w:w="2912" w:type="dxa"/>
            <w:tcBorders>
              <w:top w:val="nil"/>
              <w:left w:val="nil"/>
              <w:bottom w:val="nil"/>
              <w:right w:val="nil"/>
            </w:tcBorders>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Albumin&lt;25g/L</w:t>
            </w:r>
          </w:p>
        </w:tc>
        <w:tc>
          <w:tcPr>
            <w:tcW w:w="2219" w:type="dxa"/>
            <w:tcBorders>
              <w:top w:val="nil"/>
              <w:left w:val="nil"/>
              <w:bottom w:val="nil"/>
              <w:right w:val="nil"/>
            </w:tcBorders>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1.32 (0.41-4.24)</w:t>
            </w:r>
          </w:p>
        </w:tc>
        <w:tc>
          <w:tcPr>
            <w:tcW w:w="1278" w:type="dxa"/>
            <w:tcBorders>
              <w:top w:val="nil"/>
              <w:left w:val="nil"/>
              <w:bottom w:val="nil"/>
              <w:right w:val="nil"/>
            </w:tcBorders>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0.645</w:t>
            </w:r>
          </w:p>
        </w:tc>
        <w:tc>
          <w:tcPr>
            <w:tcW w:w="312" w:type="dxa"/>
            <w:tcBorders>
              <w:top w:val="nil"/>
              <w:left w:val="nil"/>
              <w:bottom w:val="nil"/>
              <w:right w:val="nil"/>
            </w:tcBorders>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p>
        </w:tc>
        <w:tc>
          <w:tcPr>
            <w:tcW w:w="2261" w:type="dxa"/>
            <w:tcBorders>
              <w:top w:val="nil"/>
              <w:left w:val="nil"/>
              <w:bottom w:val="nil"/>
              <w:right w:val="nil"/>
            </w:tcBorders>
            <w:vAlign w:val="top"/>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lang w:val="en-US" w:eastAsia="zh-CN"/>
              </w:rPr>
              <w:t>1.12 (0.21-5.85)</w:t>
            </w:r>
          </w:p>
        </w:tc>
        <w:tc>
          <w:tcPr>
            <w:tcW w:w="1197" w:type="dxa"/>
            <w:tcBorders>
              <w:top w:val="nil"/>
              <w:left w:val="nil"/>
              <w:bottom w:val="nil"/>
              <w:right w:val="nil"/>
            </w:tcBorders>
            <w:vAlign w:val="top"/>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lang w:val="en-US" w:eastAsia="zh-CN"/>
              </w:rPr>
              <w:t>0.893</w:t>
            </w: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6" w:hRule="atLeast"/>
        </w:trPr>
        <w:tc>
          <w:tcPr>
            <w:tcW w:w="2912"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Diabetes mellitus</w:t>
            </w:r>
          </w:p>
        </w:tc>
        <w:tc>
          <w:tcPr>
            <w:tcW w:w="2219"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2.00 (0.99-4.06)</w:t>
            </w:r>
          </w:p>
        </w:tc>
        <w:tc>
          <w:tcPr>
            <w:tcW w:w="1278"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0.053</w:t>
            </w:r>
          </w:p>
        </w:tc>
        <w:tc>
          <w:tcPr>
            <w:tcW w:w="312"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p>
        </w:tc>
        <w:tc>
          <w:tcPr>
            <w:tcW w:w="2261" w:type="dxa"/>
            <w:tcBorders>
              <w:top w:val="nil"/>
              <w:left w:val="nil"/>
              <w:bottom w:val="nil"/>
              <w:right w:val="nil"/>
            </w:tcBorders>
            <w:shd w:val="clear" w:color="auto" w:fill="FBE5D6" w:themeFill="accent2" w:themeFillTint="32"/>
            <w:vAlign w:val="top"/>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lang w:val="en-US" w:eastAsia="zh-CN"/>
              </w:rPr>
              <w:t>1.76 (0.64-4.81)</w:t>
            </w:r>
          </w:p>
        </w:tc>
        <w:tc>
          <w:tcPr>
            <w:tcW w:w="1197" w:type="dxa"/>
            <w:tcBorders>
              <w:top w:val="nil"/>
              <w:left w:val="nil"/>
              <w:bottom w:val="nil"/>
              <w:right w:val="nil"/>
            </w:tcBorders>
            <w:shd w:val="clear" w:color="auto" w:fill="FBE5D6" w:themeFill="accent2" w:themeFillTint="32"/>
            <w:vAlign w:val="top"/>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lang w:val="en-US" w:eastAsia="zh-CN"/>
              </w:rPr>
              <w:t>0.273</w:t>
            </w: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6" w:hRule="atLeast"/>
        </w:trPr>
        <w:tc>
          <w:tcPr>
            <w:tcW w:w="2912" w:type="dxa"/>
            <w:tcBorders>
              <w:top w:val="nil"/>
              <w:left w:val="nil"/>
              <w:bottom w:val="nil"/>
              <w:right w:val="nil"/>
            </w:tcBorders>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Solid organ malignancies</w:t>
            </w:r>
          </w:p>
        </w:tc>
        <w:tc>
          <w:tcPr>
            <w:tcW w:w="2219" w:type="dxa"/>
            <w:tcBorders>
              <w:top w:val="nil"/>
              <w:left w:val="nil"/>
              <w:bottom w:val="nil"/>
              <w:right w:val="nil"/>
            </w:tcBorders>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1.25 (0.60-2.60)</w:t>
            </w:r>
          </w:p>
        </w:tc>
        <w:tc>
          <w:tcPr>
            <w:tcW w:w="1278" w:type="dxa"/>
            <w:tcBorders>
              <w:top w:val="nil"/>
              <w:left w:val="nil"/>
              <w:bottom w:val="nil"/>
              <w:right w:val="nil"/>
            </w:tcBorders>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0.543</w:t>
            </w:r>
          </w:p>
        </w:tc>
        <w:tc>
          <w:tcPr>
            <w:tcW w:w="312" w:type="dxa"/>
            <w:tcBorders>
              <w:top w:val="nil"/>
              <w:left w:val="nil"/>
              <w:bottom w:val="nil"/>
              <w:right w:val="nil"/>
            </w:tcBorders>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p>
        </w:tc>
        <w:tc>
          <w:tcPr>
            <w:tcW w:w="2261" w:type="dxa"/>
            <w:tcBorders>
              <w:top w:val="nil"/>
              <w:left w:val="nil"/>
              <w:bottom w:val="nil"/>
              <w:right w:val="nil"/>
            </w:tcBorders>
            <w:vAlign w:val="top"/>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lang w:val="en-US" w:eastAsia="zh-CN"/>
              </w:rPr>
              <w:t>2.07 (0.62-6.93)</w:t>
            </w:r>
          </w:p>
        </w:tc>
        <w:tc>
          <w:tcPr>
            <w:tcW w:w="1197" w:type="dxa"/>
            <w:tcBorders>
              <w:top w:val="nil"/>
              <w:left w:val="nil"/>
              <w:bottom w:val="nil"/>
              <w:right w:val="nil"/>
            </w:tcBorders>
            <w:vAlign w:val="top"/>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lang w:val="en-US" w:eastAsia="zh-CN"/>
              </w:rPr>
              <w:t>0.239</w:t>
            </w: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6" w:hRule="atLeast"/>
        </w:trPr>
        <w:tc>
          <w:tcPr>
            <w:tcW w:w="2912"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Hematologic malignancies</w:t>
            </w:r>
          </w:p>
        </w:tc>
        <w:tc>
          <w:tcPr>
            <w:tcW w:w="2219"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1.25 (0.29-5.44)</w:t>
            </w:r>
          </w:p>
        </w:tc>
        <w:tc>
          <w:tcPr>
            <w:tcW w:w="1278"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0.767</w:t>
            </w:r>
          </w:p>
        </w:tc>
        <w:tc>
          <w:tcPr>
            <w:tcW w:w="312"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p>
        </w:tc>
        <w:tc>
          <w:tcPr>
            <w:tcW w:w="2261" w:type="dxa"/>
            <w:tcBorders>
              <w:top w:val="nil"/>
              <w:left w:val="nil"/>
              <w:bottom w:val="nil"/>
              <w:right w:val="nil"/>
            </w:tcBorders>
            <w:shd w:val="clear" w:color="auto" w:fill="FBE5D6" w:themeFill="accent2" w:themeFillTint="32"/>
            <w:vAlign w:val="top"/>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lang w:val="en-US" w:eastAsia="zh-CN"/>
              </w:rPr>
              <w:t>44.29 (2.38-825.37)</w:t>
            </w:r>
          </w:p>
        </w:tc>
        <w:tc>
          <w:tcPr>
            <w:tcW w:w="1197" w:type="dxa"/>
            <w:tcBorders>
              <w:top w:val="nil"/>
              <w:left w:val="nil"/>
              <w:bottom w:val="nil"/>
              <w:right w:val="nil"/>
            </w:tcBorders>
            <w:shd w:val="clear" w:color="auto" w:fill="FBE5D6" w:themeFill="accent2" w:themeFillTint="32"/>
            <w:vAlign w:val="top"/>
          </w:tcPr>
          <w:p>
            <w:pPr>
              <w:keepNext w:val="0"/>
              <w:keepLines w:val="0"/>
              <w:widowControl w:val="0"/>
              <w:suppressLineNumbers w:val="0"/>
              <w:spacing w:before="0" w:beforeAutospacing="0" w:afterAutospacing="0"/>
              <w:ind w:left="0" w:right="0"/>
              <w:jc w:val="both"/>
              <w:rPr>
                <w:rFonts w:hint="default" w:ascii="Times New Roman" w:hAnsi="Times New Roman" w:cs="Times New Roman"/>
                <w:lang w:val="en-US"/>
              </w:rPr>
            </w:pPr>
            <w:r>
              <w:rPr>
                <w:rFonts w:hint="default" w:ascii="Times New Roman" w:hAnsi="Times New Roman" w:cs="Times New Roman"/>
                <w:lang w:val="en-US" w:eastAsia="zh-CN"/>
              </w:rPr>
              <w:t>0.011*</w:t>
            </w: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6" w:hRule="atLeast"/>
        </w:trPr>
        <w:tc>
          <w:tcPr>
            <w:tcW w:w="2912" w:type="dxa"/>
            <w:tcBorders>
              <w:top w:val="nil"/>
              <w:left w:val="nil"/>
              <w:bottom w:val="nil"/>
              <w:right w:val="nil"/>
            </w:tcBorders>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 xml:space="preserve">Neutropenia </w:t>
            </w:r>
          </w:p>
        </w:tc>
        <w:tc>
          <w:tcPr>
            <w:tcW w:w="2219" w:type="dxa"/>
            <w:tcBorders>
              <w:top w:val="nil"/>
              <w:left w:val="nil"/>
              <w:bottom w:val="nil"/>
              <w:right w:val="nil"/>
            </w:tcBorders>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1.03 (0.25-4.29)</w:t>
            </w:r>
          </w:p>
        </w:tc>
        <w:tc>
          <w:tcPr>
            <w:tcW w:w="1278" w:type="dxa"/>
            <w:tcBorders>
              <w:top w:val="nil"/>
              <w:left w:val="nil"/>
              <w:bottom w:val="nil"/>
              <w:right w:val="nil"/>
            </w:tcBorders>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0.967</w:t>
            </w:r>
          </w:p>
        </w:tc>
        <w:tc>
          <w:tcPr>
            <w:tcW w:w="312" w:type="dxa"/>
            <w:tcBorders>
              <w:top w:val="nil"/>
              <w:left w:val="nil"/>
              <w:bottom w:val="nil"/>
              <w:right w:val="nil"/>
            </w:tcBorders>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p>
        </w:tc>
        <w:tc>
          <w:tcPr>
            <w:tcW w:w="2261" w:type="dxa"/>
            <w:tcBorders>
              <w:top w:val="nil"/>
              <w:left w:val="nil"/>
              <w:bottom w:val="nil"/>
              <w:right w:val="nil"/>
            </w:tcBorders>
            <w:vAlign w:val="top"/>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lang w:val="en-US" w:eastAsia="zh-CN"/>
              </w:rPr>
              <w:t>38.31 (2.07-709.75)</w:t>
            </w:r>
          </w:p>
        </w:tc>
        <w:tc>
          <w:tcPr>
            <w:tcW w:w="1197" w:type="dxa"/>
            <w:tcBorders>
              <w:top w:val="nil"/>
              <w:left w:val="nil"/>
              <w:bottom w:val="nil"/>
              <w:right w:val="nil"/>
            </w:tcBorders>
            <w:vAlign w:val="top"/>
          </w:tcPr>
          <w:p>
            <w:pPr>
              <w:keepNext w:val="0"/>
              <w:keepLines w:val="0"/>
              <w:widowControl w:val="0"/>
              <w:suppressLineNumbers w:val="0"/>
              <w:spacing w:before="0" w:beforeAutospacing="0" w:afterAutospacing="0"/>
              <w:ind w:left="0" w:right="0"/>
              <w:jc w:val="both"/>
              <w:rPr>
                <w:rFonts w:hint="default" w:ascii="Times New Roman" w:hAnsi="Times New Roman" w:cs="Times New Roman"/>
                <w:lang w:val="en-US"/>
              </w:rPr>
            </w:pPr>
            <w:r>
              <w:rPr>
                <w:rFonts w:hint="default" w:ascii="Times New Roman" w:hAnsi="Times New Roman" w:cs="Times New Roman"/>
                <w:lang w:val="en-US" w:eastAsia="zh-CN"/>
              </w:rPr>
              <w:t>0.014*</w:t>
            </w: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6" w:hRule="atLeast"/>
        </w:trPr>
        <w:tc>
          <w:tcPr>
            <w:tcW w:w="2912"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Organ failure</w:t>
            </w:r>
          </w:p>
        </w:tc>
        <w:tc>
          <w:tcPr>
            <w:tcW w:w="2219"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8.86 (3.66-21.44)</w:t>
            </w:r>
          </w:p>
        </w:tc>
        <w:tc>
          <w:tcPr>
            <w:tcW w:w="1278"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&lt;0.001***</w:t>
            </w:r>
          </w:p>
        </w:tc>
        <w:tc>
          <w:tcPr>
            <w:tcW w:w="312"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p>
        </w:tc>
        <w:tc>
          <w:tcPr>
            <w:tcW w:w="2261" w:type="dxa"/>
            <w:tcBorders>
              <w:top w:val="nil"/>
              <w:left w:val="nil"/>
              <w:bottom w:val="nil"/>
              <w:right w:val="nil"/>
            </w:tcBorders>
            <w:shd w:val="clear" w:color="auto" w:fill="FBE5D6" w:themeFill="accent2" w:themeFillTint="32"/>
            <w:vAlign w:val="top"/>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lang w:val="en-US" w:eastAsia="zh-CN"/>
              </w:rPr>
              <w:t>2.62 (0.48-14.27)</w:t>
            </w:r>
          </w:p>
        </w:tc>
        <w:tc>
          <w:tcPr>
            <w:tcW w:w="1197" w:type="dxa"/>
            <w:tcBorders>
              <w:top w:val="nil"/>
              <w:left w:val="nil"/>
              <w:bottom w:val="nil"/>
              <w:right w:val="nil"/>
            </w:tcBorders>
            <w:shd w:val="clear" w:color="auto" w:fill="FBE5D6" w:themeFill="accent2" w:themeFillTint="32"/>
            <w:vAlign w:val="top"/>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lang w:val="en-US" w:eastAsia="zh-CN"/>
              </w:rPr>
              <w:t>0.264</w:t>
            </w: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6" w:hRule="atLeast"/>
        </w:trPr>
        <w:tc>
          <w:tcPr>
            <w:tcW w:w="2912"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220" w:leftChars="100" w:right="0"/>
              <w:jc w:val="left"/>
              <w:rPr>
                <w:rFonts w:hint="default" w:ascii="Times New Roman" w:hAnsi="Times New Roman" w:cs="Times New Roman"/>
              </w:rPr>
            </w:pPr>
            <w:r>
              <w:rPr>
                <w:rFonts w:hint="default" w:ascii="Times New Roman" w:hAnsi="Times New Roman" w:cs="Times New Roman"/>
              </w:rPr>
              <w:t>Heart failure</w:t>
            </w:r>
          </w:p>
        </w:tc>
        <w:tc>
          <w:tcPr>
            <w:tcW w:w="2219"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4.63 (2.21-9.67)</w:t>
            </w:r>
          </w:p>
        </w:tc>
        <w:tc>
          <w:tcPr>
            <w:tcW w:w="1278"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&lt;0.001***</w:t>
            </w:r>
          </w:p>
        </w:tc>
        <w:tc>
          <w:tcPr>
            <w:tcW w:w="312"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p>
        </w:tc>
        <w:tc>
          <w:tcPr>
            <w:tcW w:w="2261" w:type="dxa"/>
            <w:tcBorders>
              <w:top w:val="nil"/>
              <w:left w:val="nil"/>
              <w:bottom w:val="nil"/>
              <w:right w:val="nil"/>
            </w:tcBorders>
            <w:shd w:val="clear" w:color="auto" w:fill="FBE5D6" w:themeFill="accent2" w:themeFillTint="32"/>
            <w:vAlign w:val="top"/>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lang w:val="en-US" w:eastAsia="zh-CN"/>
              </w:rPr>
              <w:t>3.62 (1.18-11.10)</w:t>
            </w:r>
          </w:p>
        </w:tc>
        <w:tc>
          <w:tcPr>
            <w:tcW w:w="1197" w:type="dxa"/>
            <w:tcBorders>
              <w:top w:val="nil"/>
              <w:left w:val="nil"/>
              <w:bottom w:val="nil"/>
              <w:right w:val="nil"/>
            </w:tcBorders>
            <w:shd w:val="clear" w:color="auto" w:fill="FBE5D6" w:themeFill="accent2" w:themeFillTint="32"/>
            <w:vAlign w:val="top"/>
          </w:tcPr>
          <w:p>
            <w:pPr>
              <w:keepNext w:val="0"/>
              <w:keepLines w:val="0"/>
              <w:widowControl w:val="0"/>
              <w:suppressLineNumbers w:val="0"/>
              <w:spacing w:before="0" w:beforeAutospacing="0" w:afterAutospacing="0"/>
              <w:ind w:left="0" w:right="0"/>
              <w:jc w:val="both"/>
              <w:rPr>
                <w:rFonts w:hint="default" w:ascii="Times New Roman" w:hAnsi="Times New Roman" w:cs="Times New Roman"/>
                <w:lang w:val="en-US"/>
              </w:rPr>
            </w:pPr>
            <w:r>
              <w:rPr>
                <w:rFonts w:hint="default" w:ascii="Times New Roman" w:hAnsi="Times New Roman" w:cs="Times New Roman"/>
                <w:lang w:val="en-US" w:eastAsia="zh-CN"/>
              </w:rPr>
              <w:t>0.025*</w:t>
            </w: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6" w:hRule="atLeast"/>
        </w:trPr>
        <w:tc>
          <w:tcPr>
            <w:tcW w:w="2912"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220" w:leftChars="100" w:right="0"/>
              <w:jc w:val="left"/>
              <w:rPr>
                <w:rFonts w:hint="default" w:ascii="Times New Roman" w:hAnsi="Times New Roman" w:cs="Times New Roman"/>
              </w:rPr>
            </w:pPr>
            <w:r>
              <w:rPr>
                <w:rFonts w:hint="default" w:ascii="Times New Roman" w:hAnsi="Times New Roman" w:cs="Times New Roman"/>
              </w:rPr>
              <w:t>Respiratory failure</w:t>
            </w:r>
          </w:p>
        </w:tc>
        <w:tc>
          <w:tcPr>
            <w:tcW w:w="2219"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6.90 (3.31-14.38)</w:t>
            </w:r>
          </w:p>
        </w:tc>
        <w:tc>
          <w:tcPr>
            <w:tcW w:w="1278"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&lt;0.001***</w:t>
            </w:r>
          </w:p>
        </w:tc>
        <w:tc>
          <w:tcPr>
            <w:tcW w:w="312"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p>
        </w:tc>
        <w:tc>
          <w:tcPr>
            <w:tcW w:w="2261" w:type="dxa"/>
            <w:tcBorders>
              <w:top w:val="nil"/>
              <w:left w:val="nil"/>
              <w:bottom w:val="nil"/>
              <w:right w:val="nil"/>
            </w:tcBorders>
            <w:shd w:val="clear" w:color="auto" w:fill="FBE5D6" w:themeFill="accent2" w:themeFillTint="32"/>
            <w:vAlign w:val="top"/>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lang w:val="en-US" w:eastAsia="zh-CN"/>
              </w:rPr>
              <w:t>7.13 (1.94-26.21)</w:t>
            </w:r>
          </w:p>
        </w:tc>
        <w:tc>
          <w:tcPr>
            <w:tcW w:w="1197" w:type="dxa"/>
            <w:tcBorders>
              <w:top w:val="nil"/>
              <w:left w:val="nil"/>
              <w:bottom w:val="nil"/>
              <w:right w:val="nil"/>
            </w:tcBorders>
            <w:shd w:val="clear" w:color="auto" w:fill="FBE5D6" w:themeFill="accent2" w:themeFillTint="32"/>
            <w:vAlign w:val="top"/>
          </w:tcPr>
          <w:p>
            <w:pPr>
              <w:keepNext w:val="0"/>
              <w:keepLines w:val="0"/>
              <w:widowControl w:val="0"/>
              <w:suppressLineNumbers w:val="0"/>
              <w:spacing w:before="0" w:beforeAutospacing="0" w:afterAutospacing="0"/>
              <w:ind w:left="0" w:right="0"/>
              <w:jc w:val="both"/>
              <w:rPr>
                <w:rFonts w:hint="default" w:ascii="Times New Roman" w:hAnsi="Times New Roman" w:cs="Times New Roman"/>
                <w:lang w:val="en-US"/>
              </w:rPr>
            </w:pPr>
            <w:r>
              <w:rPr>
                <w:rFonts w:hint="default" w:ascii="Times New Roman" w:hAnsi="Times New Roman" w:cs="Times New Roman"/>
                <w:lang w:val="en-US" w:eastAsia="zh-CN"/>
              </w:rPr>
              <w:t>0.003**</w:t>
            </w: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6" w:hRule="atLeast"/>
        </w:trPr>
        <w:tc>
          <w:tcPr>
            <w:tcW w:w="2912"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220" w:leftChars="100" w:right="0"/>
              <w:jc w:val="left"/>
              <w:rPr>
                <w:rFonts w:hint="default" w:ascii="Times New Roman" w:hAnsi="Times New Roman" w:cs="Times New Roman"/>
              </w:rPr>
            </w:pPr>
            <w:r>
              <w:rPr>
                <w:rFonts w:hint="default" w:ascii="Times New Roman" w:hAnsi="Times New Roman" w:cs="Times New Roman"/>
              </w:rPr>
              <w:t>Renal failure</w:t>
            </w:r>
          </w:p>
        </w:tc>
        <w:tc>
          <w:tcPr>
            <w:tcW w:w="2219"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4.54 (2.14-9.63)</w:t>
            </w:r>
          </w:p>
        </w:tc>
        <w:tc>
          <w:tcPr>
            <w:tcW w:w="1278"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&lt;0.001***</w:t>
            </w:r>
          </w:p>
        </w:tc>
        <w:tc>
          <w:tcPr>
            <w:tcW w:w="312"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p>
        </w:tc>
        <w:tc>
          <w:tcPr>
            <w:tcW w:w="2261" w:type="dxa"/>
            <w:tcBorders>
              <w:top w:val="nil"/>
              <w:left w:val="nil"/>
              <w:bottom w:val="nil"/>
              <w:right w:val="nil"/>
            </w:tcBorders>
            <w:shd w:val="clear" w:color="auto" w:fill="FBE5D6" w:themeFill="accent2" w:themeFillTint="32"/>
            <w:vAlign w:val="top"/>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lang w:val="en-US" w:eastAsia="zh-CN"/>
              </w:rPr>
              <w:t>2.40 (0.79-7.30)</w:t>
            </w:r>
          </w:p>
        </w:tc>
        <w:tc>
          <w:tcPr>
            <w:tcW w:w="1197" w:type="dxa"/>
            <w:tcBorders>
              <w:top w:val="nil"/>
              <w:left w:val="nil"/>
              <w:bottom w:val="nil"/>
              <w:right w:val="nil"/>
            </w:tcBorders>
            <w:shd w:val="clear" w:color="auto" w:fill="FBE5D6" w:themeFill="accent2" w:themeFillTint="32"/>
            <w:vAlign w:val="top"/>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lang w:val="en-US" w:eastAsia="zh-CN"/>
              </w:rPr>
              <w:t>0.122</w:t>
            </w: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6" w:hRule="atLeast"/>
        </w:trPr>
        <w:tc>
          <w:tcPr>
            <w:tcW w:w="2912"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220" w:leftChars="100" w:right="0"/>
              <w:jc w:val="left"/>
              <w:rPr>
                <w:rFonts w:hint="default" w:ascii="Times New Roman" w:hAnsi="Times New Roman" w:cs="Times New Roman"/>
              </w:rPr>
            </w:pPr>
            <w:r>
              <w:rPr>
                <w:rFonts w:hint="default" w:ascii="Times New Roman" w:hAnsi="Times New Roman" w:cs="Times New Roman"/>
              </w:rPr>
              <w:t>Hepatic failure</w:t>
            </w:r>
          </w:p>
        </w:tc>
        <w:tc>
          <w:tcPr>
            <w:tcW w:w="2219"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0.87 (0.22-3.53)</w:t>
            </w:r>
          </w:p>
        </w:tc>
        <w:tc>
          <w:tcPr>
            <w:tcW w:w="1278"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0.851</w:t>
            </w:r>
          </w:p>
        </w:tc>
        <w:tc>
          <w:tcPr>
            <w:tcW w:w="312"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p>
        </w:tc>
        <w:tc>
          <w:tcPr>
            <w:tcW w:w="2261" w:type="dxa"/>
            <w:tcBorders>
              <w:top w:val="nil"/>
              <w:left w:val="nil"/>
              <w:bottom w:val="nil"/>
              <w:right w:val="nil"/>
            </w:tcBorders>
            <w:shd w:val="clear" w:color="auto" w:fill="FBE5D6" w:themeFill="accent2" w:themeFillTint="32"/>
            <w:vAlign w:val="top"/>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lang w:val="en-US" w:eastAsia="zh-CN"/>
              </w:rPr>
              <w:t>1.01 (0.15-6.64)</w:t>
            </w:r>
          </w:p>
        </w:tc>
        <w:tc>
          <w:tcPr>
            <w:tcW w:w="1197" w:type="dxa"/>
            <w:tcBorders>
              <w:top w:val="nil"/>
              <w:left w:val="nil"/>
              <w:bottom w:val="nil"/>
              <w:right w:val="nil"/>
            </w:tcBorders>
            <w:shd w:val="clear" w:color="auto" w:fill="FBE5D6" w:themeFill="accent2" w:themeFillTint="32"/>
            <w:vAlign w:val="top"/>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lang w:val="en-US" w:eastAsia="zh-CN"/>
              </w:rPr>
              <w:t>0.994</w:t>
            </w: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6" w:hRule="atLeast"/>
        </w:trPr>
        <w:tc>
          <w:tcPr>
            <w:tcW w:w="2912" w:type="dxa"/>
            <w:tcBorders>
              <w:top w:val="nil"/>
              <w:left w:val="nil"/>
              <w:bottom w:val="nil"/>
              <w:right w:val="nil"/>
            </w:tcBorders>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Other deep-seated bacterial infection</w:t>
            </w:r>
          </w:p>
        </w:tc>
        <w:tc>
          <w:tcPr>
            <w:tcW w:w="2219" w:type="dxa"/>
            <w:tcBorders>
              <w:top w:val="nil"/>
              <w:left w:val="nil"/>
              <w:bottom w:val="nil"/>
              <w:right w:val="nil"/>
            </w:tcBorders>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2.13 (1.08-4.22)</w:t>
            </w:r>
          </w:p>
        </w:tc>
        <w:tc>
          <w:tcPr>
            <w:tcW w:w="1278" w:type="dxa"/>
            <w:tcBorders>
              <w:top w:val="nil"/>
              <w:left w:val="nil"/>
              <w:bottom w:val="nil"/>
              <w:right w:val="nil"/>
            </w:tcBorders>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0.009**</w:t>
            </w:r>
          </w:p>
        </w:tc>
        <w:tc>
          <w:tcPr>
            <w:tcW w:w="312" w:type="dxa"/>
            <w:tcBorders>
              <w:top w:val="nil"/>
              <w:left w:val="nil"/>
              <w:bottom w:val="nil"/>
              <w:right w:val="nil"/>
            </w:tcBorders>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p>
        </w:tc>
        <w:tc>
          <w:tcPr>
            <w:tcW w:w="2261" w:type="dxa"/>
            <w:tcBorders>
              <w:top w:val="nil"/>
              <w:left w:val="nil"/>
              <w:bottom w:val="nil"/>
              <w:right w:val="nil"/>
            </w:tcBorders>
            <w:vAlign w:val="top"/>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lang w:val="en-US" w:eastAsia="zh-CN"/>
              </w:rPr>
              <w:t>0.31 (0.09-1.02)</w:t>
            </w:r>
          </w:p>
        </w:tc>
        <w:tc>
          <w:tcPr>
            <w:tcW w:w="1197" w:type="dxa"/>
            <w:tcBorders>
              <w:top w:val="nil"/>
              <w:left w:val="nil"/>
              <w:bottom w:val="nil"/>
              <w:right w:val="nil"/>
            </w:tcBorders>
            <w:vAlign w:val="top"/>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lang w:val="en-US" w:eastAsia="zh-CN"/>
              </w:rPr>
              <w:t>0.054</w:t>
            </w: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6" w:hRule="atLeast"/>
        </w:trPr>
        <w:tc>
          <w:tcPr>
            <w:tcW w:w="2912"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 xml:space="preserve">Pancreatitis </w:t>
            </w:r>
          </w:p>
        </w:tc>
        <w:tc>
          <w:tcPr>
            <w:tcW w:w="2219"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0.68 (0.07-6.70)</w:t>
            </w:r>
          </w:p>
        </w:tc>
        <w:tc>
          <w:tcPr>
            <w:tcW w:w="1278"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0.741</w:t>
            </w:r>
          </w:p>
        </w:tc>
        <w:tc>
          <w:tcPr>
            <w:tcW w:w="312"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p>
        </w:tc>
        <w:tc>
          <w:tcPr>
            <w:tcW w:w="2261" w:type="dxa"/>
            <w:tcBorders>
              <w:top w:val="nil"/>
              <w:left w:val="nil"/>
              <w:bottom w:val="nil"/>
              <w:right w:val="nil"/>
            </w:tcBorders>
            <w:shd w:val="clear" w:color="auto" w:fill="FBE5D6" w:themeFill="accent2" w:themeFillTint="32"/>
            <w:vAlign w:val="top"/>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lang w:val="en-US" w:eastAsia="zh-CN"/>
              </w:rPr>
              <w:t>0.14 (0.01-2.70)</w:t>
            </w:r>
          </w:p>
        </w:tc>
        <w:tc>
          <w:tcPr>
            <w:tcW w:w="1197" w:type="dxa"/>
            <w:tcBorders>
              <w:top w:val="nil"/>
              <w:left w:val="nil"/>
              <w:bottom w:val="nil"/>
              <w:right w:val="nil"/>
            </w:tcBorders>
            <w:shd w:val="clear" w:color="auto" w:fill="FBE5D6" w:themeFill="accent2" w:themeFillTint="32"/>
            <w:vAlign w:val="top"/>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lang w:val="en-US" w:eastAsia="zh-CN"/>
              </w:rPr>
              <w:t>0.191</w:t>
            </w: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6" w:hRule="atLeast"/>
        </w:trPr>
        <w:tc>
          <w:tcPr>
            <w:tcW w:w="2912" w:type="dxa"/>
            <w:tcBorders>
              <w:top w:val="nil"/>
              <w:left w:val="nil"/>
              <w:bottom w:val="nil"/>
              <w:right w:val="nil"/>
            </w:tcBorders>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bookmarkStart w:id="3" w:name="OLE_LINK1"/>
            <w:r>
              <w:rPr>
                <w:rFonts w:hint="default" w:ascii="Times New Roman" w:hAnsi="Times New Roman" w:cs="Times New Roman"/>
              </w:rPr>
              <w:t>Digestive tract perforation</w:t>
            </w:r>
            <w:bookmarkEnd w:id="3"/>
          </w:p>
        </w:tc>
        <w:tc>
          <w:tcPr>
            <w:tcW w:w="2219" w:type="dxa"/>
            <w:tcBorders>
              <w:top w:val="nil"/>
              <w:left w:val="nil"/>
              <w:bottom w:val="nil"/>
              <w:right w:val="nil"/>
            </w:tcBorders>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1.52 (0.46-5.04)</w:t>
            </w:r>
          </w:p>
        </w:tc>
        <w:tc>
          <w:tcPr>
            <w:tcW w:w="1278" w:type="dxa"/>
            <w:tcBorders>
              <w:top w:val="nil"/>
              <w:left w:val="nil"/>
              <w:bottom w:val="nil"/>
              <w:right w:val="nil"/>
            </w:tcBorders>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0.494</w:t>
            </w:r>
          </w:p>
        </w:tc>
        <w:tc>
          <w:tcPr>
            <w:tcW w:w="312" w:type="dxa"/>
            <w:tcBorders>
              <w:top w:val="nil"/>
              <w:left w:val="nil"/>
              <w:bottom w:val="nil"/>
              <w:right w:val="nil"/>
            </w:tcBorders>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p>
        </w:tc>
        <w:tc>
          <w:tcPr>
            <w:tcW w:w="2261" w:type="dxa"/>
            <w:tcBorders>
              <w:top w:val="nil"/>
              <w:left w:val="nil"/>
              <w:bottom w:val="nil"/>
              <w:right w:val="nil"/>
            </w:tcBorders>
            <w:vAlign w:val="top"/>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lang w:val="en-US" w:eastAsia="zh-CN"/>
              </w:rPr>
              <w:t>13.02 (1.46-116.29)</w:t>
            </w:r>
          </w:p>
        </w:tc>
        <w:tc>
          <w:tcPr>
            <w:tcW w:w="1197" w:type="dxa"/>
            <w:tcBorders>
              <w:top w:val="nil"/>
              <w:left w:val="nil"/>
              <w:bottom w:val="nil"/>
              <w:right w:val="nil"/>
            </w:tcBorders>
            <w:vAlign w:val="top"/>
          </w:tcPr>
          <w:p>
            <w:pPr>
              <w:keepNext w:val="0"/>
              <w:keepLines w:val="0"/>
              <w:widowControl w:val="0"/>
              <w:suppressLineNumbers w:val="0"/>
              <w:spacing w:before="0" w:beforeAutospacing="0" w:afterAutospacing="0"/>
              <w:ind w:left="0" w:right="0"/>
              <w:jc w:val="both"/>
              <w:rPr>
                <w:rFonts w:hint="default" w:ascii="Times New Roman" w:hAnsi="Times New Roman" w:cs="Times New Roman"/>
                <w:lang w:val="en-US"/>
              </w:rPr>
            </w:pPr>
            <w:r>
              <w:rPr>
                <w:rFonts w:hint="default" w:ascii="Times New Roman" w:hAnsi="Times New Roman" w:cs="Times New Roman"/>
                <w:lang w:val="en-US" w:eastAsia="zh-CN"/>
              </w:rPr>
              <w:t>0.022*</w:t>
            </w: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6" w:hRule="atLeast"/>
        </w:trPr>
        <w:tc>
          <w:tcPr>
            <w:tcW w:w="2912" w:type="dxa"/>
            <w:tcBorders>
              <w:top w:val="nil"/>
              <w:left w:val="nil"/>
              <w:bottom w:val="nil"/>
              <w:right w:val="nil"/>
            </w:tcBorders>
            <w:shd w:val="clear" w:color="auto" w:fill="FBE5D6" w:themeFill="accent2" w:themeFillTint="32"/>
          </w:tcPr>
          <w:p>
            <w:pPr>
              <w:keepNext w:val="0"/>
              <w:keepLines w:val="0"/>
              <w:widowControl/>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rPr>
              <w:t>Iatrogenic factors</w:t>
            </w:r>
          </w:p>
        </w:tc>
        <w:tc>
          <w:tcPr>
            <w:tcW w:w="2219"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p>
        </w:tc>
        <w:tc>
          <w:tcPr>
            <w:tcW w:w="1278"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p>
        </w:tc>
        <w:tc>
          <w:tcPr>
            <w:tcW w:w="312"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p>
        </w:tc>
        <w:tc>
          <w:tcPr>
            <w:tcW w:w="2261" w:type="dxa"/>
            <w:tcBorders>
              <w:top w:val="nil"/>
              <w:left w:val="nil"/>
              <w:bottom w:val="nil"/>
              <w:right w:val="nil"/>
            </w:tcBorders>
            <w:shd w:val="clear" w:color="auto" w:fill="FBE5D6" w:themeFill="accent2" w:themeFillTint="32"/>
            <w:vAlign w:val="top"/>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p>
        </w:tc>
        <w:tc>
          <w:tcPr>
            <w:tcW w:w="1197" w:type="dxa"/>
            <w:tcBorders>
              <w:top w:val="nil"/>
              <w:left w:val="nil"/>
              <w:bottom w:val="nil"/>
              <w:right w:val="nil"/>
            </w:tcBorders>
            <w:shd w:val="clear" w:color="auto" w:fill="FBE5D6" w:themeFill="accent2" w:themeFillTint="32"/>
            <w:vAlign w:val="top"/>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6" w:hRule="atLeast"/>
        </w:trPr>
        <w:tc>
          <w:tcPr>
            <w:tcW w:w="2912"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220" w:leftChars="100" w:right="0"/>
              <w:jc w:val="both"/>
              <w:rPr>
                <w:rFonts w:hint="default" w:ascii="Times New Roman" w:hAnsi="Times New Roman" w:cs="Times New Roman"/>
              </w:rPr>
            </w:pPr>
            <w:r>
              <w:rPr>
                <w:rFonts w:hint="default" w:ascii="Times New Roman" w:hAnsi="Times New Roman" w:cs="Times New Roman"/>
              </w:rPr>
              <w:t>Long-term hospitalization (≥90 days)</w:t>
            </w:r>
          </w:p>
        </w:tc>
        <w:tc>
          <w:tcPr>
            <w:tcW w:w="2219"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1.66 (0.79-3.57)</w:t>
            </w:r>
          </w:p>
        </w:tc>
        <w:tc>
          <w:tcPr>
            <w:tcW w:w="1278"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0.195</w:t>
            </w:r>
          </w:p>
        </w:tc>
        <w:tc>
          <w:tcPr>
            <w:tcW w:w="312"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p>
        </w:tc>
        <w:tc>
          <w:tcPr>
            <w:tcW w:w="2261" w:type="dxa"/>
            <w:tcBorders>
              <w:top w:val="nil"/>
              <w:left w:val="nil"/>
              <w:bottom w:val="nil"/>
              <w:right w:val="nil"/>
            </w:tcBorders>
            <w:shd w:val="clear" w:color="auto" w:fill="FBE5D6" w:themeFill="accent2" w:themeFillTint="32"/>
            <w:vAlign w:val="top"/>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lang w:val="en-US" w:eastAsia="zh-CN"/>
              </w:rPr>
              <w:t>0.12 (0.03-0.58)</w:t>
            </w:r>
          </w:p>
        </w:tc>
        <w:tc>
          <w:tcPr>
            <w:tcW w:w="1197" w:type="dxa"/>
            <w:tcBorders>
              <w:top w:val="nil"/>
              <w:left w:val="nil"/>
              <w:bottom w:val="nil"/>
              <w:right w:val="nil"/>
            </w:tcBorders>
            <w:shd w:val="clear" w:color="auto" w:fill="FBE5D6" w:themeFill="accent2" w:themeFillTint="32"/>
            <w:vAlign w:val="top"/>
          </w:tcPr>
          <w:p>
            <w:pPr>
              <w:keepNext w:val="0"/>
              <w:keepLines w:val="0"/>
              <w:widowControl w:val="0"/>
              <w:suppressLineNumbers w:val="0"/>
              <w:spacing w:before="0" w:beforeAutospacing="0" w:afterAutospacing="0"/>
              <w:ind w:left="0" w:right="0"/>
              <w:jc w:val="both"/>
              <w:rPr>
                <w:rFonts w:hint="default" w:ascii="Times New Roman" w:hAnsi="Times New Roman" w:cs="Times New Roman"/>
                <w:lang w:val="en-US"/>
              </w:rPr>
            </w:pPr>
            <w:r>
              <w:rPr>
                <w:rFonts w:hint="default" w:ascii="Times New Roman" w:hAnsi="Times New Roman" w:cs="Times New Roman"/>
                <w:lang w:val="en-US" w:eastAsia="zh-CN"/>
              </w:rPr>
              <w:t>0.008**</w:t>
            </w: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6" w:hRule="atLeast"/>
        </w:trPr>
        <w:tc>
          <w:tcPr>
            <w:tcW w:w="2912"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220" w:leftChars="100" w:right="0"/>
              <w:jc w:val="left"/>
              <w:rPr>
                <w:rFonts w:hint="default" w:ascii="Times New Roman" w:hAnsi="Times New Roman" w:cs="Times New Roman"/>
              </w:rPr>
            </w:pPr>
            <w:r>
              <w:rPr>
                <w:rFonts w:hint="default" w:ascii="Times New Roman" w:hAnsi="Times New Roman" w:cs="Times New Roman"/>
              </w:rPr>
              <w:t>ICU</w:t>
            </w:r>
          </w:p>
        </w:tc>
        <w:tc>
          <w:tcPr>
            <w:tcW w:w="2219"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2.02 (1.04-3.97)</w:t>
            </w:r>
          </w:p>
        </w:tc>
        <w:tc>
          <w:tcPr>
            <w:tcW w:w="1278"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0.039*</w:t>
            </w:r>
          </w:p>
        </w:tc>
        <w:tc>
          <w:tcPr>
            <w:tcW w:w="312"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p>
        </w:tc>
        <w:tc>
          <w:tcPr>
            <w:tcW w:w="2261" w:type="dxa"/>
            <w:tcBorders>
              <w:top w:val="nil"/>
              <w:left w:val="nil"/>
              <w:bottom w:val="nil"/>
              <w:right w:val="nil"/>
            </w:tcBorders>
            <w:shd w:val="clear" w:color="auto" w:fill="FBE5D6" w:themeFill="accent2" w:themeFillTint="32"/>
            <w:vAlign w:val="top"/>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lang w:val="en-US" w:eastAsia="zh-CN"/>
              </w:rPr>
              <w:t>1.28 (0.44-3.72)</w:t>
            </w:r>
          </w:p>
        </w:tc>
        <w:tc>
          <w:tcPr>
            <w:tcW w:w="1197" w:type="dxa"/>
            <w:tcBorders>
              <w:top w:val="nil"/>
              <w:left w:val="nil"/>
              <w:bottom w:val="nil"/>
              <w:right w:val="nil"/>
            </w:tcBorders>
            <w:shd w:val="clear" w:color="auto" w:fill="FBE5D6" w:themeFill="accent2" w:themeFillTint="32"/>
            <w:vAlign w:val="top"/>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lang w:val="en-US" w:eastAsia="zh-CN"/>
              </w:rPr>
              <w:t>0.656</w:t>
            </w: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6" w:hRule="atLeast"/>
        </w:trPr>
        <w:tc>
          <w:tcPr>
            <w:tcW w:w="2912"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220" w:leftChars="100" w:right="0"/>
              <w:jc w:val="left"/>
              <w:rPr>
                <w:rFonts w:hint="default" w:ascii="Times New Roman" w:hAnsi="Times New Roman" w:cs="Times New Roman"/>
              </w:rPr>
            </w:pPr>
            <w:r>
              <w:rPr>
                <w:rFonts w:hint="default" w:ascii="Times New Roman" w:hAnsi="Times New Roman" w:cs="Times New Roman"/>
              </w:rPr>
              <w:t xml:space="preserve">Hematodialysis </w:t>
            </w:r>
          </w:p>
        </w:tc>
        <w:tc>
          <w:tcPr>
            <w:tcW w:w="2219"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1.37 (0.77-2.42)</w:t>
            </w:r>
          </w:p>
        </w:tc>
        <w:tc>
          <w:tcPr>
            <w:tcW w:w="1278"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0.287</w:t>
            </w:r>
          </w:p>
        </w:tc>
        <w:tc>
          <w:tcPr>
            <w:tcW w:w="312"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p>
        </w:tc>
        <w:tc>
          <w:tcPr>
            <w:tcW w:w="2261" w:type="dxa"/>
            <w:tcBorders>
              <w:top w:val="nil"/>
              <w:left w:val="nil"/>
              <w:bottom w:val="nil"/>
              <w:right w:val="nil"/>
            </w:tcBorders>
            <w:shd w:val="clear" w:color="auto" w:fill="FBE5D6" w:themeFill="accent2" w:themeFillTint="32"/>
            <w:vAlign w:val="top"/>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lang w:val="en-US" w:eastAsia="zh-CN"/>
              </w:rPr>
              <w:t>0.48 (0.17-1.18)</w:t>
            </w:r>
          </w:p>
        </w:tc>
        <w:tc>
          <w:tcPr>
            <w:tcW w:w="1197" w:type="dxa"/>
            <w:tcBorders>
              <w:top w:val="nil"/>
              <w:left w:val="nil"/>
              <w:bottom w:val="nil"/>
              <w:right w:val="nil"/>
            </w:tcBorders>
            <w:shd w:val="clear" w:color="auto" w:fill="FBE5D6" w:themeFill="accent2" w:themeFillTint="32"/>
            <w:vAlign w:val="top"/>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lang w:val="en-US" w:eastAsia="zh-CN"/>
              </w:rPr>
              <w:t>0.104</w:t>
            </w: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6" w:hRule="atLeast"/>
        </w:trPr>
        <w:tc>
          <w:tcPr>
            <w:tcW w:w="2912"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220" w:leftChars="100" w:right="0"/>
              <w:jc w:val="left"/>
              <w:rPr>
                <w:rFonts w:hint="default" w:ascii="Times New Roman" w:hAnsi="Times New Roman" w:cs="Times New Roman"/>
              </w:rPr>
            </w:pPr>
            <w:r>
              <w:rPr>
                <w:rFonts w:hint="default" w:ascii="Times New Roman" w:hAnsi="Times New Roman" w:cs="Times New Roman"/>
              </w:rPr>
              <w:t>Long-term use of broad-spectrum antibiotics</w:t>
            </w:r>
          </w:p>
        </w:tc>
        <w:tc>
          <w:tcPr>
            <w:tcW w:w="2219"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3.43 (1.71-6.85)</w:t>
            </w:r>
          </w:p>
        </w:tc>
        <w:tc>
          <w:tcPr>
            <w:tcW w:w="1278"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&lt;0.001***</w:t>
            </w:r>
          </w:p>
        </w:tc>
        <w:tc>
          <w:tcPr>
            <w:tcW w:w="312"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p>
        </w:tc>
        <w:tc>
          <w:tcPr>
            <w:tcW w:w="2261" w:type="dxa"/>
            <w:tcBorders>
              <w:top w:val="nil"/>
              <w:left w:val="nil"/>
              <w:bottom w:val="nil"/>
              <w:right w:val="nil"/>
            </w:tcBorders>
            <w:shd w:val="clear" w:color="auto" w:fill="FBE5D6" w:themeFill="accent2" w:themeFillTint="32"/>
            <w:vAlign w:val="top"/>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lang w:val="en-US" w:eastAsia="zh-CN"/>
              </w:rPr>
              <w:t>5.30 (1.55-18.08)</w:t>
            </w:r>
          </w:p>
        </w:tc>
        <w:tc>
          <w:tcPr>
            <w:tcW w:w="1197" w:type="dxa"/>
            <w:tcBorders>
              <w:top w:val="nil"/>
              <w:left w:val="nil"/>
              <w:bottom w:val="nil"/>
              <w:right w:val="nil"/>
            </w:tcBorders>
            <w:shd w:val="clear" w:color="auto" w:fill="FBE5D6" w:themeFill="accent2" w:themeFillTint="32"/>
            <w:vAlign w:val="top"/>
          </w:tcPr>
          <w:p>
            <w:pPr>
              <w:keepNext w:val="0"/>
              <w:keepLines w:val="0"/>
              <w:widowControl w:val="0"/>
              <w:suppressLineNumbers w:val="0"/>
              <w:spacing w:before="0" w:beforeAutospacing="0" w:afterAutospacing="0"/>
              <w:ind w:left="0" w:right="0"/>
              <w:jc w:val="both"/>
              <w:rPr>
                <w:rFonts w:hint="default" w:ascii="Times New Roman" w:hAnsi="Times New Roman" w:cs="Times New Roman"/>
                <w:lang w:val="en-US"/>
              </w:rPr>
            </w:pPr>
            <w:r>
              <w:rPr>
                <w:rFonts w:hint="default" w:ascii="Times New Roman" w:hAnsi="Times New Roman" w:cs="Times New Roman"/>
                <w:lang w:val="en-US" w:eastAsia="zh-CN"/>
              </w:rPr>
              <w:t>0.008**</w:t>
            </w: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6" w:hRule="atLeast"/>
        </w:trPr>
        <w:tc>
          <w:tcPr>
            <w:tcW w:w="2912"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220" w:leftChars="100" w:right="0"/>
              <w:jc w:val="left"/>
              <w:rPr>
                <w:rFonts w:hint="default" w:ascii="Times New Roman" w:hAnsi="Times New Roman" w:cs="Times New Roman"/>
              </w:rPr>
            </w:pPr>
            <w:r>
              <w:rPr>
                <w:rFonts w:hint="default" w:ascii="Times New Roman" w:hAnsi="Times New Roman" w:cs="Times New Roman"/>
              </w:rPr>
              <w:t>FCZ exposure</w:t>
            </w:r>
          </w:p>
        </w:tc>
        <w:tc>
          <w:tcPr>
            <w:tcW w:w="2219"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2.49 (1.10-5.60)</w:t>
            </w:r>
          </w:p>
        </w:tc>
        <w:tc>
          <w:tcPr>
            <w:tcW w:w="1278"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0.028*</w:t>
            </w:r>
          </w:p>
        </w:tc>
        <w:tc>
          <w:tcPr>
            <w:tcW w:w="312"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p>
        </w:tc>
        <w:tc>
          <w:tcPr>
            <w:tcW w:w="2261" w:type="dxa"/>
            <w:tcBorders>
              <w:top w:val="nil"/>
              <w:left w:val="nil"/>
              <w:bottom w:val="nil"/>
              <w:right w:val="nil"/>
            </w:tcBorders>
            <w:shd w:val="clear" w:color="auto" w:fill="FBE5D6" w:themeFill="accent2" w:themeFillTint="32"/>
            <w:vAlign w:val="top"/>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lang w:val="en-US" w:eastAsia="zh-CN"/>
              </w:rPr>
              <w:t>0.99 (0.23-4.17)</w:t>
            </w:r>
          </w:p>
        </w:tc>
        <w:tc>
          <w:tcPr>
            <w:tcW w:w="1197" w:type="dxa"/>
            <w:tcBorders>
              <w:top w:val="nil"/>
              <w:left w:val="nil"/>
              <w:bottom w:val="nil"/>
              <w:right w:val="nil"/>
            </w:tcBorders>
            <w:shd w:val="clear" w:color="auto" w:fill="FBE5D6" w:themeFill="accent2" w:themeFillTint="32"/>
            <w:vAlign w:val="top"/>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lang w:val="en-US" w:eastAsia="zh-CN"/>
              </w:rPr>
              <w:t>0.989</w:t>
            </w: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6" w:hRule="atLeast"/>
        </w:trPr>
        <w:tc>
          <w:tcPr>
            <w:tcW w:w="2912"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220" w:leftChars="100" w:right="0"/>
              <w:jc w:val="left"/>
              <w:rPr>
                <w:rFonts w:hint="default" w:ascii="Times New Roman" w:hAnsi="Times New Roman" w:cs="Times New Roman"/>
              </w:rPr>
            </w:pPr>
            <w:r>
              <w:rPr>
                <w:rFonts w:hint="default" w:ascii="Times New Roman" w:hAnsi="Times New Roman" w:cs="Times New Roman"/>
              </w:rPr>
              <w:t>Corticosteroids/ immunosuppressant</w:t>
            </w:r>
          </w:p>
        </w:tc>
        <w:tc>
          <w:tcPr>
            <w:tcW w:w="2219"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0.91 (0.27-3.10)</w:t>
            </w:r>
          </w:p>
        </w:tc>
        <w:tc>
          <w:tcPr>
            <w:tcW w:w="1278"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0.877</w:t>
            </w:r>
          </w:p>
        </w:tc>
        <w:tc>
          <w:tcPr>
            <w:tcW w:w="312"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p>
        </w:tc>
        <w:tc>
          <w:tcPr>
            <w:tcW w:w="2261" w:type="dxa"/>
            <w:tcBorders>
              <w:top w:val="nil"/>
              <w:left w:val="nil"/>
              <w:bottom w:val="nil"/>
              <w:right w:val="nil"/>
            </w:tcBorders>
            <w:shd w:val="clear" w:color="auto" w:fill="FBE5D6" w:themeFill="accent2" w:themeFillTint="32"/>
            <w:vAlign w:val="top"/>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lang w:val="en-US" w:eastAsia="zh-CN"/>
              </w:rPr>
              <w:t>1.76 (0.29-10.83)</w:t>
            </w:r>
          </w:p>
        </w:tc>
        <w:tc>
          <w:tcPr>
            <w:tcW w:w="1197" w:type="dxa"/>
            <w:tcBorders>
              <w:top w:val="nil"/>
              <w:left w:val="nil"/>
              <w:bottom w:val="nil"/>
              <w:right w:val="nil"/>
            </w:tcBorders>
            <w:shd w:val="clear" w:color="auto" w:fill="FBE5D6" w:themeFill="accent2" w:themeFillTint="32"/>
            <w:vAlign w:val="top"/>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lang w:val="en-US" w:eastAsia="zh-CN"/>
              </w:rPr>
              <w:t>0.543</w:t>
            </w: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6" w:hRule="atLeast"/>
        </w:trPr>
        <w:tc>
          <w:tcPr>
            <w:tcW w:w="2912"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220" w:leftChars="100" w:right="0"/>
              <w:jc w:val="left"/>
              <w:rPr>
                <w:rFonts w:hint="default" w:ascii="Times New Roman" w:hAnsi="Times New Roman" w:cs="Times New Roman"/>
              </w:rPr>
            </w:pPr>
            <w:r>
              <w:rPr>
                <w:rFonts w:hint="default" w:ascii="Times New Roman" w:hAnsi="Times New Roman" w:cs="Times New Roman"/>
              </w:rPr>
              <w:t>Central venous catheter</w:t>
            </w:r>
          </w:p>
        </w:tc>
        <w:tc>
          <w:tcPr>
            <w:tcW w:w="2219"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0.88 (0.44-1.76)</w:t>
            </w:r>
          </w:p>
        </w:tc>
        <w:tc>
          <w:tcPr>
            <w:tcW w:w="1278"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0.719</w:t>
            </w:r>
          </w:p>
        </w:tc>
        <w:tc>
          <w:tcPr>
            <w:tcW w:w="312"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p>
        </w:tc>
        <w:tc>
          <w:tcPr>
            <w:tcW w:w="2261" w:type="dxa"/>
            <w:tcBorders>
              <w:top w:val="nil"/>
              <w:left w:val="nil"/>
              <w:bottom w:val="nil"/>
              <w:right w:val="nil"/>
            </w:tcBorders>
            <w:shd w:val="clear" w:color="auto" w:fill="FBE5D6" w:themeFill="accent2" w:themeFillTint="32"/>
            <w:vAlign w:val="top"/>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lang w:val="en-US" w:eastAsia="zh-CN"/>
              </w:rPr>
              <w:t>0.12 (0.03-0.55)</w:t>
            </w:r>
          </w:p>
        </w:tc>
        <w:tc>
          <w:tcPr>
            <w:tcW w:w="1197" w:type="dxa"/>
            <w:tcBorders>
              <w:top w:val="nil"/>
              <w:left w:val="nil"/>
              <w:bottom w:val="nil"/>
              <w:right w:val="nil"/>
            </w:tcBorders>
            <w:shd w:val="clear" w:color="auto" w:fill="FBE5D6" w:themeFill="accent2" w:themeFillTint="32"/>
            <w:vAlign w:val="top"/>
          </w:tcPr>
          <w:p>
            <w:pPr>
              <w:keepNext w:val="0"/>
              <w:keepLines w:val="0"/>
              <w:widowControl w:val="0"/>
              <w:suppressLineNumbers w:val="0"/>
              <w:spacing w:before="0" w:beforeAutospacing="0" w:afterAutospacing="0"/>
              <w:ind w:left="0" w:right="0"/>
              <w:jc w:val="both"/>
              <w:rPr>
                <w:rFonts w:hint="default" w:ascii="Times New Roman" w:hAnsi="Times New Roman" w:cs="Times New Roman"/>
                <w:lang w:val="en-US"/>
              </w:rPr>
            </w:pPr>
            <w:r>
              <w:rPr>
                <w:rFonts w:hint="default" w:ascii="Times New Roman" w:hAnsi="Times New Roman" w:cs="Times New Roman"/>
                <w:lang w:val="en-US" w:eastAsia="zh-CN"/>
              </w:rPr>
              <w:t>0.006**</w:t>
            </w: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6" w:hRule="atLeast"/>
        </w:trPr>
        <w:tc>
          <w:tcPr>
            <w:tcW w:w="2912"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220" w:leftChars="100" w:right="0"/>
              <w:jc w:val="left"/>
              <w:rPr>
                <w:rFonts w:hint="default" w:ascii="Times New Roman" w:hAnsi="Times New Roman" w:cs="Times New Roman"/>
              </w:rPr>
            </w:pPr>
            <w:r>
              <w:rPr>
                <w:rFonts w:hint="default" w:ascii="Times New Roman" w:hAnsi="Times New Roman" w:cs="Times New Roman"/>
              </w:rPr>
              <w:t>Mechanical ventilation</w:t>
            </w:r>
          </w:p>
        </w:tc>
        <w:tc>
          <w:tcPr>
            <w:tcW w:w="2219"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3.05 (1.52-6.10)</w:t>
            </w:r>
          </w:p>
        </w:tc>
        <w:tc>
          <w:tcPr>
            <w:tcW w:w="1278"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0.002**</w:t>
            </w:r>
          </w:p>
        </w:tc>
        <w:tc>
          <w:tcPr>
            <w:tcW w:w="312"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p>
        </w:tc>
        <w:tc>
          <w:tcPr>
            <w:tcW w:w="2261" w:type="dxa"/>
            <w:tcBorders>
              <w:top w:val="nil"/>
              <w:left w:val="nil"/>
              <w:bottom w:val="nil"/>
              <w:right w:val="nil"/>
            </w:tcBorders>
            <w:shd w:val="clear" w:color="auto" w:fill="FBE5D6" w:themeFill="accent2" w:themeFillTint="32"/>
            <w:vAlign w:val="top"/>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lang w:val="en-US" w:eastAsia="zh-CN"/>
              </w:rPr>
              <w:t>0.71 (0.19-2.59)</w:t>
            </w:r>
          </w:p>
        </w:tc>
        <w:tc>
          <w:tcPr>
            <w:tcW w:w="1197" w:type="dxa"/>
            <w:tcBorders>
              <w:top w:val="nil"/>
              <w:left w:val="nil"/>
              <w:bottom w:val="nil"/>
              <w:right w:val="nil"/>
            </w:tcBorders>
            <w:shd w:val="clear" w:color="auto" w:fill="FBE5D6" w:themeFill="accent2" w:themeFillTint="32"/>
            <w:vAlign w:val="top"/>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lang w:val="en-US" w:eastAsia="zh-CN"/>
              </w:rPr>
              <w:t>0.602</w:t>
            </w: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6" w:hRule="atLeast"/>
        </w:trPr>
        <w:tc>
          <w:tcPr>
            <w:tcW w:w="2912" w:type="dxa"/>
            <w:tcBorders>
              <w:top w:val="nil"/>
              <w:left w:val="nil"/>
              <w:bottom w:val="nil"/>
              <w:right w:val="nil"/>
            </w:tcBorders>
          </w:tcPr>
          <w:p>
            <w:pPr>
              <w:keepNext w:val="0"/>
              <w:keepLines w:val="0"/>
              <w:widowControl w:val="0"/>
              <w:suppressLineNumbers w:val="0"/>
              <w:spacing w:before="0" w:beforeAutospacing="0" w:afterAutospacing="0"/>
              <w:ind w:left="0" w:right="0"/>
              <w:jc w:val="left"/>
              <w:rPr>
                <w:rFonts w:hint="default" w:ascii="Times New Roman" w:hAnsi="Times New Roman" w:cs="Times New Roman"/>
              </w:rPr>
            </w:pPr>
            <w:r>
              <w:rPr>
                <w:rFonts w:hint="default" w:ascii="Times New Roman" w:hAnsi="Times New Roman" w:cs="Times New Roman"/>
                <w:i/>
                <w:iCs/>
              </w:rPr>
              <w:t xml:space="preserve">Candida </w:t>
            </w:r>
            <w:r>
              <w:rPr>
                <w:rFonts w:hint="default" w:ascii="Times New Roman" w:hAnsi="Times New Roman" w:cs="Times New Roman"/>
              </w:rPr>
              <w:t>Score</w:t>
            </w:r>
          </w:p>
        </w:tc>
        <w:tc>
          <w:tcPr>
            <w:tcW w:w="2219" w:type="dxa"/>
            <w:tcBorders>
              <w:top w:val="nil"/>
              <w:left w:val="nil"/>
              <w:bottom w:val="nil"/>
              <w:right w:val="nil"/>
            </w:tcBorders>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1.44 (1.08-1.92)</w:t>
            </w:r>
          </w:p>
        </w:tc>
        <w:tc>
          <w:tcPr>
            <w:tcW w:w="1278" w:type="dxa"/>
            <w:tcBorders>
              <w:top w:val="nil"/>
              <w:left w:val="nil"/>
              <w:bottom w:val="nil"/>
              <w:right w:val="nil"/>
            </w:tcBorders>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0.013*</w:t>
            </w:r>
          </w:p>
        </w:tc>
        <w:tc>
          <w:tcPr>
            <w:tcW w:w="312" w:type="dxa"/>
            <w:tcBorders>
              <w:top w:val="nil"/>
              <w:left w:val="nil"/>
              <w:bottom w:val="nil"/>
              <w:right w:val="nil"/>
            </w:tcBorders>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p>
        </w:tc>
        <w:tc>
          <w:tcPr>
            <w:tcW w:w="2261" w:type="dxa"/>
            <w:tcBorders>
              <w:top w:val="nil"/>
              <w:left w:val="nil"/>
              <w:bottom w:val="nil"/>
              <w:right w:val="nil"/>
            </w:tcBorders>
            <w:vAlign w:val="top"/>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lang w:val="en-US" w:eastAsia="zh-CN"/>
              </w:rPr>
              <w:t>1.43 (0.95-2.13)</w:t>
            </w:r>
          </w:p>
        </w:tc>
        <w:tc>
          <w:tcPr>
            <w:tcW w:w="1197" w:type="dxa"/>
            <w:tcBorders>
              <w:top w:val="nil"/>
              <w:left w:val="nil"/>
              <w:bottom w:val="nil"/>
              <w:right w:val="nil"/>
            </w:tcBorders>
            <w:vAlign w:val="top"/>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lang w:val="en-US" w:eastAsia="zh-CN"/>
              </w:rPr>
              <w:t>0.084</w:t>
            </w: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6" w:hRule="atLeast"/>
        </w:trPr>
        <w:tc>
          <w:tcPr>
            <w:tcW w:w="2912" w:type="dxa"/>
            <w:tcBorders>
              <w:top w:val="nil"/>
              <w:left w:val="nil"/>
              <w:bottom w:val="nil"/>
              <w:right w:val="nil"/>
            </w:tcBorders>
          </w:tcPr>
          <w:p>
            <w:pPr>
              <w:keepNext w:val="0"/>
              <w:keepLines w:val="0"/>
              <w:widowControl w:val="0"/>
              <w:suppressLineNumbers w:val="0"/>
              <w:spacing w:before="0" w:beforeAutospacing="0" w:afterAutospacing="0"/>
              <w:ind w:left="220" w:leftChars="100" w:right="0"/>
              <w:jc w:val="left"/>
              <w:rPr>
                <w:rFonts w:hint="default" w:ascii="Times New Roman" w:hAnsi="Times New Roman" w:cs="Times New Roman"/>
              </w:rPr>
            </w:pPr>
            <w:r>
              <w:rPr>
                <w:rFonts w:hint="default" w:ascii="Times New Roman" w:hAnsi="Times New Roman" w:cs="Times New Roman"/>
              </w:rPr>
              <w:t>Sepsis</w:t>
            </w:r>
          </w:p>
        </w:tc>
        <w:tc>
          <w:tcPr>
            <w:tcW w:w="2219" w:type="dxa"/>
            <w:tcBorders>
              <w:top w:val="nil"/>
              <w:left w:val="nil"/>
              <w:bottom w:val="nil"/>
              <w:right w:val="nil"/>
            </w:tcBorders>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2.67 (1.26-5.65)</w:t>
            </w:r>
          </w:p>
        </w:tc>
        <w:tc>
          <w:tcPr>
            <w:tcW w:w="1278" w:type="dxa"/>
            <w:tcBorders>
              <w:top w:val="nil"/>
              <w:left w:val="nil"/>
              <w:bottom w:val="nil"/>
              <w:right w:val="nil"/>
            </w:tcBorders>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0.011*</w:t>
            </w:r>
          </w:p>
        </w:tc>
        <w:tc>
          <w:tcPr>
            <w:tcW w:w="312" w:type="dxa"/>
            <w:tcBorders>
              <w:top w:val="nil"/>
              <w:left w:val="nil"/>
              <w:bottom w:val="nil"/>
              <w:right w:val="nil"/>
            </w:tcBorders>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p>
        </w:tc>
        <w:tc>
          <w:tcPr>
            <w:tcW w:w="2261" w:type="dxa"/>
            <w:tcBorders>
              <w:top w:val="nil"/>
              <w:left w:val="nil"/>
              <w:bottom w:val="nil"/>
              <w:right w:val="nil"/>
            </w:tcBorders>
            <w:vAlign w:val="top"/>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lang w:val="en-US" w:eastAsia="zh-CN"/>
              </w:rPr>
              <w:t>1.25 (0.39-4.00)</w:t>
            </w:r>
          </w:p>
        </w:tc>
        <w:tc>
          <w:tcPr>
            <w:tcW w:w="1197" w:type="dxa"/>
            <w:tcBorders>
              <w:top w:val="nil"/>
              <w:left w:val="nil"/>
              <w:bottom w:val="nil"/>
              <w:right w:val="nil"/>
            </w:tcBorders>
            <w:vAlign w:val="top"/>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lang w:val="en-US" w:eastAsia="zh-CN"/>
              </w:rPr>
              <w:t>0.709</w:t>
            </w: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6" w:hRule="atLeast"/>
        </w:trPr>
        <w:tc>
          <w:tcPr>
            <w:tcW w:w="2912" w:type="dxa"/>
            <w:tcBorders>
              <w:top w:val="nil"/>
              <w:left w:val="nil"/>
              <w:bottom w:val="nil"/>
              <w:right w:val="nil"/>
            </w:tcBorders>
          </w:tcPr>
          <w:p>
            <w:pPr>
              <w:keepNext w:val="0"/>
              <w:keepLines w:val="0"/>
              <w:widowControl w:val="0"/>
              <w:suppressLineNumbers w:val="0"/>
              <w:spacing w:before="0" w:beforeAutospacing="0" w:afterAutospacing="0"/>
              <w:ind w:left="220" w:leftChars="100" w:right="0"/>
              <w:jc w:val="left"/>
              <w:rPr>
                <w:rFonts w:hint="default" w:ascii="Times New Roman" w:hAnsi="Times New Roman" w:cs="Times New Roman"/>
              </w:rPr>
            </w:pPr>
            <w:r>
              <w:rPr>
                <w:rFonts w:hint="default" w:ascii="Times New Roman" w:hAnsi="Times New Roman" w:cs="Times New Roman"/>
              </w:rPr>
              <w:t>Surgery</w:t>
            </w:r>
          </w:p>
        </w:tc>
        <w:tc>
          <w:tcPr>
            <w:tcW w:w="2219" w:type="dxa"/>
            <w:tcBorders>
              <w:top w:val="nil"/>
              <w:left w:val="nil"/>
              <w:bottom w:val="nil"/>
              <w:right w:val="nil"/>
            </w:tcBorders>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0.58 (0.29-1.15)</w:t>
            </w:r>
          </w:p>
        </w:tc>
        <w:tc>
          <w:tcPr>
            <w:tcW w:w="1278" w:type="dxa"/>
            <w:tcBorders>
              <w:top w:val="nil"/>
              <w:left w:val="nil"/>
              <w:bottom w:val="nil"/>
              <w:right w:val="nil"/>
            </w:tcBorders>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0.121</w:t>
            </w:r>
          </w:p>
        </w:tc>
        <w:tc>
          <w:tcPr>
            <w:tcW w:w="312" w:type="dxa"/>
            <w:tcBorders>
              <w:top w:val="nil"/>
              <w:left w:val="nil"/>
              <w:bottom w:val="nil"/>
              <w:right w:val="nil"/>
            </w:tcBorders>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p>
        </w:tc>
        <w:tc>
          <w:tcPr>
            <w:tcW w:w="2261" w:type="dxa"/>
            <w:tcBorders>
              <w:top w:val="nil"/>
              <w:left w:val="nil"/>
              <w:bottom w:val="nil"/>
              <w:right w:val="nil"/>
            </w:tcBorders>
            <w:vAlign w:val="top"/>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lang w:val="en-US" w:eastAsia="zh-CN"/>
              </w:rPr>
              <w:t>1.16 (0.35-3.87)</w:t>
            </w:r>
          </w:p>
        </w:tc>
        <w:tc>
          <w:tcPr>
            <w:tcW w:w="1197" w:type="dxa"/>
            <w:tcBorders>
              <w:top w:val="nil"/>
              <w:left w:val="nil"/>
              <w:bottom w:val="nil"/>
              <w:right w:val="nil"/>
            </w:tcBorders>
            <w:vAlign w:val="top"/>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lang w:val="en-US" w:eastAsia="zh-CN"/>
              </w:rPr>
              <w:t>0.811</w:t>
            </w: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6" w:hRule="atLeast"/>
        </w:trPr>
        <w:tc>
          <w:tcPr>
            <w:tcW w:w="2912" w:type="dxa"/>
            <w:tcBorders>
              <w:top w:val="nil"/>
              <w:left w:val="nil"/>
              <w:bottom w:val="nil"/>
              <w:right w:val="nil"/>
            </w:tcBorders>
          </w:tcPr>
          <w:p>
            <w:pPr>
              <w:keepNext w:val="0"/>
              <w:keepLines w:val="0"/>
              <w:widowControl w:val="0"/>
              <w:suppressLineNumbers w:val="0"/>
              <w:spacing w:before="0" w:beforeAutospacing="0" w:afterAutospacing="0"/>
              <w:ind w:left="440" w:leftChars="200" w:right="0"/>
              <w:jc w:val="left"/>
              <w:rPr>
                <w:rFonts w:hint="default" w:ascii="Times New Roman" w:hAnsi="Times New Roman" w:cs="Times New Roman"/>
              </w:rPr>
            </w:pPr>
            <w:r>
              <w:rPr>
                <w:rFonts w:hint="default" w:ascii="Times New Roman" w:hAnsi="Times New Roman" w:cs="Times New Roman"/>
              </w:rPr>
              <w:t>Gastrointestinal surgery</w:t>
            </w:r>
          </w:p>
        </w:tc>
        <w:tc>
          <w:tcPr>
            <w:tcW w:w="2219" w:type="dxa"/>
            <w:tcBorders>
              <w:top w:val="nil"/>
              <w:left w:val="nil"/>
              <w:bottom w:val="nil"/>
              <w:right w:val="nil"/>
            </w:tcBorders>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0.76 (0.36-1.58)</w:t>
            </w:r>
          </w:p>
        </w:tc>
        <w:tc>
          <w:tcPr>
            <w:tcW w:w="1278" w:type="dxa"/>
            <w:tcBorders>
              <w:top w:val="nil"/>
              <w:left w:val="nil"/>
              <w:bottom w:val="nil"/>
              <w:right w:val="nil"/>
            </w:tcBorders>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0.459</w:t>
            </w:r>
          </w:p>
        </w:tc>
        <w:tc>
          <w:tcPr>
            <w:tcW w:w="312" w:type="dxa"/>
            <w:tcBorders>
              <w:top w:val="nil"/>
              <w:left w:val="nil"/>
              <w:bottom w:val="nil"/>
              <w:right w:val="nil"/>
            </w:tcBorders>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p>
        </w:tc>
        <w:tc>
          <w:tcPr>
            <w:tcW w:w="2261" w:type="dxa"/>
            <w:tcBorders>
              <w:top w:val="nil"/>
              <w:left w:val="nil"/>
              <w:bottom w:val="nil"/>
              <w:right w:val="nil"/>
            </w:tcBorders>
            <w:vAlign w:val="top"/>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lang w:val="en-US" w:eastAsia="zh-CN"/>
              </w:rPr>
              <w:t>1.70 (0.40-7.20)</w:t>
            </w:r>
          </w:p>
        </w:tc>
        <w:tc>
          <w:tcPr>
            <w:tcW w:w="1197" w:type="dxa"/>
            <w:tcBorders>
              <w:top w:val="nil"/>
              <w:left w:val="nil"/>
              <w:bottom w:val="nil"/>
              <w:right w:val="nil"/>
            </w:tcBorders>
            <w:vAlign w:val="top"/>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lang w:val="en-US" w:eastAsia="zh-CN"/>
              </w:rPr>
              <w:t>0.470</w:t>
            </w: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6" w:hRule="atLeast"/>
        </w:trPr>
        <w:tc>
          <w:tcPr>
            <w:tcW w:w="2912" w:type="dxa"/>
            <w:tcBorders>
              <w:top w:val="nil"/>
              <w:left w:val="nil"/>
              <w:bottom w:val="nil"/>
              <w:right w:val="nil"/>
            </w:tcBorders>
          </w:tcPr>
          <w:p>
            <w:pPr>
              <w:keepNext w:val="0"/>
              <w:keepLines w:val="0"/>
              <w:widowControl w:val="0"/>
              <w:suppressLineNumbers w:val="0"/>
              <w:spacing w:before="0" w:beforeAutospacing="0" w:afterAutospacing="0"/>
              <w:ind w:left="220" w:leftChars="100" w:right="0"/>
              <w:jc w:val="left"/>
              <w:rPr>
                <w:rFonts w:hint="default" w:ascii="Times New Roman" w:hAnsi="Times New Roman" w:cs="Times New Roman"/>
              </w:rPr>
            </w:pPr>
            <w:r>
              <w:rPr>
                <w:rFonts w:hint="default" w:ascii="Times New Roman" w:hAnsi="Times New Roman" w:cs="Times New Roman"/>
              </w:rPr>
              <w:t>TPN</w:t>
            </w:r>
          </w:p>
        </w:tc>
        <w:tc>
          <w:tcPr>
            <w:tcW w:w="2219" w:type="dxa"/>
            <w:tcBorders>
              <w:top w:val="nil"/>
              <w:left w:val="nil"/>
              <w:bottom w:val="nil"/>
              <w:right w:val="nil"/>
            </w:tcBorders>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1.89 (0.96-3.71)</w:t>
            </w:r>
          </w:p>
        </w:tc>
        <w:tc>
          <w:tcPr>
            <w:tcW w:w="1278" w:type="dxa"/>
            <w:tcBorders>
              <w:top w:val="nil"/>
              <w:left w:val="nil"/>
              <w:bottom w:val="nil"/>
              <w:right w:val="nil"/>
            </w:tcBorders>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0.064</w:t>
            </w:r>
          </w:p>
        </w:tc>
        <w:tc>
          <w:tcPr>
            <w:tcW w:w="312" w:type="dxa"/>
            <w:tcBorders>
              <w:top w:val="nil"/>
              <w:left w:val="nil"/>
              <w:bottom w:val="nil"/>
              <w:right w:val="nil"/>
            </w:tcBorders>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p>
        </w:tc>
        <w:tc>
          <w:tcPr>
            <w:tcW w:w="2261" w:type="dxa"/>
            <w:tcBorders>
              <w:top w:val="nil"/>
              <w:left w:val="nil"/>
              <w:bottom w:val="nil"/>
              <w:right w:val="nil"/>
            </w:tcBorders>
            <w:vAlign w:val="top"/>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lang w:val="en-US" w:eastAsia="zh-CN"/>
              </w:rPr>
              <w:t>3.30 (1.18-9.22)</w:t>
            </w:r>
          </w:p>
        </w:tc>
        <w:tc>
          <w:tcPr>
            <w:tcW w:w="1197" w:type="dxa"/>
            <w:tcBorders>
              <w:top w:val="nil"/>
              <w:left w:val="nil"/>
              <w:bottom w:val="nil"/>
              <w:right w:val="nil"/>
            </w:tcBorders>
            <w:vAlign w:val="top"/>
          </w:tcPr>
          <w:p>
            <w:pPr>
              <w:keepNext w:val="0"/>
              <w:keepLines w:val="0"/>
              <w:widowControl w:val="0"/>
              <w:suppressLineNumbers w:val="0"/>
              <w:spacing w:before="0" w:beforeAutospacing="0" w:afterAutospacing="0"/>
              <w:ind w:left="0" w:right="0"/>
              <w:jc w:val="both"/>
              <w:rPr>
                <w:rFonts w:hint="default" w:ascii="Times New Roman" w:hAnsi="Times New Roman" w:cs="Times New Roman"/>
                <w:lang w:val="en-US"/>
              </w:rPr>
            </w:pPr>
            <w:r>
              <w:rPr>
                <w:rFonts w:hint="default" w:ascii="Times New Roman" w:hAnsi="Times New Roman" w:cs="Times New Roman"/>
                <w:lang w:val="en-US" w:eastAsia="zh-CN"/>
              </w:rPr>
              <w:t>0.023*</w:t>
            </w: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PrEx>
        <w:trPr>
          <w:trHeight w:val="496" w:hRule="atLeast"/>
        </w:trPr>
        <w:tc>
          <w:tcPr>
            <w:tcW w:w="2912" w:type="dxa"/>
            <w:tcBorders>
              <w:top w:val="nil"/>
              <w:left w:val="nil"/>
              <w:bottom w:val="nil"/>
              <w:right w:val="nil"/>
            </w:tcBorders>
          </w:tcPr>
          <w:p>
            <w:pPr>
              <w:keepNext w:val="0"/>
              <w:keepLines w:val="0"/>
              <w:widowControl w:val="0"/>
              <w:suppressLineNumbers w:val="0"/>
              <w:spacing w:before="0" w:beforeAutospacing="0" w:afterAutospacing="0"/>
              <w:ind w:left="220" w:leftChars="100" w:right="0"/>
              <w:jc w:val="left"/>
              <w:rPr>
                <w:rFonts w:hint="default" w:ascii="Times New Roman" w:hAnsi="Times New Roman" w:cs="Times New Roman"/>
              </w:rPr>
            </w:pPr>
            <w:r>
              <w:rPr>
                <w:rFonts w:hint="default" w:ascii="Times New Roman" w:hAnsi="Times New Roman" w:cs="Times New Roman"/>
              </w:rPr>
              <w:t>Multifocal colonization</w:t>
            </w:r>
          </w:p>
        </w:tc>
        <w:tc>
          <w:tcPr>
            <w:tcW w:w="2219" w:type="dxa"/>
            <w:tcBorders>
              <w:top w:val="nil"/>
              <w:left w:val="nil"/>
              <w:bottom w:val="nil"/>
              <w:right w:val="nil"/>
            </w:tcBorders>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2.28 (0.85-6.14)</w:t>
            </w:r>
          </w:p>
        </w:tc>
        <w:tc>
          <w:tcPr>
            <w:tcW w:w="1278" w:type="dxa"/>
            <w:tcBorders>
              <w:top w:val="nil"/>
              <w:left w:val="nil"/>
              <w:bottom w:val="nil"/>
              <w:right w:val="nil"/>
            </w:tcBorders>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0.103</w:t>
            </w:r>
          </w:p>
        </w:tc>
        <w:tc>
          <w:tcPr>
            <w:tcW w:w="312" w:type="dxa"/>
            <w:tcBorders>
              <w:top w:val="nil"/>
              <w:left w:val="nil"/>
              <w:bottom w:val="nil"/>
              <w:right w:val="nil"/>
            </w:tcBorders>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p>
        </w:tc>
        <w:tc>
          <w:tcPr>
            <w:tcW w:w="2261" w:type="dxa"/>
            <w:tcBorders>
              <w:top w:val="nil"/>
              <w:left w:val="nil"/>
              <w:bottom w:val="nil"/>
              <w:right w:val="nil"/>
            </w:tcBorders>
            <w:vAlign w:val="top"/>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lang w:val="en-US" w:eastAsia="zh-CN"/>
              </w:rPr>
              <w:t>0.77 (0.17-3.40)</w:t>
            </w:r>
          </w:p>
        </w:tc>
        <w:tc>
          <w:tcPr>
            <w:tcW w:w="1197" w:type="dxa"/>
            <w:tcBorders>
              <w:top w:val="nil"/>
              <w:left w:val="nil"/>
              <w:bottom w:val="nil"/>
              <w:right w:val="nil"/>
            </w:tcBorders>
            <w:vAlign w:val="top"/>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lang w:val="en-US" w:eastAsia="zh-CN"/>
              </w:rPr>
              <w:t>0.728</w:t>
            </w: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6" w:hRule="atLeast"/>
        </w:trPr>
        <w:tc>
          <w:tcPr>
            <w:tcW w:w="2912"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eastAsia="KsqycxAdvOTa9103878" w:cs="Times New Roman"/>
                <w:color w:val="231F20"/>
                <w:lang w:bidi="ar"/>
              </w:rPr>
              <w:t>Initial treatment</w:t>
            </w:r>
          </w:p>
        </w:tc>
        <w:tc>
          <w:tcPr>
            <w:tcW w:w="2219"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p>
        </w:tc>
        <w:tc>
          <w:tcPr>
            <w:tcW w:w="1278"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p>
        </w:tc>
        <w:tc>
          <w:tcPr>
            <w:tcW w:w="312"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p>
        </w:tc>
        <w:tc>
          <w:tcPr>
            <w:tcW w:w="2261"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p>
        </w:tc>
        <w:tc>
          <w:tcPr>
            <w:tcW w:w="1197" w:type="dxa"/>
            <w:tcBorders>
              <w:top w:val="nil"/>
              <w:left w:val="nil"/>
              <w:bottom w:val="nil"/>
              <w:right w:val="nil"/>
            </w:tcBorders>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6" w:hRule="atLeast"/>
        </w:trPr>
        <w:tc>
          <w:tcPr>
            <w:tcW w:w="2912" w:type="dxa"/>
            <w:tcBorders>
              <w:top w:val="nil"/>
            </w:tcBorders>
            <w:shd w:val="clear" w:color="auto" w:fill="FBE5D6" w:themeFill="accent2" w:themeFillTint="32"/>
          </w:tcPr>
          <w:p>
            <w:pPr>
              <w:keepNext w:val="0"/>
              <w:keepLines w:val="0"/>
              <w:widowControl w:val="0"/>
              <w:suppressLineNumbers w:val="0"/>
              <w:spacing w:before="0" w:beforeAutospacing="0" w:afterAutospacing="0"/>
              <w:ind w:left="220" w:leftChars="100" w:right="0"/>
              <w:jc w:val="left"/>
              <w:rPr>
                <w:rFonts w:hint="default" w:ascii="Times New Roman" w:hAnsi="Times New Roman" w:cs="Times New Roman"/>
              </w:rPr>
            </w:pPr>
            <w:r>
              <w:rPr>
                <w:rFonts w:hint="default" w:ascii="Times New Roman" w:hAnsi="Times New Roman" w:cs="Times New Roman"/>
              </w:rPr>
              <w:t>FCZ</w:t>
            </w:r>
          </w:p>
        </w:tc>
        <w:tc>
          <w:tcPr>
            <w:tcW w:w="2219" w:type="dxa"/>
            <w:tcBorders>
              <w:top w:val="nil"/>
            </w:tcBorders>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1 (reference)</w:t>
            </w:r>
          </w:p>
        </w:tc>
        <w:tc>
          <w:tcPr>
            <w:tcW w:w="1278" w:type="dxa"/>
            <w:tcBorders>
              <w:top w:val="nil"/>
            </w:tcBorders>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p>
        </w:tc>
        <w:tc>
          <w:tcPr>
            <w:tcW w:w="312" w:type="dxa"/>
            <w:tcBorders>
              <w:top w:val="nil"/>
            </w:tcBorders>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p>
        </w:tc>
        <w:tc>
          <w:tcPr>
            <w:tcW w:w="2261" w:type="dxa"/>
            <w:tcBorders>
              <w:top w:val="nil"/>
            </w:tcBorders>
            <w:shd w:val="clear" w:color="auto" w:fill="FBE5D6" w:themeFill="accent2" w:themeFillTint="32"/>
            <w:vAlign w:val="top"/>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1 (reference)</w:t>
            </w:r>
          </w:p>
        </w:tc>
        <w:tc>
          <w:tcPr>
            <w:tcW w:w="1197" w:type="dxa"/>
            <w:tcBorders>
              <w:top w:val="nil"/>
            </w:tcBorders>
            <w:shd w:val="clear" w:color="auto" w:fill="FBE5D6" w:themeFill="accent2" w:themeFillTint="32"/>
            <w:vAlign w:val="top"/>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6" w:hRule="atLeast"/>
        </w:trPr>
        <w:tc>
          <w:tcPr>
            <w:tcW w:w="2912" w:type="dxa"/>
            <w:shd w:val="clear" w:color="auto" w:fill="FBE5D6" w:themeFill="accent2" w:themeFillTint="32"/>
          </w:tcPr>
          <w:p>
            <w:pPr>
              <w:keepNext w:val="0"/>
              <w:keepLines w:val="0"/>
              <w:widowControl w:val="0"/>
              <w:suppressLineNumbers w:val="0"/>
              <w:spacing w:before="0" w:beforeAutospacing="0" w:afterAutospacing="0"/>
              <w:ind w:left="220" w:leftChars="100" w:right="0"/>
              <w:jc w:val="left"/>
              <w:rPr>
                <w:rFonts w:hint="default" w:ascii="Times New Roman" w:hAnsi="Times New Roman" w:cs="Times New Roman"/>
              </w:rPr>
            </w:pPr>
            <w:r>
              <w:rPr>
                <w:rFonts w:hint="default" w:ascii="Times New Roman" w:hAnsi="Times New Roman" w:cs="Times New Roman"/>
              </w:rPr>
              <w:t>VCZ</w:t>
            </w:r>
          </w:p>
        </w:tc>
        <w:tc>
          <w:tcPr>
            <w:tcW w:w="2219" w:type="dxa"/>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0.80 (0.20-3.20)</w:t>
            </w:r>
          </w:p>
        </w:tc>
        <w:tc>
          <w:tcPr>
            <w:tcW w:w="1278" w:type="dxa"/>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0.757</w:t>
            </w:r>
          </w:p>
        </w:tc>
        <w:tc>
          <w:tcPr>
            <w:tcW w:w="312" w:type="dxa"/>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p>
        </w:tc>
        <w:tc>
          <w:tcPr>
            <w:tcW w:w="2261" w:type="dxa"/>
            <w:shd w:val="clear" w:color="auto" w:fill="FBE5D6" w:themeFill="accent2" w:themeFillTint="32"/>
            <w:vAlign w:val="top"/>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lang w:val="en-US" w:eastAsia="zh-CN"/>
              </w:rPr>
              <w:t>1.04 (0.12-9.34)</w:t>
            </w:r>
          </w:p>
        </w:tc>
        <w:tc>
          <w:tcPr>
            <w:tcW w:w="1197" w:type="dxa"/>
            <w:shd w:val="clear" w:color="auto" w:fill="FBE5D6" w:themeFill="accent2" w:themeFillTint="32"/>
            <w:vAlign w:val="top"/>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lang w:val="en-US" w:eastAsia="zh-CN"/>
              </w:rPr>
              <w:t>0.970</w:t>
            </w: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6" w:hRule="atLeast"/>
        </w:trPr>
        <w:tc>
          <w:tcPr>
            <w:tcW w:w="2912" w:type="dxa"/>
            <w:shd w:val="clear" w:color="auto" w:fill="FBE5D6" w:themeFill="accent2" w:themeFillTint="32"/>
          </w:tcPr>
          <w:p>
            <w:pPr>
              <w:keepNext w:val="0"/>
              <w:keepLines w:val="0"/>
              <w:widowControl w:val="0"/>
              <w:suppressLineNumbers w:val="0"/>
              <w:spacing w:before="0" w:beforeAutospacing="0" w:afterAutospacing="0"/>
              <w:ind w:left="220" w:leftChars="100" w:right="0"/>
              <w:jc w:val="left"/>
              <w:rPr>
                <w:rFonts w:hint="default" w:ascii="Times New Roman" w:hAnsi="Times New Roman" w:cs="Times New Roman"/>
              </w:rPr>
            </w:pPr>
            <w:r>
              <w:rPr>
                <w:rFonts w:hint="default" w:ascii="Times New Roman" w:hAnsi="Times New Roman" w:cs="Times New Roman"/>
              </w:rPr>
              <w:t>CAS</w:t>
            </w:r>
          </w:p>
        </w:tc>
        <w:tc>
          <w:tcPr>
            <w:tcW w:w="2219" w:type="dxa"/>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2.98 (1.07-8.31)</w:t>
            </w:r>
          </w:p>
        </w:tc>
        <w:tc>
          <w:tcPr>
            <w:tcW w:w="1278" w:type="dxa"/>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0.037*</w:t>
            </w:r>
          </w:p>
        </w:tc>
        <w:tc>
          <w:tcPr>
            <w:tcW w:w="312" w:type="dxa"/>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p>
        </w:tc>
        <w:tc>
          <w:tcPr>
            <w:tcW w:w="2261" w:type="dxa"/>
            <w:shd w:val="clear" w:color="auto" w:fill="FBE5D6" w:themeFill="accent2" w:themeFillTint="32"/>
            <w:vAlign w:val="top"/>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lang w:val="en-US" w:eastAsia="zh-CN"/>
              </w:rPr>
              <w:t>3.02 (0.47-19.38)</w:t>
            </w:r>
          </w:p>
        </w:tc>
        <w:tc>
          <w:tcPr>
            <w:tcW w:w="1197" w:type="dxa"/>
            <w:shd w:val="clear" w:color="auto" w:fill="FBE5D6" w:themeFill="accent2" w:themeFillTint="32"/>
            <w:vAlign w:val="top"/>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lang w:val="en-US" w:eastAsia="zh-CN"/>
              </w:rPr>
              <w:t>0.243</w:t>
            </w: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6" w:hRule="atLeast"/>
        </w:trPr>
        <w:tc>
          <w:tcPr>
            <w:tcW w:w="2912" w:type="dxa"/>
            <w:shd w:val="clear" w:color="auto" w:fill="FBE5D6" w:themeFill="accent2" w:themeFillTint="32"/>
          </w:tcPr>
          <w:p>
            <w:pPr>
              <w:keepNext w:val="0"/>
              <w:keepLines w:val="0"/>
              <w:widowControl w:val="0"/>
              <w:suppressLineNumbers w:val="0"/>
              <w:spacing w:before="0" w:beforeAutospacing="0" w:afterAutospacing="0"/>
              <w:ind w:left="220" w:leftChars="100" w:right="0"/>
              <w:jc w:val="left"/>
              <w:rPr>
                <w:rFonts w:hint="default" w:ascii="Times New Roman" w:hAnsi="Times New Roman" w:cs="Times New Roman"/>
              </w:rPr>
            </w:pPr>
            <w:r>
              <w:rPr>
                <w:rFonts w:hint="default" w:ascii="Times New Roman" w:hAnsi="Times New Roman" w:cs="Times New Roman"/>
              </w:rPr>
              <w:t>MICA</w:t>
            </w:r>
          </w:p>
        </w:tc>
        <w:tc>
          <w:tcPr>
            <w:tcW w:w="2219" w:type="dxa"/>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3.45 (1.14-10.38)</w:t>
            </w:r>
          </w:p>
        </w:tc>
        <w:tc>
          <w:tcPr>
            <w:tcW w:w="1278" w:type="dxa"/>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0.028*</w:t>
            </w:r>
          </w:p>
        </w:tc>
        <w:tc>
          <w:tcPr>
            <w:tcW w:w="312" w:type="dxa"/>
            <w:shd w:val="clear" w:color="auto" w:fill="FBE5D6" w:themeFill="accent2" w:themeFillTint="32"/>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p>
        </w:tc>
        <w:tc>
          <w:tcPr>
            <w:tcW w:w="2261" w:type="dxa"/>
            <w:shd w:val="clear" w:color="auto" w:fill="FBE5D6" w:themeFill="accent2" w:themeFillTint="32"/>
            <w:vAlign w:val="top"/>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lang w:val="en-US" w:eastAsia="zh-CN"/>
              </w:rPr>
              <w:t>7.36 (1.20-45.02)</w:t>
            </w:r>
          </w:p>
        </w:tc>
        <w:tc>
          <w:tcPr>
            <w:tcW w:w="1197" w:type="dxa"/>
            <w:shd w:val="clear" w:color="auto" w:fill="FBE5D6" w:themeFill="accent2" w:themeFillTint="32"/>
            <w:vAlign w:val="top"/>
          </w:tcPr>
          <w:p>
            <w:pPr>
              <w:keepNext w:val="0"/>
              <w:keepLines w:val="0"/>
              <w:widowControl w:val="0"/>
              <w:suppressLineNumbers w:val="0"/>
              <w:spacing w:before="0" w:beforeAutospacing="0" w:afterAutospacing="0"/>
              <w:ind w:left="0" w:right="0"/>
              <w:jc w:val="both"/>
              <w:rPr>
                <w:rFonts w:hint="default" w:ascii="Times New Roman" w:hAnsi="Times New Roman" w:cs="Times New Roman"/>
                <w:lang w:val="en-US"/>
              </w:rPr>
            </w:pPr>
            <w:r>
              <w:rPr>
                <w:rFonts w:hint="default" w:ascii="Times New Roman" w:hAnsi="Times New Roman" w:cs="Times New Roman"/>
                <w:lang w:val="en-US" w:eastAsia="zh-CN"/>
              </w:rPr>
              <w:t>0.031*</w:t>
            </w: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6" w:hRule="atLeast"/>
        </w:trPr>
        <w:tc>
          <w:tcPr>
            <w:tcW w:w="2912" w:type="dxa"/>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eastAsia="KsqycxAdvOTa9103878" w:cs="Times New Roman"/>
                <w:color w:val="231F20"/>
                <w:lang w:bidi="ar"/>
              </w:rPr>
              <w:t>Main treatment</w:t>
            </w:r>
          </w:p>
        </w:tc>
        <w:tc>
          <w:tcPr>
            <w:tcW w:w="2219" w:type="dxa"/>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p>
        </w:tc>
        <w:tc>
          <w:tcPr>
            <w:tcW w:w="1278" w:type="dxa"/>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p>
        </w:tc>
        <w:tc>
          <w:tcPr>
            <w:tcW w:w="312" w:type="dxa"/>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p>
        </w:tc>
        <w:tc>
          <w:tcPr>
            <w:tcW w:w="2261" w:type="dxa"/>
            <w:vAlign w:val="top"/>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p>
        </w:tc>
        <w:tc>
          <w:tcPr>
            <w:tcW w:w="1197" w:type="dxa"/>
            <w:vAlign w:val="top"/>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6" w:hRule="atLeast"/>
        </w:trPr>
        <w:tc>
          <w:tcPr>
            <w:tcW w:w="2912" w:type="dxa"/>
          </w:tcPr>
          <w:p>
            <w:pPr>
              <w:keepNext w:val="0"/>
              <w:keepLines w:val="0"/>
              <w:widowControl w:val="0"/>
              <w:suppressLineNumbers w:val="0"/>
              <w:spacing w:before="0" w:beforeAutospacing="0" w:afterAutospacing="0"/>
              <w:ind w:left="220" w:leftChars="100" w:right="0"/>
              <w:jc w:val="both"/>
              <w:rPr>
                <w:rFonts w:hint="default" w:ascii="Times New Roman" w:hAnsi="Times New Roman" w:cs="Times New Roman"/>
              </w:rPr>
            </w:pPr>
            <w:r>
              <w:rPr>
                <w:rFonts w:hint="default" w:ascii="Times New Roman" w:hAnsi="Times New Roman" w:cs="Times New Roman"/>
              </w:rPr>
              <w:t>FCZ</w:t>
            </w:r>
          </w:p>
        </w:tc>
        <w:tc>
          <w:tcPr>
            <w:tcW w:w="2219" w:type="dxa"/>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1 (reference)</w:t>
            </w:r>
          </w:p>
        </w:tc>
        <w:tc>
          <w:tcPr>
            <w:tcW w:w="1278" w:type="dxa"/>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p>
        </w:tc>
        <w:tc>
          <w:tcPr>
            <w:tcW w:w="312" w:type="dxa"/>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p>
        </w:tc>
        <w:tc>
          <w:tcPr>
            <w:tcW w:w="2261" w:type="dxa"/>
            <w:vAlign w:val="top"/>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1 (reference)</w:t>
            </w:r>
          </w:p>
        </w:tc>
        <w:tc>
          <w:tcPr>
            <w:tcW w:w="1197" w:type="dxa"/>
            <w:vAlign w:val="top"/>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6" w:hRule="atLeast"/>
        </w:trPr>
        <w:tc>
          <w:tcPr>
            <w:tcW w:w="2912" w:type="dxa"/>
          </w:tcPr>
          <w:p>
            <w:pPr>
              <w:keepNext w:val="0"/>
              <w:keepLines w:val="0"/>
              <w:widowControl w:val="0"/>
              <w:suppressLineNumbers w:val="0"/>
              <w:spacing w:before="0" w:beforeAutospacing="0" w:afterAutospacing="0"/>
              <w:ind w:left="220" w:leftChars="100" w:right="0"/>
              <w:jc w:val="both"/>
              <w:rPr>
                <w:rFonts w:hint="default" w:ascii="Times New Roman" w:hAnsi="Times New Roman" w:cs="Times New Roman"/>
              </w:rPr>
            </w:pPr>
            <w:r>
              <w:rPr>
                <w:rFonts w:hint="default" w:ascii="Times New Roman" w:hAnsi="Times New Roman" w:cs="Times New Roman"/>
              </w:rPr>
              <w:t>VCZ</w:t>
            </w:r>
          </w:p>
        </w:tc>
        <w:tc>
          <w:tcPr>
            <w:tcW w:w="2219" w:type="dxa"/>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3.83 (1.11-13.30)</w:t>
            </w:r>
          </w:p>
        </w:tc>
        <w:tc>
          <w:tcPr>
            <w:tcW w:w="1278" w:type="dxa"/>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0.034*</w:t>
            </w:r>
          </w:p>
        </w:tc>
        <w:tc>
          <w:tcPr>
            <w:tcW w:w="312" w:type="dxa"/>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p>
        </w:tc>
        <w:tc>
          <w:tcPr>
            <w:tcW w:w="2261" w:type="dxa"/>
            <w:vAlign w:val="top"/>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lang w:val="en-US" w:eastAsia="zh-CN"/>
              </w:rPr>
              <w:t>2.05 (0.25-17.02)</w:t>
            </w:r>
          </w:p>
        </w:tc>
        <w:tc>
          <w:tcPr>
            <w:tcW w:w="1197" w:type="dxa"/>
            <w:vAlign w:val="top"/>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lang w:val="en-US" w:eastAsia="zh-CN"/>
              </w:rPr>
              <w:t>0.382</w:t>
            </w: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6" w:hRule="atLeast"/>
        </w:trPr>
        <w:tc>
          <w:tcPr>
            <w:tcW w:w="2912" w:type="dxa"/>
          </w:tcPr>
          <w:p>
            <w:pPr>
              <w:keepNext w:val="0"/>
              <w:keepLines w:val="0"/>
              <w:widowControl w:val="0"/>
              <w:suppressLineNumbers w:val="0"/>
              <w:spacing w:before="0" w:beforeAutospacing="0" w:afterAutospacing="0"/>
              <w:ind w:left="220" w:leftChars="100" w:right="0"/>
              <w:jc w:val="both"/>
              <w:rPr>
                <w:rFonts w:hint="default" w:ascii="Times New Roman" w:hAnsi="Times New Roman" w:cs="Times New Roman"/>
              </w:rPr>
            </w:pPr>
            <w:r>
              <w:rPr>
                <w:rFonts w:hint="default" w:ascii="Times New Roman" w:hAnsi="Times New Roman" w:cs="Times New Roman"/>
              </w:rPr>
              <w:t>AMB</w:t>
            </w:r>
          </w:p>
        </w:tc>
        <w:tc>
          <w:tcPr>
            <w:tcW w:w="2219" w:type="dxa"/>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1.10 (0.20-6.05)</w:t>
            </w:r>
          </w:p>
        </w:tc>
        <w:tc>
          <w:tcPr>
            <w:tcW w:w="1278" w:type="dxa"/>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0.917</w:t>
            </w:r>
          </w:p>
        </w:tc>
        <w:tc>
          <w:tcPr>
            <w:tcW w:w="312" w:type="dxa"/>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p>
        </w:tc>
        <w:tc>
          <w:tcPr>
            <w:tcW w:w="2261" w:type="dxa"/>
            <w:vAlign w:val="top"/>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lang w:val="en-US" w:eastAsia="zh-CN"/>
              </w:rPr>
              <w:t>0.52 (0.05-5.20)</w:t>
            </w:r>
          </w:p>
        </w:tc>
        <w:tc>
          <w:tcPr>
            <w:tcW w:w="1197" w:type="dxa"/>
            <w:vAlign w:val="top"/>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lang w:val="en-US" w:eastAsia="zh-CN"/>
              </w:rPr>
              <w:t>0.576</w:t>
            </w: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6" w:hRule="atLeast"/>
        </w:trPr>
        <w:tc>
          <w:tcPr>
            <w:tcW w:w="2912" w:type="dxa"/>
          </w:tcPr>
          <w:p>
            <w:pPr>
              <w:keepNext w:val="0"/>
              <w:keepLines w:val="0"/>
              <w:widowControl w:val="0"/>
              <w:suppressLineNumbers w:val="0"/>
              <w:spacing w:before="0" w:beforeAutospacing="0" w:afterAutospacing="0"/>
              <w:ind w:left="220" w:leftChars="100" w:right="0"/>
              <w:jc w:val="left"/>
              <w:rPr>
                <w:rFonts w:hint="default" w:ascii="Times New Roman" w:hAnsi="Times New Roman" w:cs="Times New Roman"/>
              </w:rPr>
            </w:pPr>
            <w:r>
              <w:rPr>
                <w:rFonts w:hint="default" w:ascii="Times New Roman" w:hAnsi="Times New Roman" w:cs="Times New Roman"/>
              </w:rPr>
              <w:t>CAS</w:t>
            </w:r>
          </w:p>
        </w:tc>
        <w:tc>
          <w:tcPr>
            <w:tcW w:w="2219" w:type="dxa"/>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3.29 (1.09-9.88)</w:t>
            </w:r>
          </w:p>
        </w:tc>
        <w:tc>
          <w:tcPr>
            <w:tcW w:w="1278" w:type="dxa"/>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0.034*</w:t>
            </w:r>
          </w:p>
        </w:tc>
        <w:tc>
          <w:tcPr>
            <w:tcW w:w="312" w:type="dxa"/>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p>
        </w:tc>
        <w:tc>
          <w:tcPr>
            <w:tcW w:w="2261" w:type="dxa"/>
            <w:vAlign w:val="top"/>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lang w:val="en-US" w:eastAsia="zh-CN"/>
              </w:rPr>
              <w:t>0.83 (0.12-5.85)</w:t>
            </w:r>
          </w:p>
        </w:tc>
        <w:tc>
          <w:tcPr>
            <w:tcW w:w="1197" w:type="dxa"/>
            <w:vAlign w:val="top"/>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lang w:val="en-US" w:eastAsia="zh-CN"/>
              </w:rPr>
              <w:t>0.852</w:t>
            </w: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6" w:hRule="atLeast"/>
        </w:trPr>
        <w:tc>
          <w:tcPr>
            <w:tcW w:w="2912" w:type="dxa"/>
          </w:tcPr>
          <w:p>
            <w:pPr>
              <w:keepNext w:val="0"/>
              <w:keepLines w:val="0"/>
              <w:widowControl w:val="0"/>
              <w:suppressLineNumbers w:val="0"/>
              <w:spacing w:before="0" w:beforeAutospacing="0" w:afterAutospacing="0"/>
              <w:ind w:left="220" w:leftChars="100" w:right="0"/>
              <w:jc w:val="left"/>
              <w:rPr>
                <w:rFonts w:hint="default" w:ascii="Times New Roman" w:hAnsi="Times New Roman" w:cs="Times New Roman"/>
              </w:rPr>
            </w:pPr>
            <w:r>
              <w:rPr>
                <w:rFonts w:hint="default" w:ascii="Times New Roman" w:hAnsi="Times New Roman" w:cs="Times New Roman"/>
              </w:rPr>
              <w:t>MICA</w:t>
            </w:r>
          </w:p>
        </w:tc>
        <w:tc>
          <w:tcPr>
            <w:tcW w:w="2219" w:type="dxa"/>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2.46 (0.73-8.31)</w:t>
            </w:r>
          </w:p>
        </w:tc>
        <w:tc>
          <w:tcPr>
            <w:tcW w:w="1278" w:type="dxa"/>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0.146</w:t>
            </w:r>
          </w:p>
        </w:tc>
        <w:tc>
          <w:tcPr>
            <w:tcW w:w="312" w:type="dxa"/>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p>
        </w:tc>
        <w:tc>
          <w:tcPr>
            <w:tcW w:w="2261" w:type="dxa"/>
            <w:vAlign w:val="top"/>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lang w:val="en-US" w:eastAsia="zh-CN"/>
              </w:rPr>
              <w:t>0.52 (0.06-4.70)</w:t>
            </w:r>
          </w:p>
        </w:tc>
        <w:tc>
          <w:tcPr>
            <w:tcW w:w="1197" w:type="dxa"/>
            <w:vAlign w:val="top"/>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lang w:val="en-US" w:eastAsia="zh-CN"/>
              </w:rPr>
              <w:t>0.561</w:t>
            </w: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6" w:hRule="atLeast"/>
        </w:trPr>
        <w:tc>
          <w:tcPr>
            <w:tcW w:w="2912" w:type="dxa"/>
          </w:tcPr>
          <w:p>
            <w:pPr>
              <w:keepNext w:val="0"/>
              <w:keepLines w:val="0"/>
              <w:widowControl w:val="0"/>
              <w:suppressLineNumbers w:val="0"/>
              <w:spacing w:before="0" w:beforeAutospacing="0" w:afterAutospacing="0"/>
              <w:ind w:left="220" w:leftChars="100" w:right="0"/>
              <w:jc w:val="both"/>
              <w:rPr>
                <w:rFonts w:hint="default" w:ascii="Times New Roman" w:hAnsi="Times New Roman" w:cs="Times New Roman"/>
              </w:rPr>
            </w:pPr>
            <w:r>
              <w:rPr>
                <w:rFonts w:hint="default" w:ascii="Times New Roman" w:hAnsi="Times New Roman" w:cs="Times New Roman"/>
              </w:rPr>
              <w:t>Echinocandins + Azole</w:t>
            </w:r>
          </w:p>
        </w:tc>
        <w:tc>
          <w:tcPr>
            <w:tcW w:w="2219" w:type="dxa"/>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2.74 (0.72-10.34)</w:t>
            </w:r>
          </w:p>
        </w:tc>
        <w:tc>
          <w:tcPr>
            <w:tcW w:w="1278" w:type="dxa"/>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rPr>
              <w:t>0.137</w:t>
            </w:r>
          </w:p>
        </w:tc>
        <w:tc>
          <w:tcPr>
            <w:tcW w:w="312" w:type="dxa"/>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p>
        </w:tc>
        <w:tc>
          <w:tcPr>
            <w:tcW w:w="2261" w:type="dxa"/>
            <w:vAlign w:val="top"/>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lang w:val="en-US" w:eastAsia="zh-CN"/>
              </w:rPr>
              <w:t>1.60 (0.14-18.35)</w:t>
            </w:r>
          </w:p>
        </w:tc>
        <w:tc>
          <w:tcPr>
            <w:tcW w:w="1197" w:type="dxa"/>
            <w:vAlign w:val="top"/>
          </w:tcPr>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cs="Times New Roman"/>
                <w:lang w:val="en-US" w:eastAsia="zh-CN"/>
              </w:rPr>
              <w:t>0.382</w:t>
            </w: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10179" w:type="dxa"/>
            <w:gridSpan w:val="6"/>
            <w:tcBorders>
              <w:top w:val="single" w:color="auto" w:sz="8" w:space="0"/>
              <w:left w:val="nil"/>
              <w:bottom w:val="single" w:color="auto" w:sz="8" w:space="0"/>
              <w:right w:val="nil"/>
            </w:tcBorders>
          </w:tcPr>
          <w:p>
            <w:pPr>
              <w:keepNext w:val="0"/>
              <w:keepLines w:val="0"/>
              <w:widowControl w:val="0"/>
              <w:suppressLineNumbers w:val="0"/>
              <w:spacing w:before="0" w:beforeAutospacing="0" w:afterAutospacing="0"/>
              <w:ind w:left="0" w:right="0"/>
              <w:jc w:val="both"/>
              <w:rPr>
                <w:rFonts w:hint="default" w:ascii="Times New Roman" w:hAnsi="Times New Roman" w:eastAsia="KsqycxAdvOTa9103878" w:cs="Times New Roman"/>
                <w:color w:val="231F20"/>
                <w:lang w:bidi="ar"/>
              </w:rPr>
            </w:pPr>
            <w:r>
              <w:rPr>
                <w:rFonts w:hint="default" w:ascii="Times New Roman" w:hAnsi="Times New Roman" w:cs="Times New Roman"/>
              </w:rPr>
              <w:t xml:space="preserve">Note: </w:t>
            </w:r>
            <w:r>
              <w:rPr>
                <w:rFonts w:hint="default" w:ascii="Times New Roman" w:hAnsi="Times New Roman" w:eastAsia="KsqycxAdvOTa9103878" w:cs="Times New Roman"/>
                <w:color w:val="231F20"/>
                <w:lang w:bidi="ar"/>
              </w:rPr>
              <w:t xml:space="preserve">159 episodes with mortality data were included in the analysis. </w:t>
            </w:r>
          </w:p>
          <w:p>
            <w:pPr>
              <w:keepNext w:val="0"/>
              <w:keepLines w:val="0"/>
              <w:widowControl w:val="0"/>
              <w:suppressLineNumbers w:val="0"/>
              <w:spacing w:before="0" w:beforeAutospacing="0" w:afterAutospacing="0"/>
              <w:ind w:left="0" w:right="0"/>
              <w:jc w:val="both"/>
              <w:rPr>
                <w:rFonts w:hint="default" w:ascii="Times New Roman" w:hAnsi="Times New Roman" w:cs="Times New Roman"/>
              </w:rPr>
            </w:pPr>
            <w:r>
              <w:rPr>
                <w:rFonts w:hint="default" w:ascii="Times New Roman" w:hAnsi="Times New Roman" w:eastAsia="宋体" w:cs="Times New Roman"/>
                <w:color w:val="231F20"/>
                <w:lang w:bidi="ar"/>
              </w:rPr>
              <w:t xml:space="preserve">Abbreviations: </w:t>
            </w:r>
            <w:r>
              <w:rPr>
                <w:rFonts w:hint="default" w:ascii="Times New Roman" w:hAnsi="Times New Roman" w:cs="Times New Roman"/>
              </w:rPr>
              <w:t xml:space="preserve">AMB: </w:t>
            </w:r>
            <w:r>
              <w:rPr>
                <w:rFonts w:hint="default" w:ascii="Times New Roman" w:hAnsi="Times New Roman" w:eastAsia="等线" w:cs="Times New Roman"/>
                <w:color w:val="000000"/>
              </w:rPr>
              <w:t>Amphotericin B</w:t>
            </w:r>
            <w:r>
              <w:rPr>
                <w:rFonts w:hint="default" w:ascii="Times New Roman" w:hAnsi="Times New Roman" w:cs="Times New Roman"/>
              </w:rPr>
              <w:t>; C</w:t>
            </w:r>
            <w:r>
              <w:rPr>
                <w:rFonts w:hint="default" w:ascii="Times New Roman" w:hAnsi="Times New Roman" w:eastAsia="等线" w:cs="Times New Roman"/>
                <w:color w:val="000000"/>
              </w:rPr>
              <w:t>AS: Caspofungin;</w:t>
            </w:r>
            <w:r>
              <w:rPr>
                <w:rFonts w:hint="default" w:ascii="Times New Roman" w:hAnsi="Times New Roman" w:cs="Times New Roman"/>
              </w:rPr>
              <w:t xml:space="preserve"> FCZ: Fluconazole;</w:t>
            </w:r>
            <w:r>
              <w:rPr>
                <w:rFonts w:hint="default" w:ascii="Times New Roman" w:hAnsi="Times New Roman" w:eastAsia="KsqycxAdvOTa9103878" w:cs="Times New Roman"/>
                <w:color w:val="231F20"/>
                <w:lang w:bidi="ar"/>
              </w:rPr>
              <w:t xml:space="preserve"> </w:t>
            </w:r>
            <w:r>
              <w:rPr>
                <w:rFonts w:hint="default" w:ascii="Times New Roman" w:hAnsi="Times New Roman" w:cs="Times New Roman"/>
              </w:rPr>
              <w:t xml:space="preserve">ICU: Intensive care units; MICA: </w:t>
            </w:r>
            <w:r>
              <w:rPr>
                <w:rFonts w:hint="default" w:ascii="Times New Roman" w:hAnsi="Times New Roman" w:eastAsia="等线" w:cs="Times New Roman"/>
                <w:color w:val="000000"/>
              </w:rPr>
              <w:t>Micafungin;</w:t>
            </w:r>
            <w:r>
              <w:rPr>
                <w:rFonts w:hint="default" w:ascii="Times New Roman" w:hAnsi="Times New Roman" w:cs="Times New Roman"/>
              </w:rPr>
              <w:t xml:space="preserve"> OR: Odds ratio; TPN: Total parenteral nutrition;</w:t>
            </w:r>
            <w:r>
              <w:rPr>
                <w:rFonts w:hint="default" w:ascii="Times New Roman" w:hAnsi="Times New Roman" w:eastAsia="等线" w:cs="Times New Roman"/>
                <w:color w:val="000000"/>
              </w:rPr>
              <w:t xml:space="preserve"> VCZ: Voriconazole.</w:t>
            </w:r>
          </w:p>
        </w:tc>
      </w:tr>
    </w:tbl>
    <w:p>
      <w:pPr>
        <w:rPr>
          <w:rFonts w:hint="default" w:ascii="Times New Roman" w:hAnsi="Times New Roman" w:cs="Times New Roman"/>
        </w:rPr>
      </w:pPr>
    </w:p>
    <w:p>
      <w:pPr>
        <w:pStyle w:val="3"/>
        <w:numPr>
          <w:ilvl w:val="1"/>
          <w:numId w:val="0"/>
        </w:numPr>
        <w:rPr>
          <w:rFonts w:hint="default" w:ascii="Times New Roman" w:hAnsi="Times New Roman" w:cs="Times New Roman"/>
        </w:rPr>
      </w:pPr>
      <w:r>
        <w:rPr>
          <w:rFonts w:hint="default" w:ascii="Times New Roman" w:hAnsi="Times New Roman" w:cs="Times New Roman"/>
        </w:rPr>
        <w:t>Supplementary table 6</w:t>
      </w:r>
    </w:p>
    <w:p>
      <w:pPr>
        <w:rPr>
          <w:rFonts w:hint="default" w:ascii="Times New Roman" w:hAnsi="Times New Roman" w:cs="Times New Roman"/>
        </w:rPr>
      </w:pPr>
      <w:r>
        <w:rPr>
          <w:rFonts w:hint="default" w:ascii="Times New Roman" w:hAnsi="Times New Roman" w:cs="Times New Roman"/>
        </w:rPr>
        <w:t>There were 31 patients in this studies who did not receive any systematic antifungal drugs and were not included when comparing the drug effectiveness. The details for these patients, including their infected sites and other local treatment are listed below.</w:t>
      </w:r>
    </w:p>
    <w:p>
      <w:pPr>
        <w:pStyle w:val="11"/>
        <w:rPr>
          <w:rFonts w:hint="default" w:ascii="Times New Roman" w:hAnsi="Times New Roman" w:eastAsia="宋体" w:cs="Times New Roman"/>
          <w:i w:val="0"/>
          <w:iCs w:val="0"/>
          <w:sz w:val="22"/>
          <w:szCs w:val="22"/>
        </w:rPr>
      </w:pPr>
      <w:r>
        <w:rPr>
          <w:rFonts w:hint="default" w:ascii="Times New Roman" w:hAnsi="Times New Roman" w:cs="Times New Roman"/>
          <w:b/>
          <w:bCs/>
          <w:i w:val="0"/>
          <w:iCs w:val="0"/>
          <w:sz w:val="22"/>
          <w:szCs w:val="22"/>
        </w:rPr>
        <w:t>Supplementary Table 6</w:t>
      </w:r>
      <w:r>
        <w:rPr>
          <w:rFonts w:hint="default" w:ascii="Times New Roman" w:hAnsi="Times New Roman" w:cs="Times New Roman"/>
          <w:i w:val="0"/>
          <w:iCs w:val="0"/>
          <w:sz w:val="22"/>
          <w:szCs w:val="22"/>
        </w:rPr>
        <w:t>. Information for patients who did not receive systematic antifungal drugs.</w:t>
      </w:r>
    </w:p>
    <w:tbl>
      <w:tblPr>
        <w:tblStyle w:val="20"/>
        <w:tblW w:w="0" w:type="auto"/>
        <w:tblInd w:w="0" w:type="dxa"/>
        <w:tblBorders>
          <w:top w:val="single" w:color="auto" w:sz="8"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354"/>
        <w:gridCol w:w="746"/>
        <w:gridCol w:w="4316"/>
        <w:gridCol w:w="774"/>
        <w:gridCol w:w="3545"/>
        <w:gridCol w:w="1729"/>
      </w:tblGrid>
      <w:tr>
        <w:tblPrEx>
          <w:tblBorders>
            <w:top w:val="single" w:color="auto" w:sz="8"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5" w:hRule="atLeast"/>
        </w:trPr>
        <w:tc>
          <w:tcPr>
            <w:tcW w:w="2354" w:type="dxa"/>
            <w:vMerge w:val="restart"/>
            <w:shd w:val="clear" w:color="auto" w:fill="F7CAAC" w:themeFill="accent2" w:themeFillTint="66"/>
          </w:tcPr>
          <w:p>
            <w:pPr>
              <w:keepNext w:val="0"/>
              <w:keepLines w:val="0"/>
              <w:widowControl/>
              <w:suppressLineNumbers w:val="0"/>
              <w:spacing w:before="0" w:beforeAutospacing="0" w:afterAutospacing="0"/>
              <w:ind w:left="0" w:right="0"/>
              <w:jc w:val="left"/>
              <w:rPr>
                <w:rFonts w:hint="default" w:ascii="Times New Roman" w:hAnsi="Times New Roman" w:eastAsia="宋体" w:cs="Times New Roman"/>
                <w:color w:val="231F20"/>
                <w:lang w:bidi="ar"/>
              </w:rPr>
            </w:pPr>
            <w:r>
              <w:rPr>
                <w:rFonts w:hint="default" w:ascii="Times New Roman" w:hAnsi="Times New Roman" w:eastAsia="宋体" w:cs="Times New Roman"/>
                <w:color w:val="231F20"/>
                <w:lang w:bidi="ar"/>
              </w:rPr>
              <w:t>Infected sites</w:t>
            </w:r>
          </w:p>
        </w:tc>
        <w:tc>
          <w:tcPr>
            <w:tcW w:w="5062" w:type="dxa"/>
            <w:gridSpan w:val="2"/>
            <w:tcBorders>
              <w:bottom w:val="single" w:color="auto" w:sz="8" w:space="0"/>
            </w:tcBorders>
            <w:shd w:val="clear" w:color="auto" w:fill="F7CAAC" w:themeFill="accent2" w:themeFillTint="66"/>
          </w:tcPr>
          <w:p>
            <w:pPr>
              <w:keepNext w:val="0"/>
              <w:keepLines w:val="0"/>
              <w:widowControl/>
              <w:suppressLineNumbers w:val="0"/>
              <w:spacing w:before="0" w:beforeAutospacing="0" w:afterAutospacing="0"/>
              <w:ind w:left="0" w:right="0"/>
              <w:jc w:val="center"/>
              <w:rPr>
                <w:rFonts w:hint="default" w:ascii="Times New Roman" w:hAnsi="Times New Roman" w:eastAsia="宋体" w:cs="Times New Roman"/>
                <w:color w:val="231F20"/>
                <w:lang w:bidi="ar"/>
              </w:rPr>
            </w:pPr>
            <w:r>
              <w:rPr>
                <w:rFonts w:hint="default" w:ascii="Times New Roman" w:hAnsi="Times New Roman" w:eastAsia="MinionPro-Regular" w:cs="Times New Roman"/>
                <w:color w:val="231F20"/>
                <w:lang w:bidi="ar"/>
              </w:rPr>
              <w:t>Survived</w:t>
            </w:r>
            <w:r>
              <w:rPr>
                <w:rFonts w:hint="default" w:ascii="Times New Roman" w:hAnsi="Times New Roman" w:eastAsia="宋体" w:cs="Times New Roman"/>
                <w:color w:val="231F20"/>
                <w:lang w:bidi="ar"/>
              </w:rPr>
              <w:t xml:space="preserve"> (n=20)</w:t>
            </w:r>
          </w:p>
        </w:tc>
        <w:tc>
          <w:tcPr>
            <w:tcW w:w="4319" w:type="dxa"/>
            <w:gridSpan w:val="2"/>
            <w:tcBorders>
              <w:bottom w:val="single" w:color="auto" w:sz="8" w:space="0"/>
            </w:tcBorders>
            <w:shd w:val="clear" w:color="auto" w:fill="F7CAAC" w:themeFill="accent2" w:themeFillTint="66"/>
          </w:tcPr>
          <w:p>
            <w:pPr>
              <w:keepNext w:val="0"/>
              <w:keepLines w:val="0"/>
              <w:widowControl/>
              <w:suppressLineNumbers w:val="0"/>
              <w:spacing w:before="0" w:beforeAutospacing="0" w:afterAutospacing="0"/>
              <w:ind w:left="0" w:right="0"/>
              <w:jc w:val="center"/>
              <w:rPr>
                <w:rFonts w:hint="default" w:ascii="Times New Roman" w:hAnsi="Times New Roman" w:eastAsia="宋体" w:cs="Times New Roman"/>
                <w:color w:val="231F20"/>
                <w:lang w:bidi="ar"/>
              </w:rPr>
            </w:pPr>
            <w:r>
              <w:rPr>
                <w:rFonts w:hint="default" w:ascii="Times New Roman" w:hAnsi="Times New Roman" w:eastAsia="MinionPro-Regular" w:cs="Times New Roman"/>
                <w:color w:val="231F20"/>
                <w:lang w:bidi="ar"/>
              </w:rPr>
              <w:t>Died</w:t>
            </w:r>
            <w:r>
              <w:rPr>
                <w:rFonts w:hint="default" w:ascii="Times New Roman" w:hAnsi="Times New Roman" w:eastAsia="宋体" w:cs="Times New Roman"/>
                <w:color w:val="231F20"/>
                <w:lang w:bidi="ar"/>
              </w:rPr>
              <w:t xml:space="preserve"> (n=8)</w:t>
            </w:r>
          </w:p>
        </w:tc>
        <w:tc>
          <w:tcPr>
            <w:tcW w:w="1729" w:type="dxa"/>
            <w:vMerge w:val="restart"/>
            <w:shd w:val="clear" w:color="auto" w:fill="F7CAAC" w:themeFill="accent2" w:themeFillTint="66"/>
          </w:tcPr>
          <w:p>
            <w:pPr>
              <w:keepNext w:val="0"/>
              <w:keepLines w:val="0"/>
              <w:widowControl/>
              <w:suppressLineNumbers w:val="0"/>
              <w:spacing w:before="0" w:beforeAutospacing="0" w:afterAutospacing="0"/>
              <w:ind w:left="0" w:right="0"/>
              <w:jc w:val="left"/>
              <w:rPr>
                <w:rFonts w:hint="default" w:ascii="Times New Roman" w:hAnsi="Times New Roman" w:eastAsia="宋体" w:cs="Times New Roman"/>
                <w:color w:val="231F20"/>
                <w:lang w:bidi="ar"/>
              </w:rPr>
            </w:pPr>
            <w:r>
              <w:rPr>
                <w:rFonts w:hint="default" w:ascii="Times New Roman" w:hAnsi="Times New Roman" w:eastAsia="MinionPro-Regular" w:cs="Times New Roman"/>
                <w:color w:val="231F20"/>
                <w:lang w:bidi="ar"/>
              </w:rPr>
              <w:t>Missing outcome</w:t>
            </w:r>
            <w:r>
              <w:rPr>
                <w:rFonts w:hint="default" w:ascii="Times New Roman" w:hAnsi="Times New Roman" w:eastAsia="宋体" w:cs="Times New Roman"/>
                <w:color w:val="231F20"/>
                <w:lang w:bidi="ar"/>
              </w:rPr>
              <w:t xml:space="preserve"> (n=3)</w:t>
            </w:r>
          </w:p>
        </w:tc>
      </w:tr>
      <w:tr>
        <w:tblPrEx>
          <w:tblBorders>
            <w:top w:val="single" w:color="auto" w:sz="8"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5" w:hRule="atLeast"/>
        </w:trPr>
        <w:tc>
          <w:tcPr>
            <w:tcW w:w="2354" w:type="dxa"/>
            <w:vMerge w:val="continue"/>
            <w:tcBorders>
              <w:bottom w:val="single" w:color="auto" w:sz="8" w:space="0"/>
            </w:tcBorders>
            <w:shd w:val="clear" w:color="auto" w:fill="F7CAAC" w:themeFill="accent2" w:themeFillTint="66"/>
          </w:tcPr>
          <w:p>
            <w:pPr>
              <w:keepNext w:val="0"/>
              <w:keepLines w:val="0"/>
              <w:widowControl/>
              <w:suppressLineNumbers w:val="0"/>
              <w:spacing w:before="0" w:beforeAutospacing="0" w:afterAutospacing="0"/>
              <w:ind w:left="0" w:right="0"/>
              <w:jc w:val="left"/>
              <w:rPr>
                <w:rFonts w:hint="default" w:ascii="Times New Roman" w:hAnsi="Times New Roman" w:eastAsia="MinionPro-Regular" w:cs="Times New Roman"/>
                <w:color w:val="231F20"/>
                <w:lang w:bidi="ar"/>
              </w:rPr>
            </w:pPr>
          </w:p>
        </w:tc>
        <w:tc>
          <w:tcPr>
            <w:tcW w:w="746" w:type="dxa"/>
            <w:tcBorders>
              <w:top w:val="single" w:color="auto" w:sz="8" w:space="0"/>
              <w:bottom w:val="single" w:color="auto" w:sz="8" w:space="0"/>
            </w:tcBorders>
            <w:shd w:val="clear" w:color="auto" w:fill="F7CAAC" w:themeFill="accent2" w:themeFillTint="66"/>
          </w:tcPr>
          <w:p>
            <w:pPr>
              <w:keepNext w:val="0"/>
              <w:keepLines w:val="0"/>
              <w:widowControl/>
              <w:suppressLineNumbers w:val="0"/>
              <w:spacing w:before="0" w:beforeAutospacing="0" w:afterAutospacing="0"/>
              <w:ind w:left="0" w:right="0"/>
              <w:jc w:val="left"/>
              <w:rPr>
                <w:rFonts w:hint="default" w:ascii="Times New Roman" w:hAnsi="Times New Roman" w:eastAsia="MinionPro-Regular" w:cs="Times New Roman"/>
                <w:color w:val="231F20"/>
                <w:lang w:bidi="ar"/>
              </w:rPr>
            </w:pPr>
            <w:r>
              <w:rPr>
                <w:rFonts w:hint="default" w:ascii="Times New Roman" w:hAnsi="Times New Roman" w:eastAsia="MinionPro-Regular" w:cs="Times New Roman"/>
                <w:color w:val="231F20"/>
                <w:lang w:bidi="ar"/>
              </w:rPr>
              <w:t>n</w:t>
            </w:r>
          </w:p>
        </w:tc>
        <w:tc>
          <w:tcPr>
            <w:tcW w:w="4316" w:type="dxa"/>
            <w:tcBorders>
              <w:top w:val="single" w:color="auto" w:sz="8" w:space="0"/>
              <w:bottom w:val="single" w:color="auto" w:sz="8" w:space="0"/>
            </w:tcBorders>
            <w:shd w:val="clear" w:color="auto" w:fill="F7CAAC" w:themeFill="accent2" w:themeFillTint="66"/>
          </w:tcPr>
          <w:p>
            <w:pPr>
              <w:keepNext w:val="0"/>
              <w:keepLines w:val="0"/>
              <w:widowControl/>
              <w:suppressLineNumbers w:val="0"/>
              <w:spacing w:before="0" w:beforeAutospacing="0" w:afterAutospacing="0"/>
              <w:ind w:left="0" w:right="0"/>
              <w:jc w:val="left"/>
              <w:rPr>
                <w:rFonts w:hint="default" w:ascii="Times New Roman" w:hAnsi="Times New Roman" w:eastAsia="MinionPro-Regular" w:cs="Times New Roman"/>
                <w:color w:val="231F20"/>
                <w:lang w:bidi="ar"/>
              </w:rPr>
            </w:pPr>
            <w:r>
              <w:rPr>
                <w:rFonts w:hint="default" w:ascii="Times New Roman" w:hAnsi="Times New Roman" w:eastAsia="MinionPro-Regular" w:cs="Times New Roman"/>
                <w:color w:val="231F20"/>
                <w:lang w:bidi="ar"/>
              </w:rPr>
              <w:t>comments</w:t>
            </w:r>
          </w:p>
        </w:tc>
        <w:tc>
          <w:tcPr>
            <w:tcW w:w="774" w:type="dxa"/>
            <w:tcBorders>
              <w:top w:val="single" w:color="auto" w:sz="8" w:space="0"/>
              <w:bottom w:val="single" w:color="auto" w:sz="8" w:space="0"/>
            </w:tcBorders>
            <w:shd w:val="clear" w:color="auto" w:fill="F7CAAC" w:themeFill="accent2" w:themeFillTint="66"/>
          </w:tcPr>
          <w:p>
            <w:pPr>
              <w:keepNext w:val="0"/>
              <w:keepLines w:val="0"/>
              <w:widowControl/>
              <w:suppressLineNumbers w:val="0"/>
              <w:spacing w:before="0" w:beforeAutospacing="0" w:afterAutospacing="0"/>
              <w:ind w:left="0" w:right="0"/>
              <w:jc w:val="left"/>
              <w:rPr>
                <w:rFonts w:hint="default" w:ascii="Times New Roman" w:hAnsi="Times New Roman" w:eastAsia="MinionPro-Regular" w:cs="Times New Roman"/>
                <w:color w:val="231F20"/>
                <w:lang w:bidi="ar"/>
              </w:rPr>
            </w:pPr>
            <w:r>
              <w:rPr>
                <w:rFonts w:hint="default" w:ascii="Times New Roman" w:hAnsi="Times New Roman" w:eastAsia="MinionPro-Regular" w:cs="Times New Roman"/>
                <w:color w:val="231F20"/>
                <w:lang w:bidi="ar"/>
              </w:rPr>
              <w:t>n</w:t>
            </w:r>
          </w:p>
        </w:tc>
        <w:tc>
          <w:tcPr>
            <w:tcW w:w="3545" w:type="dxa"/>
            <w:tcBorders>
              <w:top w:val="single" w:color="auto" w:sz="8" w:space="0"/>
              <w:bottom w:val="single" w:color="auto" w:sz="8" w:space="0"/>
            </w:tcBorders>
            <w:shd w:val="clear" w:color="auto" w:fill="F7CAAC" w:themeFill="accent2" w:themeFillTint="66"/>
          </w:tcPr>
          <w:p>
            <w:pPr>
              <w:keepNext w:val="0"/>
              <w:keepLines w:val="0"/>
              <w:widowControl/>
              <w:suppressLineNumbers w:val="0"/>
              <w:spacing w:before="0" w:beforeAutospacing="0" w:afterAutospacing="0"/>
              <w:ind w:left="0" w:right="0"/>
              <w:jc w:val="left"/>
              <w:rPr>
                <w:rFonts w:hint="default" w:ascii="Times New Roman" w:hAnsi="Times New Roman" w:eastAsia="MinionPro-Regular" w:cs="Times New Roman"/>
                <w:color w:val="231F20"/>
                <w:lang w:bidi="ar"/>
              </w:rPr>
            </w:pPr>
            <w:r>
              <w:rPr>
                <w:rFonts w:hint="default" w:ascii="Times New Roman" w:hAnsi="Times New Roman" w:eastAsia="MinionPro-Regular" w:cs="Times New Roman"/>
                <w:color w:val="231F20"/>
                <w:lang w:bidi="ar"/>
              </w:rPr>
              <w:t>comments</w:t>
            </w:r>
          </w:p>
        </w:tc>
        <w:tc>
          <w:tcPr>
            <w:tcW w:w="1729" w:type="dxa"/>
            <w:vMerge w:val="continue"/>
            <w:tcBorders>
              <w:bottom w:val="single" w:color="auto" w:sz="8" w:space="0"/>
            </w:tcBorders>
            <w:shd w:val="clear" w:color="auto" w:fill="F7CAAC" w:themeFill="accent2" w:themeFillTint="66"/>
          </w:tcPr>
          <w:p>
            <w:pPr>
              <w:keepNext w:val="0"/>
              <w:keepLines w:val="0"/>
              <w:widowControl/>
              <w:suppressLineNumbers w:val="0"/>
              <w:spacing w:before="0" w:beforeAutospacing="0" w:afterAutospacing="0"/>
              <w:ind w:left="0" w:right="0"/>
              <w:jc w:val="left"/>
              <w:rPr>
                <w:rFonts w:hint="default" w:ascii="Times New Roman" w:hAnsi="Times New Roman" w:eastAsia="MinionPro-Regular" w:cs="Times New Roman"/>
                <w:color w:val="231F20"/>
                <w:lang w:bidi="ar"/>
              </w:rPr>
            </w:pPr>
          </w:p>
        </w:tc>
      </w:tr>
      <w:tr>
        <w:tblPrEx>
          <w:tblBorders>
            <w:top w:val="single" w:color="auto" w:sz="8"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5" w:hRule="atLeast"/>
        </w:trPr>
        <w:tc>
          <w:tcPr>
            <w:tcW w:w="2354" w:type="dxa"/>
            <w:tcBorders>
              <w:top w:val="single" w:color="auto" w:sz="8" w:space="0"/>
            </w:tcBorders>
          </w:tcPr>
          <w:p>
            <w:pPr>
              <w:keepNext w:val="0"/>
              <w:keepLines w:val="0"/>
              <w:widowControl/>
              <w:suppressLineNumbers w:val="0"/>
              <w:spacing w:before="0" w:beforeAutospacing="0" w:afterAutospacing="0"/>
              <w:ind w:left="0" w:right="0"/>
              <w:jc w:val="left"/>
              <w:rPr>
                <w:rFonts w:hint="default" w:ascii="Times New Roman" w:hAnsi="Times New Roman" w:eastAsia="MinionPro-Regular" w:cs="Times New Roman"/>
                <w:color w:val="231F20"/>
                <w:lang w:bidi="ar"/>
              </w:rPr>
            </w:pPr>
            <w:r>
              <w:rPr>
                <w:rFonts w:hint="default" w:ascii="Times New Roman" w:hAnsi="Times New Roman" w:eastAsia="MinionPro-Regular" w:cs="Times New Roman"/>
                <w:color w:val="231F20"/>
                <w:lang w:bidi="ar"/>
              </w:rPr>
              <w:t>Blood related (n=15)</w:t>
            </w:r>
          </w:p>
        </w:tc>
        <w:tc>
          <w:tcPr>
            <w:tcW w:w="746" w:type="dxa"/>
            <w:tcBorders>
              <w:top w:val="single" w:color="auto" w:sz="8" w:space="0"/>
            </w:tcBorders>
          </w:tcPr>
          <w:p>
            <w:pPr>
              <w:keepNext w:val="0"/>
              <w:keepLines w:val="0"/>
              <w:widowControl/>
              <w:suppressLineNumbers w:val="0"/>
              <w:spacing w:before="0" w:beforeAutospacing="0" w:afterAutospacing="0"/>
              <w:ind w:left="0" w:right="0"/>
              <w:jc w:val="left"/>
              <w:rPr>
                <w:rFonts w:hint="default" w:ascii="Times New Roman" w:hAnsi="Times New Roman" w:eastAsia="MinionPro-Regular" w:cs="Times New Roman"/>
                <w:color w:val="231F20"/>
                <w:lang w:bidi="ar"/>
              </w:rPr>
            </w:pPr>
            <w:r>
              <w:rPr>
                <w:rFonts w:hint="default" w:ascii="Times New Roman" w:hAnsi="Times New Roman" w:eastAsia="MinionPro-Regular" w:cs="Times New Roman"/>
                <w:color w:val="231F20"/>
                <w:lang w:bidi="ar"/>
              </w:rPr>
              <w:t>10</w:t>
            </w:r>
          </w:p>
        </w:tc>
        <w:tc>
          <w:tcPr>
            <w:tcW w:w="4316" w:type="dxa"/>
            <w:tcBorders>
              <w:top w:val="single" w:color="auto" w:sz="8" w:space="0"/>
            </w:tcBorders>
          </w:tcPr>
          <w:p>
            <w:pPr>
              <w:keepNext w:val="0"/>
              <w:keepLines w:val="0"/>
              <w:widowControl/>
              <w:suppressLineNumbers w:val="0"/>
              <w:spacing w:before="0" w:beforeAutospacing="0" w:afterAutospacing="0"/>
              <w:ind w:left="0" w:right="0"/>
              <w:jc w:val="left"/>
              <w:rPr>
                <w:rFonts w:hint="default" w:ascii="Times New Roman" w:hAnsi="Times New Roman" w:eastAsia="MinionPro-Regular" w:cs="Times New Roman"/>
                <w:color w:val="231F20"/>
                <w:lang w:bidi="ar"/>
              </w:rPr>
            </w:pPr>
          </w:p>
        </w:tc>
        <w:tc>
          <w:tcPr>
            <w:tcW w:w="774" w:type="dxa"/>
            <w:tcBorders>
              <w:top w:val="single" w:color="auto" w:sz="8" w:space="0"/>
            </w:tcBorders>
          </w:tcPr>
          <w:p>
            <w:pPr>
              <w:keepNext w:val="0"/>
              <w:keepLines w:val="0"/>
              <w:widowControl/>
              <w:suppressLineNumbers w:val="0"/>
              <w:spacing w:before="0" w:beforeAutospacing="0" w:afterAutospacing="0"/>
              <w:ind w:left="0" w:right="0"/>
              <w:jc w:val="left"/>
              <w:rPr>
                <w:rFonts w:hint="default" w:ascii="Times New Roman" w:hAnsi="Times New Roman" w:eastAsia="MinionPro-Regular" w:cs="Times New Roman"/>
                <w:color w:val="231F20"/>
                <w:lang w:bidi="ar"/>
              </w:rPr>
            </w:pPr>
            <w:r>
              <w:rPr>
                <w:rFonts w:hint="default" w:ascii="Times New Roman" w:hAnsi="Times New Roman" w:eastAsia="MinionPro-Regular" w:cs="Times New Roman"/>
                <w:color w:val="231F20"/>
                <w:lang w:bidi="ar"/>
              </w:rPr>
              <w:t>4</w:t>
            </w:r>
          </w:p>
        </w:tc>
        <w:tc>
          <w:tcPr>
            <w:tcW w:w="3545" w:type="dxa"/>
            <w:tcBorders>
              <w:top w:val="single" w:color="auto" w:sz="8" w:space="0"/>
            </w:tcBorders>
          </w:tcPr>
          <w:p>
            <w:pPr>
              <w:keepNext w:val="0"/>
              <w:keepLines w:val="0"/>
              <w:widowControl/>
              <w:suppressLineNumbers w:val="0"/>
              <w:spacing w:before="0" w:beforeAutospacing="0" w:afterAutospacing="0"/>
              <w:ind w:left="0" w:right="0"/>
              <w:jc w:val="left"/>
              <w:rPr>
                <w:rFonts w:hint="default" w:ascii="Times New Roman" w:hAnsi="Times New Roman" w:eastAsia="MinionPro-Regular" w:cs="Times New Roman"/>
                <w:color w:val="231F20"/>
                <w:lang w:bidi="ar"/>
              </w:rPr>
            </w:pPr>
          </w:p>
        </w:tc>
        <w:tc>
          <w:tcPr>
            <w:tcW w:w="1729" w:type="dxa"/>
            <w:tcBorders>
              <w:top w:val="single" w:color="auto" w:sz="8" w:space="0"/>
            </w:tcBorders>
          </w:tcPr>
          <w:p>
            <w:pPr>
              <w:keepNext w:val="0"/>
              <w:keepLines w:val="0"/>
              <w:widowControl/>
              <w:suppressLineNumbers w:val="0"/>
              <w:spacing w:before="0" w:beforeAutospacing="0" w:afterAutospacing="0"/>
              <w:ind w:left="0" w:right="0"/>
              <w:jc w:val="left"/>
              <w:rPr>
                <w:rFonts w:hint="default" w:ascii="Times New Roman" w:hAnsi="Times New Roman" w:eastAsia="MinionPro-Regular" w:cs="Times New Roman"/>
                <w:color w:val="231F20"/>
                <w:lang w:bidi="ar"/>
              </w:rPr>
            </w:pPr>
            <w:r>
              <w:rPr>
                <w:rFonts w:hint="default" w:ascii="Times New Roman" w:hAnsi="Times New Roman" w:eastAsia="MinionPro-Regular" w:cs="Times New Roman"/>
                <w:color w:val="231F20"/>
                <w:lang w:bidi="ar"/>
              </w:rPr>
              <w:t>1</w:t>
            </w:r>
          </w:p>
        </w:tc>
      </w:tr>
      <w:tr>
        <w:tblPrEx>
          <w:tblBorders>
            <w:top w:val="single" w:color="auto" w:sz="8"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07" w:hRule="atLeast"/>
        </w:trPr>
        <w:tc>
          <w:tcPr>
            <w:tcW w:w="2354" w:type="dxa"/>
          </w:tcPr>
          <w:p>
            <w:pPr>
              <w:keepNext w:val="0"/>
              <w:keepLines w:val="0"/>
              <w:widowControl/>
              <w:suppressLineNumbers w:val="0"/>
              <w:spacing w:before="0" w:beforeAutospacing="0" w:afterAutospacing="0"/>
              <w:ind w:left="220" w:leftChars="100" w:right="0"/>
              <w:jc w:val="left"/>
              <w:rPr>
                <w:rFonts w:hint="default" w:ascii="Times New Roman" w:hAnsi="Times New Roman" w:eastAsia="MinionPro-Regular" w:cs="Times New Roman"/>
                <w:color w:val="231F20"/>
                <w:lang w:bidi="ar"/>
              </w:rPr>
            </w:pPr>
            <w:r>
              <w:rPr>
                <w:rFonts w:hint="default" w:ascii="Times New Roman" w:hAnsi="Times New Roman" w:eastAsia="MinionPro-Regular" w:cs="Times New Roman"/>
                <w:color w:val="231F20"/>
                <w:lang w:bidi="ar"/>
              </w:rPr>
              <w:t>Blood (n=10)</w:t>
            </w:r>
          </w:p>
        </w:tc>
        <w:tc>
          <w:tcPr>
            <w:tcW w:w="746" w:type="dxa"/>
          </w:tcPr>
          <w:p>
            <w:pPr>
              <w:keepNext w:val="0"/>
              <w:keepLines w:val="0"/>
              <w:widowControl/>
              <w:suppressLineNumbers w:val="0"/>
              <w:spacing w:before="0" w:beforeAutospacing="0" w:afterAutospacing="0"/>
              <w:ind w:left="0" w:right="0"/>
              <w:jc w:val="left"/>
              <w:rPr>
                <w:rFonts w:hint="default" w:ascii="Times New Roman" w:hAnsi="Times New Roman" w:eastAsia="MinionPro-Regular" w:cs="Times New Roman"/>
                <w:color w:val="231F20"/>
                <w:lang w:bidi="ar"/>
              </w:rPr>
            </w:pPr>
            <w:r>
              <w:rPr>
                <w:rFonts w:hint="default" w:ascii="Times New Roman" w:hAnsi="Times New Roman" w:eastAsia="MinionPro-Regular" w:cs="Times New Roman"/>
                <w:color w:val="231F20"/>
                <w:lang w:bidi="ar"/>
              </w:rPr>
              <w:t>6</w:t>
            </w:r>
          </w:p>
        </w:tc>
        <w:tc>
          <w:tcPr>
            <w:tcW w:w="4316" w:type="dxa"/>
          </w:tcPr>
          <w:p>
            <w:pPr>
              <w:keepNext w:val="0"/>
              <w:keepLines w:val="0"/>
              <w:widowControl/>
              <w:numPr>
                <w:ilvl w:val="0"/>
                <w:numId w:val="2"/>
              </w:numPr>
              <w:suppressLineNumbers w:val="0"/>
              <w:spacing w:before="0" w:beforeAutospacing="0" w:afterAutospacing="0"/>
              <w:ind w:left="0" w:right="0"/>
              <w:jc w:val="left"/>
              <w:rPr>
                <w:rFonts w:hint="default" w:ascii="Times New Roman" w:hAnsi="Times New Roman" w:eastAsia="MinionPro-Regular" w:cs="Times New Roman"/>
                <w:color w:val="231F20"/>
                <w:lang w:bidi="ar"/>
              </w:rPr>
            </w:pPr>
            <w:r>
              <w:rPr>
                <w:rFonts w:hint="default" w:ascii="Times New Roman" w:hAnsi="Times New Roman" w:eastAsia="宋体" w:cs="Times New Roman"/>
                <w:color w:val="231F20"/>
                <w:lang w:bidi="ar"/>
              </w:rPr>
              <w:t>One patient acquired candidemia after surgery and recovered after changing a CVC.</w:t>
            </w:r>
            <w:r>
              <w:rPr>
                <w:rFonts w:hint="default" w:ascii="Times New Roman" w:hAnsi="Times New Roman" w:eastAsia="MinionPro-Regular" w:cs="Times New Roman"/>
                <w:color w:val="231F20"/>
                <w:lang w:bidi="ar"/>
              </w:rPr>
              <w:t xml:space="preserve"> </w:t>
            </w:r>
          </w:p>
          <w:p>
            <w:pPr>
              <w:keepNext w:val="0"/>
              <w:keepLines w:val="0"/>
              <w:widowControl/>
              <w:suppressLineNumbers w:val="0"/>
              <w:spacing w:before="0" w:beforeAutospacing="0" w:afterAutospacing="0"/>
              <w:ind w:left="0" w:right="0"/>
              <w:jc w:val="left"/>
              <w:rPr>
                <w:rFonts w:hint="default" w:ascii="Times New Roman" w:hAnsi="Times New Roman" w:eastAsia="宋体" w:cs="Times New Roman"/>
                <w:color w:val="231F20"/>
                <w:lang w:bidi="ar"/>
              </w:rPr>
            </w:pPr>
            <w:r>
              <w:rPr>
                <w:rFonts w:hint="default" w:ascii="Times New Roman" w:hAnsi="Times New Roman" w:eastAsia="宋体" w:cs="Times New Roman"/>
                <w:color w:val="231F20"/>
                <w:lang w:bidi="ar"/>
              </w:rPr>
              <w:t>2-4. Three patients acquired candidemia after surgery (two of the three received toe amputation for diabetic foot). However, no clinical abnormality was recorded in relation to fungal sepsis.</w:t>
            </w:r>
          </w:p>
          <w:p>
            <w:pPr>
              <w:keepNext w:val="0"/>
              <w:keepLines w:val="0"/>
              <w:widowControl/>
              <w:suppressLineNumbers w:val="0"/>
              <w:spacing w:before="0" w:beforeAutospacing="0" w:afterAutospacing="0"/>
              <w:ind w:left="0" w:right="0"/>
              <w:jc w:val="left"/>
              <w:rPr>
                <w:rFonts w:hint="default" w:ascii="Times New Roman" w:hAnsi="Times New Roman" w:eastAsia="宋体" w:cs="Times New Roman"/>
                <w:color w:val="231F20"/>
                <w:lang w:bidi="ar"/>
              </w:rPr>
            </w:pPr>
            <w:r>
              <w:rPr>
                <w:rFonts w:hint="default" w:ascii="Times New Roman" w:hAnsi="Times New Roman" w:eastAsia="宋体" w:cs="Times New Roman"/>
                <w:color w:val="231F20"/>
                <w:lang w:bidi="ar"/>
              </w:rPr>
              <w:t>5. One patient re-admitted for renal</w:t>
            </w:r>
            <w:r>
              <w:rPr>
                <w:rFonts w:hint="default" w:ascii="Times New Roman" w:hAnsi="Times New Roman" w:eastAsia="MinionPro-Regular" w:cs="Times New Roman"/>
                <w:color w:val="231F20"/>
                <w:lang w:bidi="ar"/>
              </w:rPr>
              <w:t xml:space="preserve"> abscess 20 days later</w:t>
            </w:r>
            <w:r>
              <w:rPr>
                <w:rFonts w:hint="default" w:ascii="Times New Roman" w:hAnsi="Times New Roman" w:eastAsia="宋体" w:cs="Times New Roman"/>
                <w:color w:val="231F20"/>
                <w:lang w:bidi="ar"/>
              </w:rPr>
              <w:t xml:space="preserve">, but culture for the abscess was negative for </w:t>
            </w:r>
            <w:r>
              <w:rPr>
                <w:rFonts w:hint="default" w:ascii="Times New Roman" w:hAnsi="Times New Roman" w:eastAsia="宋体" w:cs="Times New Roman"/>
                <w:i/>
                <w:iCs/>
                <w:color w:val="231F20"/>
                <w:lang w:bidi="ar"/>
              </w:rPr>
              <w:t xml:space="preserve">Candida </w:t>
            </w:r>
            <w:r>
              <w:rPr>
                <w:rFonts w:hint="default" w:ascii="Times New Roman" w:hAnsi="Times New Roman" w:eastAsia="宋体" w:cs="Times New Roman"/>
                <w:color w:val="231F20"/>
                <w:lang w:bidi="ar"/>
              </w:rPr>
              <w:t>species.</w:t>
            </w:r>
          </w:p>
          <w:p>
            <w:pPr>
              <w:keepNext w:val="0"/>
              <w:keepLines w:val="0"/>
              <w:widowControl/>
              <w:suppressLineNumbers w:val="0"/>
              <w:spacing w:before="0" w:beforeAutospacing="0" w:afterAutospacing="0"/>
              <w:ind w:left="0" w:right="0"/>
              <w:jc w:val="left"/>
              <w:rPr>
                <w:rFonts w:hint="default" w:ascii="Times New Roman" w:hAnsi="Times New Roman" w:eastAsia="宋体" w:cs="Times New Roman"/>
                <w:color w:val="231F20"/>
                <w:lang w:bidi="ar"/>
              </w:rPr>
            </w:pPr>
            <w:r>
              <w:rPr>
                <w:rFonts w:hint="default" w:ascii="Times New Roman" w:hAnsi="Times New Roman" w:eastAsia="宋体" w:cs="Times New Roman"/>
                <w:color w:val="231F20"/>
                <w:lang w:bidi="ar"/>
              </w:rPr>
              <w:t>6. One patient was considered as a</w:t>
            </w:r>
            <w:r>
              <w:rPr>
                <w:rFonts w:hint="default" w:ascii="Times New Roman" w:hAnsi="Times New Roman" w:eastAsia="MinionPro-Regular" w:cs="Times New Roman"/>
                <w:color w:val="231F20"/>
                <w:lang w:bidi="ar"/>
              </w:rPr>
              <w:t>cute abdomen</w:t>
            </w:r>
            <w:r>
              <w:rPr>
                <w:rFonts w:hint="default" w:ascii="Times New Roman" w:hAnsi="Times New Roman" w:eastAsia="宋体" w:cs="Times New Roman"/>
                <w:color w:val="231F20"/>
                <w:lang w:bidi="ar"/>
              </w:rPr>
              <w:t xml:space="preserve"> induced candidemia</w:t>
            </w:r>
            <w:r>
              <w:rPr>
                <w:rFonts w:hint="default" w:ascii="Times New Roman" w:hAnsi="Times New Roman" w:eastAsia="MinionPro-Regular" w:cs="Times New Roman"/>
                <w:color w:val="231F20"/>
                <w:lang w:bidi="ar"/>
              </w:rPr>
              <w:t xml:space="preserve"> </w:t>
            </w:r>
            <w:r>
              <w:rPr>
                <w:rFonts w:hint="default" w:ascii="Times New Roman" w:hAnsi="Times New Roman" w:eastAsia="宋体" w:cs="Times New Roman"/>
                <w:color w:val="231F20"/>
                <w:lang w:bidi="ar"/>
              </w:rPr>
              <w:t xml:space="preserve">and </w:t>
            </w:r>
            <w:r>
              <w:rPr>
                <w:rFonts w:hint="default" w:ascii="Times New Roman" w:hAnsi="Times New Roman" w:eastAsia="MinionPro-Regular" w:cs="Times New Roman"/>
                <w:color w:val="231F20"/>
                <w:lang w:bidi="ar"/>
              </w:rPr>
              <w:t>recovered after surgery</w:t>
            </w:r>
            <w:r>
              <w:rPr>
                <w:rFonts w:hint="default" w:ascii="Times New Roman" w:hAnsi="Times New Roman" w:eastAsia="宋体" w:cs="Times New Roman"/>
                <w:color w:val="231F20"/>
                <w:lang w:bidi="ar"/>
              </w:rPr>
              <w:t>.</w:t>
            </w:r>
          </w:p>
        </w:tc>
        <w:tc>
          <w:tcPr>
            <w:tcW w:w="774" w:type="dxa"/>
          </w:tcPr>
          <w:p>
            <w:pPr>
              <w:keepNext w:val="0"/>
              <w:keepLines w:val="0"/>
              <w:widowControl/>
              <w:suppressLineNumbers w:val="0"/>
              <w:spacing w:before="0" w:beforeAutospacing="0" w:afterAutospacing="0"/>
              <w:ind w:left="0" w:right="0"/>
              <w:jc w:val="left"/>
              <w:rPr>
                <w:rFonts w:hint="default" w:ascii="Times New Roman" w:hAnsi="Times New Roman" w:eastAsia="MinionPro-Regular" w:cs="Times New Roman"/>
                <w:color w:val="231F20"/>
                <w:lang w:bidi="ar"/>
              </w:rPr>
            </w:pPr>
            <w:r>
              <w:rPr>
                <w:rFonts w:hint="default" w:ascii="Times New Roman" w:hAnsi="Times New Roman" w:eastAsia="MinionPro-Regular" w:cs="Times New Roman"/>
                <w:color w:val="231F20"/>
                <w:lang w:bidi="ar"/>
              </w:rPr>
              <w:t>3</w:t>
            </w:r>
          </w:p>
        </w:tc>
        <w:tc>
          <w:tcPr>
            <w:tcW w:w="3545" w:type="dxa"/>
          </w:tcPr>
          <w:p>
            <w:pPr>
              <w:keepNext w:val="0"/>
              <w:keepLines w:val="0"/>
              <w:widowControl/>
              <w:suppressLineNumbers w:val="0"/>
              <w:spacing w:before="0" w:beforeAutospacing="0" w:afterAutospacing="0"/>
              <w:ind w:left="0" w:right="0"/>
              <w:jc w:val="left"/>
              <w:rPr>
                <w:rFonts w:hint="default" w:ascii="Times New Roman" w:hAnsi="Times New Roman" w:eastAsia="宋体" w:cs="Times New Roman"/>
                <w:color w:val="231F20"/>
                <w:lang w:bidi="ar"/>
              </w:rPr>
            </w:pPr>
            <w:r>
              <w:rPr>
                <w:rFonts w:hint="default" w:ascii="Times New Roman" w:hAnsi="Times New Roman" w:eastAsia="宋体" w:cs="Times New Roman"/>
                <w:color w:val="231F20"/>
                <w:lang w:bidi="ar"/>
              </w:rPr>
              <w:t>1-2. Two patients gave up and both died four days later;</w:t>
            </w:r>
          </w:p>
          <w:p>
            <w:pPr>
              <w:keepNext w:val="0"/>
              <w:keepLines w:val="0"/>
              <w:widowControl/>
              <w:suppressLineNumbers w:val="0"/>
              <w:spacing w:before="0" w:beforeAutospacing="0" w:afterAutospacing="0"/>
              <w:ind w:left="0" w:right="0"/>
              <w:jc w:val="left"/>
              <w:rPr>
                <w:rFonts w:hint="default" w:ascii="Times New Roman" w:hAnsi="Times New Roman" w:eastAsia="宋体" w:cs="Times New Roman"/>
                <w:color w:val="231F20"/>
                <w:lang w:bidi="ar"/>
              </w:rPr>
            </w:pPr>
            <w:r>
              <w:rPr>
                <w:rFonts w:hint="default" w:ascii="Times New Roman" w:hAnsi="Times New Roman" w:eastAsia="宋体" w:cs="Times New Roman"/>
                <w:color w:val="231F20"/>
                <w:lang w:bidi="ar"/>
              </w:rPr>
              <w:t xml:space="preserve">3. One patient </w:t>
            </w:r>
            <w:r>
              <w:rPr>
                <w:rFonts w:hint="default" w:ascii="Times New Roman" w:hAnsi="Times New Roman" w:eastAsia="MinionPro-Regular" w:cs="Times New Roman"/>
                <w:color w:val="231F20"/>
                <w:lang w:bidi="ar"/>
              </w:rPr>
              <w:t xml:space="preserve">died on the day </w:t>
            </w:r>
            <w:r>
              <w:rPr>
                <w:rFonts w:hint="default" w:ascii="Times New Roman" w:hAnsi="Times New Roman" w:eastAsia="宋体" w:cs="Times New Roman"/>
                <w:color w:val="231F20"/>
                <w:lang w:bidi="ar"/>
              </w:rPr>
              <w:t>when the culture result was obtained one day later.</w:t>
            </w:r>
          </w:p>
        </w:tc>
        <w:tc>
          <w:tcPr>
            <w:tcW w:w="1729" w:type="dxa"/>
          </w:tcPr>
          <w:p>
            <w:pPr>
              <w:keepNext w:val="0"/>
              <w:keepLines w:val="0"/>
              <w:widowControl/>
              <w:suppressLineNumbers w:val="0"/>
              <w:spacing w:before="0" w:beforeAutospacing="0" w:afterAutospacing="0"/>
              <w:ind w:left="0" w:right="0"/>
              <w:jc w:val="left"/>
              <w:rPr>
                <w:rFonts w:hint="default" w:ascii="Times New Roman" w:hAnsi="Times New Roman" w:eastAsia="MinionPro-Regular" w:cs="Times New Roman"/>
                <w:color w:val="231F20"/>
                <w:lang w:bidi="ar"/>
              </w:rPr>
            </w:pPr>
            <w:r>
              <w:rPr>
                <w:rFonts w:hint="default" w:ascii="Times New Roman" w:hAnsi="Times New Roman" w:eastAsia="MinionPro-Regular" w:cs="Times New Roman"/>
                <w:color w:val="231F20"/>
                <w:lang w:bidi="ar"/>
              </w:rPr>
              <w:t>1</w:t>
            </w:r>
          </w:p>
        </w:tc>
      </w:tr>
      <w:tr>
        <w:tblPrEx>
          <w:tblBorders>
            <w:top w:val="single" w:color="auto" w:sz="8"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8" w:hRule="atLeast"/>
        </w:trPr>
        <w:tc>
          <w:tcPr>
            <w:tcW w:w="2354" w:type="dxa"/>
          </w:tcPr>
          <w:p>
            <w:pPr>
              <w:keepNext w:val="0"/>
              <w:keepLines w:val="0"/>
              <w:widowControl/>
              <w:suppressLineNumbers w:val="0"/>
              <w:spacing w:before="0" w:beforeAutospacing="0" w:afterAutospacing="0"/>
              <w:ind w:left="220" w:leftChars="100" w:right="0"/>
              <w:jc w:val="left"/>
              <w:rPr>
                <w:rFonts w:hint="default" w:ascii="Times New Roman" w:hAnsi="Times New Roman" w:eastAsia="MinionPro-Regular" w:cs="Times New Roman"/>
                <w:color w:val="231F20"/>
                <w:lang w:bidi="ar"/>
              </w:rPr>
            </w:pPr>
            <w:r>
              <w:rPr>
                <w:rFonts w:hint="default" w:ascii="Times New Roman" w:hAnsi="Times New Roman" w:eastAsia="MinionPro-Regular" w:cs="Times New Roman"/>
                <w:color w:val="231F20"/>
                <w:lang w:bidi="ar"/>
              </w:rPr>
              <w:t>CVC (n=1)</w:t>
            </w:r>
          </w:p>
        </w:tc>
        <w:tc>
          <w:tcPr>
            <w:tcW w:w="746" w:type="dxa"/>
          </w:tcPr>
          <w:p>
            <w:pPr>
              <w:keepNext w:val="0"/>
              <w:keepLines w:val="0"/>
              <w:widowControl/>
              <w:suppressLineNumbers w:val="0"/>
              <w:spacing w:before="0" w:beforeAutospacing="0" w:afterAutospacing="0"/>
              <w:ind w:left="0" w:right="0"/>
              <w:jc w:val="left"/>
              <w:rPr>
                <w:rFonts w:hint="default" w:ascii="Times New Roman" w:hAnsi="Times New Roman" w:eastAsia="MinionPro-Regular" w:cs="Times New Roman"/>
                <w:color w:val="231F20"/>
                <w:lang w:bidi="ar"/>
              </w:rPr>
            </w:pPr>
            <w:r>
              <w:rPr>
                <w:rFonts w:hint="default" w:ascii="Times New Roman" w:hAnsi="Times New Roman" w:eastAsia="MinionPro-Regular" w:cs="Times New Roman"/>
                <w:color w:val="231F20"/>
                <w:lang w:bidi="ar"/>
              </w:rPr>
              <w:t>1</w:t>
            </w:r>
          </w:p>
        </w:tc>
        <w:tc>
          <w:tcPr>
            <w:tcW w:w="4316" w:type="dxa"/>
          </w:tcPr>
          <w:p>
            <w:pPr>
              <w:keepNext w:val="0"/>
              <w:keepLines w:val="0"/>
              <w:widowControl/>
              <w:numPr>
                <w:ilvl w:val="0"/>
                <w:numId w:val="3"/>
              </w:numPr>
              <w:suppressLineNumbers w:val="0"/>
              <w:spacing w:before="0" w:beforeAutospacing="0" w:afterAutospacing="0"/>
              <w:ind w:left="0" w:right="0"/>
              <w:jc w:val="left"/>
              <w:rPr>
                <w:rFonts w:hint="default" w:ascii="Times New Roman" w:hAnsi="Times New Roman" w:eastAsia="宋体" w:cs="Times New Roman"/>
                <w:color w:val="231F20"/>
                <w:lang w:bidi="ar"/>
              </w:rPr>
            </w:pPr>
            <w:r>
              <w:rPr>
                <w:rFonts w:hint="default" w:ascii="Times New Roman" w:hAnsi="Times New Roman" w:eastAsia="宋体" w:cs="Times New Roman"/>
                <w:color w:val="231F20"/>
                <w:lang w:bidi="ar"/>
              </w:rPr>
              <w:t>The infection was h</w:t>
            </w:r>
            <w:r>
              <w:rPr>
                <w:rFonts w:hint="default" w:ascii="Times New Roman" w:hAnsi="Times New Roman" w:eastAsia="MinionPro-Regular" w:cs="Times New Roman"/>
                <w:color w:val="231F20"/>
                <w:lang w:bidi="ar"/>
              </w:rPr>
              <w:t>ematodialysis-related</w:t>
            </w:r>
            <w:r>
              <w:rPr>
                <w:rFonts w:hint="default" w:ascii="Times New Roman" w:hAnsi="Times New Roman" w:eastAsia="宋体" w:cs="Times New Roman"/>
                <w:color w:val="231F20"/>
                <w:lang w:bidi="ar"/>
              </w:rPr>
              <w:t xml:space="preserve"> and was cured by extubation.</w:t>
            </w:r>
          </w:p>
        </w:tc>
        <w:tc>
          <w:tcPr>
            <w:tcW w:w="774" w:type="dxa"/>
          </w:tcPr>
          <w:p>
            <w:pPr>
              <w:keepNext w:val="0"/>
              <w:keepLines w:val="0"/>
              <w:widowControl/>
              <w:suppressLineNumbers w:val="0"/>
              <w:spacing w:before="0" w:beforeAutospacing="0" w:afterAutospacing="0"/>
              <w:ind w:left="0" w:right="0"/>
              <w:jc w:val="left"/>
              <w:rPr>
                <w:rFonts w:hint="default" w:ascii="Times New Roman" w:hAnsi="Times New Roman" w:eastAsia="MinionPro-Regular" w:cs="Times New Roman"/>
                <w:color w:val="231F20"/>
                <w:lang w:bidi="ar"/>
              </w:rPr>
            </w:pPr>
            <w:r>
              <w:rPr>
                <w:rFonts w:hint="default" w:ascii="Times New Roman" w:hAnsi="Times New Roman" w:eastAsia="MinionPro-Regular" w:cs="Times New Roman"/>
                <w:color w:val="231F20"/>
                <w:lang w:bidi="ar"/>
              </w:rPr>
              <w:t>0</w:t>
            </w:r>
          </w:p>
        </w:tc>
        <w:tc>
          <w:tcPr>
            <w:tcW w:w="3545" w:type="dxa"/>
          </w:tcPr>
          <w:p>
            <w:pPr>
              <w:keepNext w:val="0"/>
              <w:keepLines w:val="0"/>
              <w:widowControl/>
              <w:suppressLineNumbers w:val="0"/>
              <w:spacing w:before="0" w:beforeAutospacing="0" w:afterAutospacing="0"/>
              <w:ind w:left="0" w:right="0"/>
              <w:jc w:val="left"/>
              <w:rPr>
                <w:rFonts w:hint="default" w:ascii="Times New Roman" w:hAnsi="Times New Roman" w:eastAsia="MinionPro-Regular" w:cs="Times New Roman"/>
                <w:color w:val="231F20"/>
                <w:lang w:bidi="ar"/>
              </w:rPr>
            </w:pPr>
          </w:p>
        </w:tc>
        <w:tc>
          <w:tcPr>
            <w:tcW w:w="1729" w:type="dxa"/>
          </w:tcPr>
          <w:p>
            <w:pPr>
              <w:keepNext w:val="0"/>
              <w:keepLines w:val="0"/>
              <w:widowControl/>
              <w:suppressLineNumbers w:val="0"/>
              <w:spacing w:before="0" w:beforeAutospacing="0" w:afterAutospacing="0"/>
              <w:ind w:left="0" w:right="0"/>
              <w:jc w:val="left"/>
              <w:rPr>
                <w:rFonts w:hint="default" w:ascii="Times New Roman" w:hAnsi="Times New Roman" w:eastAsia="宋体" w:cs="Times New Roman"/>
                <w:color w:val="231F20"/>
                <w:lang w:bidi="ar"/>
              </w:rPr>
            </w:pPr>
            <w:r>
              <w:rPr>
                <w:rFonts w:hint="default" w:ascii="Times New Roman" w:hAnsi="Times New Roman" w:eastAsia="宋体" w:cs="Times New Roman"/>
                <w:color w:val="231F20"/>
                <w:lang w:bidi="ar"/>
              </w:rPr>
              <w:t>0</w:t>
            </w:r>
          </w:p>
        </w:tc>
      </w:tr>
      <w:tr>
        <w:tblPrEx>
          <w:tblBorders>
            <w:top w:val="single" w:color="auto" w:sz="8"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2354" w:type="dxa"/>
          </w:tcPr>
          <w:p>
            <w:pPr>
              <w:keepNext w:val="0"/>
              <w:keepLines w:val="0"/>
              <w:widowControl/>
              <w:suppressLineNumbers w:val="0"/>
              <w:spacing w:before="0" w:beforeAutospacing="0" w:afterAutospacing="0"/>
              <w:ind w:left="220" w:leftChars="100" w:right="0"/>
              <w:jc w:val="left"/>
              <w:rPr>
                <w:rFonts w:hint="default" w:ascii="Times New Roman" w:hAnsi="Times New Roman" w:eastAsia="MinionPro-Regular" w:cs="Times New Roman"/>
                <w:color w:val="231F20"/>
                <w:lang w:bidi="ar"/>
              </w:rPr>
            </w:pPr>
            <w:r>
              <w:rPr>
                <w:rFonts w:hint="default" w:ascii="Times New Roman" w:hAnsi="Times New Roman" w:eastAsia="MinionPro-Regular" w:cs="Times New Roman"/>
                <w:color w:val="231F20"/>
                <w:lang w:bidi="ar"/>
              </w:rPr>
              <w:t>Blood+CVC (n=4)</w:t>
            </w:r>
          </w:p>
        </w:tc>
        <w:tc>
          <w:tcPr>
            <w:tcW w:w="746" w:type="dxa"/>
          </w:tcPr>
          <w:p>
            <w:pPr>
              <w:keepNext w:val="0"/>
              <w:keepLines w:val="0"/>
              <w:widowControl/>
              <w:suppressLineNumbers w:val="0"/>
              <w:spacing w:before="0" w:beforeAutospacing="0" w:afterAutospacing="0"/>
              <w:ind w:left="0" w:right="0"/>
              <w:jc w:val="left"/>
              <w:rPr>
                <w:rFonts w:hint="default" w:ascii="Times New Roman" w:hAnsi="Times New Roman" w:eastAsia="MinionPro-Regular" w:cs="Times New Roman"/>
                <w:color w:val="231F20"/>
                <w:lang w:bidi="ar"/>
              </w:rPr>
            </w:pPr>
            <w:r>
              <w:rPr>
                <w:rFonts w:hint="default" w:ascii="Times New Roman" w:hAnsi="Times New Roman" w:eastAsia="MinionPro-Regular" w:cs="Times New Roman"/>
                <w:color w:val="231F20"/>
                <w:lang w:bidi="ar"/>
              </w:rPr>
              <w:t>3</w:t>
            </w:r>
          </w:p>
        </w:tc>
        <w:tc>
          <w:tcPr>
            <w:tcW w:w="4316" w:type="dxa"/>
          </w:tcPr>
          <w:p>
            <w:pPr>
              <w:keepNext w:val="0"/>
              <w:keepLines w:val="0"/>
              <w:widowControl/>
              <w:suppressLineNumbers w:val="0"/>
              <w:spacing w:before="0" w:beforeAutospacing="0" w:afterAutospacing="0"/>
              <w:ind w:left="0" w:right="0"/>
              <w:jc w:val="left"/>
              <w:rPr>
                <w:rFonts w:hint="default" w:ascii="Times New Roman" w:hAnsi="Times New Roman" w:eastAsia="MinionPro-Regular" w:cs="Times New Roman"/>
                <w:color w:val="231F20"/>
                <w:lang w:bidi="ar"/>
              </w:rPr>
            </w:pPr>
            <w:r>
              <w:rPr>
                <w:rFonts w:hint="default" w:ascii="Times New Roman" w:hAnsi="Times New Roman" w:eastAsia="宋体" w:cs="Times New Roman"/>
                <w:color w:val="231F20"/>
                <w:lang w:bidi="ar"/>
              </w:rPr>
              <w:t>1-3. Three patients acquired candidemia after surgery and recovered after extubation.</w:t>
            </w:r>
          </w:p>
        </w:tc>
        <w:tc>
          <w:tcPr>
            <w:tcW w:w="774" w:type="dxa"/>
          </w:tcPr>
          <w:p>
            <w:pPr>
              <w:keepNext w:val="0"/>
              <w:keepLines w:val="0"/>
              <w:widowControl/>
              <w:suppressLineNumbers w:val="0"/>
              <w:spacing w:before="0" w:beforeAutospacing="0" w:afterAutospacing="0"/>
              <w:ind w:left="0" w:right="0"/>
              <w:jc w:val="left"/>
              <w:rPr>
                <w:rFonts w:hint="default" w:ascii="Times New Roman" w:hAnsi="Times New Roman" w:eastAsia="MinionPro-Regular" w:cs="Times New Roman"/>
                <w:color w:val="231F20"/>
                <w:lang w:bidi="ar"/>
              </w:rPr>
            </w:pPr>
            <w:r>
              <w:rPr>
                <w:rFonts w:hint="default" w:ascii="Times New Roman" w:hAnsi="Times New Roman" w:eastAsia="MinionPro-Regular" w:cs="Times New Roman"/>
                <w:color w:val="231F20"/>
                <w:lang w:bidi="ar"/>
              </w:rPr>
              <w:t>1</w:t>
            </w:r>
          </w:p>
        </w:tc>
        <w:tc>
          <w:tcPr>
            <w:tcW w:w="3545" w:type="dxa"/>
          </w:tcPr>
          <w:p>
            <w:pPr>
              <w:keepNext w:val="0"/>
              <w:keepLines w:val="0"/>
              <w:widowControl/>
              <w:suppressLineNumbers w:val="0"/>
              <w:spacing w:before="0" w:beforeAutospacing="0" w:afterAutospacing="0"/>
              <w:ind w:left="0" w:right="0"/>
              <w:jc w:val="left"/>
              <w:rPr>
                <w:rFonts w:hint="default" w:ascii="Times New Roman" w:hAnsi="Times New Roman" w:eastAsia="宋体" w:cs="Times New Roman"/>
                <w:color w:val="231F20"/>
                <w:lang w:bidi="ar"/>
              </w:rPr>
            </w:pPr>
            <w:r>
              <w:rPr>
                <w:rFonts w:hint="default" w:ascii="Times New Roman" w:hAnsi="Times New Roman" w:eastAsia="宋体" w:cs="Times New Roman"/>
                <w:color w:val="231F20"/>
                <w:lang w:bidi="ar"/>
              </w:rPr>
              <w:t>1. One patient gave up and died 18 days later;</w:t>
            </w:r>
          </w:p>
        </w:tc>
        <w:tc>
          <w:tcPr>
            <w:tcW w:w="1729" w:type="dxa"/>
          </w:tcPr>
          <w:p>
            <w:pPr>
              <w:keepNext w:val="0"/>
              <w:keepLines w:val="0"/>
              <w:widowControl/>
              <w:suppressLineNumbers w:val="0"/>
              <w:spacing w:before="0" w:beforeAutospacing="0" w:afterAutospacing="0"/>
              <w:ind w:left="0" w:right="0"/>
              <w:jc w:val="left"/>
              <w:rPr>
                <w:rFonts w:hint="default" w:ascii="Times New Roman" w:hAnsi="Times New Roman" w:eastAsia="宋体" w:cs="Times New Roman"/>
                <w:color w:val="231F20"/>
                <w:lang w:bidi="ar"/>
              </w:rPr>
            </w:pPr>
            <w:r>
              <w:rPr>
                <w:rFonts w:hint="default" w:ascii="Times New Roman" w:hAnsi="Times New Roman" w:eastAsia="宋体" w:cs="Times New Roman"/>
                <w:color w:val="231F20"/>
                <w:lang w:bidi="ar"/>
              </w:rPr>
              <w:t>0</w:t>
            </w:r>
          </w:p>
        </w:tc>
      </w:tr>
      <w:tr>
        <w:tblPrEx>
          <w:tblBorders>
            <w:top w:val="single" w:color="auto" w:sz="8"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8" w:hRule="atLeast"/>
        </w:trPr>
        <w:tc>
          <w:tcPr>
            <w:tcW w:w="2354" w:type="dxa"/>
            <w:shd w:val="clear" w:color="auto" w:fill="FBE5D6" w:themeFill="accent2" w:themeFillTint="32"/>
          </w:tcPr>
          <w:p>
            <w:pPr>
              <w:keepNext w:val="0"/>
              <w:keepLines w:val="0"/>
              <w:widowControl/>
              <w:suppressLineNumbers w:val="0"/>
              <w:spacing w:before="0" w:beforeAutospacing="0" w:afterAutospacing="0"/>
              <w:ind w:left="0" w:right="0"/>
              <w:jc w:val="left"/>
              <w:rPr>
                <w:rFonts w:hint="default" w:ascii="Times New Roman" w:hAnsi="Times New Roman" w:eastAsia="MinionPro-Regular" w:cs="Times New Roman"/>
                <w:color w:val="231F20"/>
                <w:lang w:bidi="ar"/>
              </w:rPr>
            </w:pPr>
            <w:r>
              <w:rPr>
                <w:rFonts w:hint="default" w:ascii="Times New Roman" w:hAnsi="Times New Roman" w:eastAsia="MinionPro-Regular" w:cs="Times New Roman"/>
                <w:color w:val="231F20"/>
                <w:lang w:bidi="ar"/>
              </w:rPr>
              <w:t>Drains (n=10)</w:t>
            </w:r>
          </w:p>
        </w:tc>
        <w:tc>
          <w:tcPr>
            <w:tcW w:w="746" w:type="dxa"/>
            <w:shd w:val="clear" w:color="auto" w:fill="FBE5D6" w:themeFill="accent2" w:themeFillTint="32"/>
          </w:tcPr>
          <w:p>
            <w:pPr>
              <w:keepNext w:val="0"/>
              <w:keepLines w:val="0"/>
              <w:widowControl/>
              <w:suppressLineNumbers w:val="0"/>
              <w:spacing w:before="0" w:beforeAutospacing="0" w:afterAutospacing="0"/>
              <w:ind w:left="0" w:right="0"/>
              <w:jc w:val="left"/>
              <w:rPr>
                <w:rFonts w:hint="default" w:ascii="Times New Roman" w:hAnsi="Times New Roman" w:eastAsia="宋体" w:cs="Times New Roman"/>
                <w:color w:val="231F20"/>
                <w:lang w:bidi="ar"/>
              </w:rPr>
            </w:pPr>
            <w:r>
              <w:rPr>
                <w:rFonts w:hint="default" w:ascii="Times New Roman" w:hAnsi="Times New Roman" w:eastAsia="宋体" w:cs="Times New Roman"/>
                <w:color w:val="231F20"/>
                <w:lang w:bidi="ar"/>
              </w:rPr>
              <w:t>6</w:t>
            </w:r>
          </w:p>
        </w:tc>
        <w:tc>
          <w:tcPr>
            <w:tcW w:w="4316" w:type="dxa"/>
            <w:shd w:val="clear" w:color="auto" w:fill="FBE5D6" w:themeFill="accent2" w:themeFillTint="32"/>
          </w:tcPr>
          <w:p>
            <w:pPr>
              <w:keepNext w:val="0"/>
              <w:keepLines w:val="0"/>
              <w:widowControl/>
              <w:suppressLineNumbers w:val="0"/>
              <w:spacing w:before="0" w:beforeAutospacing="0" w:afterAutospacing="0"/>
              <w:ind w:left="0" w:right="0"/>
              <w:jc w:val="left"/>
              <w:rPr>
                <w:rFonts w:hint="default" w:ascii="Times New Roman" w:hAnsi="Times New Roman" w:eastAsia="MinionPro-Regular" w:cs="Times New Roman"/>
                <w:color w:val="231F20"/>
                <w:lang w:bidi="ar"/>
              </w:rPr>
            </w:pPr>
          </w:p>
        </w:tc>
        <w:tc>
          <w:tcPr>
            <w:tcW w:w="774" w:type="dxa"/>
            <w:shd w:val="clear" w:color="auto" w:fill="FBE5D6" w:themeFill="accent2" w:themeFillTint="32"/>
          </w:tcPr>
          <w:p>
            <w:pPr>
              <w:keepNext w:val="0"/>
              <w:keepLines w:val="0"/>
              <w:widowControl/>
              <w:suppressLineNumbers w:val="0"/>
              <w:spacing w:before="0" w:beforeAutospacing="0" w:afterAutospacing="0"/>
              <w:ind w:left="0" w:right="0"/>
              <w:jc w:val="left"/>
              <w:rPr>
                <w:rFonts w:hint="default" w:ascii="Times New Roman" w:hAnsi="Times New Roman" w:eastAsia="MinionPro-Regular" w:cs="Times New Roman"/>
                <w:color w:val="231F20"/>
                <w:lang w:bidi="ar"/>
              </w:rPr>
            </w:pPr>
            <w:r>
              <w:rPr>
                <w:rFonts w:hint="default" w:ascii="Times New Roman" w:hAnsi="Times New Roman" w:eastAsia="MinionPro-Regular" w:cs="Times New Roman"/>
                <w:color w:val="231F20"/>
                <w:lang w:bidi="ar"/>
              </w:rPr>
              <w:t>3</w:t>
            </w:r>
          </w:p>
        </w:tc>
        <w:tc>
          <w:tcPr>
            <w:tcW w:w="3545" w:type="dxa"/>
            <w:shd w:val="clear" w:color="auto" w:fill="FBE5D6" w:themeFill="accent2" w:themeFillTint="32"/>
          </w:tcPr>
          <w:p>
            <w:pPr>
              <w:keepNext w:val="0"/>
              <w:keepLines w:val="0"/>
              <w:widowControl/>
              <w:suppressLineNumbers w:val="0"/>
              <w:spacing w:before="0" w:beforeAutospacing="0" w:afterAutospacing="0"/>
              <w:ind w:left="0" w:right="0"/>
              <w:jc w:val="left"/>
              <w:rPr>
                <w:rFonts w:hint="default" w:ascii="Times New Roman" w:hAnsi="Times New Roman" w:eastAsia="MinionPro-Regular" w:cs="Times New Roman"/>
                <w:color w:val="231F20"/>
                <w:lang w:bidi="ar"/>
              </w:rPr>
            </w:pPr>
          </w:p>
        </w:tc>
        <w:tc>
          <w:tcPr>
            <w:tcW w:w="1729" w:type="dxa"/>
            <w:shd w:val="clear" w:color="auto" w:fill="FBE5D6" w:themeFill="accent2" w:themeFillTint="32"/>
          </w:tcPr>
          <w:p>
            <w:pPr>
              <w:keepNext w:val="0"/>
              <w:keepLines w:val="0"/>
              <w:widowControl/>
              <w:suppressLineNumbers w:val="0"/>
              <w:spacing w:before="0" w:beforeAutospacing="0" w:afterAutospacing="0"/>
              <w:ind w:left="0" w:right="0"/>
              <w:jc w:val="left"/>
              <w:rPr>
                <w:rFonts w:hint="default" w:ascii="Times New Roman" w:hAnsi="Times New Roman" w:eastAsia="MinionPro-Regular" w:cs="Times New Roman"/>
                <w:color w:val="231F20"/>
                <w:lang w:bidi="ar"/>
              </w:rPr>
            </w:pPr>
            <w:r>
              <w:rPr>
                <w:rFonts w:hint="default" w:ascii="Times New Roman" w:hAnsi="Times New Roman" w:eastAsia="MinionPro-Regular" w:cs="Times New Roman"/>
                <w:color w:val="231F20"/>
                <w:lang w:bidi="ar"/>
              </w:rPr>
              <w:t>1</w:t>
            </w:r>
          </w:p>
        </w:tc>
      </w:tr>
      <w:tr>
        <w:tblPrEx>
          <w:tblBorders>
            <w:top w:val="single" w:color="auto" w:sz="8"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2" w:hRule="atLeast"/>
        </w:trPr>
        <w:tc>
          <w:tcPr>
            <w:tcW w:w="2354" w:type="dxa"/>
            <w:shd w:val="clear" w:color="auto" w:fill="FBE5D6" w:themeFill="accent2" w:themeFillTint="32"/>
          </w:tcPr>
          <w:p>
            <w:pPr>
              <w:keepNext w:val="0"/>
              <w:keepLines w:val="0"/>
              <w:widowControl/>
              <w:suppressLineNumbers w:val="0"/>
              <w:spacing w:before="0" w:beforeAutospacing="0" w:afterAutospacing="0"/>
              <w:ind w:left="220" w:leftChars="100" w:right="0"/>
              <w:jc w:val="left"/>
              <w:rPr>
                <w:rFonts w:hint="default" w:ascii="Times New Roman" w:hAnsi="Times New Roman" w:eastAsia="MinionPro-Regular" w:cs="Times New Roman"/>
                <w:color w:val="231F20"/>
                <w:lang w:bidi="ar"/>
              </w:rPr>
            </w:pPr>
            <w:r>
              <w:rPr>
                <w:rFonts w:hint="default" w:ascii="Times New Roman" w:hAnsi="Times New Roman" w:eastAsia="MinionPro-Regular" w:cs="Times New Roman"/>
                <w:color w:val="231F20"/>
                <w:lang w:bidi="ar"/>
              </w:rPr>
              <w:t>Drainage after surgery (n=5)</w:t>
            </w:r>
          </w:p>
        </w:tc>
        <w:tc>
          <w:tcPr>
            <w:tcW w:w="746" w:type="dxa"/>
            <w:shd w:val="clear" w:color="auto" w:fill="FBE5D6" w:themeFill="accent2" w:themeFillTint="32"/>
          </w:tcPr>
          <w:p>
            <w:pPr>
              <w:keepNext w:val="0"/>
              <w:keepLines w:val="0"/>
              <w:widowControl/>
              <w:suppressLineNumbers w:val="0"/>
              <w:spacing w:before="0" w:beforeAutospacing="0" w:afterAutospacing="0"/>
              <w:ind w:left="0" w:right="0"/>
              <w:jc w:val="left"/>
              <w:rPr>
                <w:rFonts w:hint="default" w:ascii="Times New Roman" w:hAnsi="Times New Roman" w:eastAsia="MinionPro-Regular" w:cs="Times New Roman"/>
                <w:color w:val="231F20"/>
                <w:lang w:bidi="ar"/>
              </w:rPr>
            </w:pPr>
            <w:r>
              <w:rPr>
                <w:rFonts w:hint="default" w:ascii="Times New Roman" w:hAnsi="Times New Roman" w:eastAsia="MinionPro-Regular" w:cs="Times New Roman"/>
                <w:color w:val="231F20"/>
                <w:lang w:bidi="ar"/>
              </w:rPr>
              <w:t>4</w:t>
            </w:r>
          </w:p>
        </w:tc>
        <w:tc>
          <w:tcPr>
            <w:tcW w:w="4316" w:type="dxa"/>
            <w:shd w:val="clear" w:color="auto" w:fill="FBE5D6" w:themeFill="accent2" w:themeFillTint="32"/>
          </w:tcPr>
          <w:p>
            <w:pPr>
              <w:keepNext w:val="0"/>
              <w:keepLines w:val="0"/>
              <w:widowControl/>
              <w:suppressLineNumbers w:val="0"/>
              <w:spacing w:before="0" w:beforeAutospacing="0" w:afterAutospacing="0"/>
              <w:ind w:left="0" w:right="0"/>
              <w:jc w:val="left"/>
              <w:rPr>
                <w:rFonts w:hint="default" w:ascii="Times New Roman" w:hAnsi="Times New Roman" w:eastAsia="宋体" w:cs="Times New Roman"/>
                <w:color w:val="231F20"/>
                <w:lang w:bidi="ar"/>
              </w:rPr>
            </w:pPr>
            <w:r>
              <w:rPr>
                <w:rFonts w:hint="default" w:ascii="Times New Roman" w:hAnsi="Times New Roman" w:eastAsia="宋体" w:cs="Times New Roman"/>
                <w:color w:val="231F20"/>
                <w:lang w:bidi="ar"/>
              </w:rPr>
              <w:t>1-2. No clinical abnormality was recorded in these two patients regarding the intra-abdominal IC.</w:t>
            </w:r>
          </w:p>
          <w:p>
            <w:pPr>
              <w:keepNext w:val="0"/>
              <w:keepLines w:val="0"/>
              <w:widowControl/>
              <w:suppressLineNumbers w:val="0"/>
              <w:spacing w:before="0" w:beforeAutospacing="0" w:afterAutospacing="0"/>
              <w:ind w:left="0" w:right="0"/>
              <w:jc w:val="left"/>
              <w:rPr>
                <w:rFonts w:hint="default" w:ascii="Times New Roman" w:hAnsi="Times New Roman" w:eastAsia="宋体" w:cs="Times New Roman"/>
                <w:color w:val="231F20"/>
                <w:lang w:bidi="ar"/>
              </w:rPr>
            </w:pPr>
            <w:r>
              <w:rPr>
                <w:rFonts w:hint="default" w:ascii="Times New Roman" w:hAnsi="Times New Roman" w:eastAsia="宋体" w:cs="Times New Roman"/>
                <w:color w:val="231F20"/>
                <w:lang w:bidi="ar"/>
              </w:rPr>
              <w:t>3-4. Two patients with acute abdomen</w:t>
            </w:r>
            <w:r>
              <w:rPr>
                <w:rFonts w:hint="default" w:ascii="Times New Roman" w:hAnsi="Times New Roman" w:eastAsia="MinionPro-Regular" w:cs="Times New Roman"/>
                <w:color w:val="231F20"/>
                <w:lang w:bidi="ar"/>
              </w:rPr>
              <w:t xml:space="preserve"> (one perforation</w:t>
            </w:r>
            <w:r>
              <w:rPr>
                <w:rFonts w:hint="default" w:ascii="Times New Roman" w:hAnsi="Times New Roman" w:eastAsia="宋体" w:cs="Times New Roman"/>
                <w:color w:val="231F20"/>
                <w:lang w:bidi="ar"/>
              </w:rPr>
              <w:t xml:space="preserve"> and</w:t>
            </w:r>
            <w:r>
              <w:rPr>
                <w:rFonts w:hint="default" w:ascii="Times New Roman" w:hAnsi="Times New Roman" w:eastAsia="MinionPro-Regular" w:cs="Times New Roman"/>
                <w:color w:val="231F20"/>
                <w:lang w:bidi="ar"/>
              </w:rPr>
              <w:t xml:space="preserve"> one ileus)</w:t>
            </w:r>
            <w:r>
              <w:rPr>
                <w:rFonts w:hint="default" w:ascii="Times New Roman" w:hAnsi="Times New Roman" w:eastAsia="宋体" w:cs="Times New Roman"/>
                <w:color w:val="231F20"/>
                <w:lang w:bidi="ar"/>
              </w:rPr>
              <w:t xml:space="preserve"> </w:t>
            </w:r>
            <w:r>
              <w:rPr>
                <w:rFonts w:hint="default" w:ascii="Times New Roman" w:hAnsi="Times New Roman" w:eastAsia="MinionPro-Regular" w:cs="Times New Roman"/>
                <w:color w:val="231F20"/>
                <w:lang w:bidi="ar"/>
              </w:rPr>
              <w:t>recovered after surgery</w:t>
            </w:r>
            <w:r>
              <w:rPr>
                <w:rFonts w:hint="default" w:ascii="Times New Roman" w:hAnsi="Times New Roman" w:eastAsia="宋体" w:cs="Times New Roman"/>
                <w:color w:val="231F20"/>
                <w:lang w:bidi="ar"/>
              </w:rPr>
              <w:t>.</w:t>
            </w:r>
          </w:p>
        </w:tc>
        <w:tc>
          <w:tcPr>
            <w:tcW w:w="774" w:type="dxa"/>
            <w:shd w:val="clear" w:color="auto" w:fill="FBE5D6" w:themeFill="accent2" w:themeFillTint="32"/>
          </w:tcPr>
          <w:p>
            <w:pPr>
              <w:keepNext w:val="0"/>
              <w:keepLines w:val="0"/>
              <w:widowControl/>
              <w:suppressLineNumbers w:val="0"/>
              <w:spacing w:before="0" w:beforeAutospacing="0" w:afterAutospacing="0"/>
              <w:ind w:left="0" w:right="0"/>
              <w:jc w:val="left"/>
              <w:rPr>
                <w:rFonts w:hint="default" w:ascii="Times New Roman" w:hAnsi="Times New Roman" w:eastAsia="MinionPro-Regular" w:cs="Times New Roman"/>
                <w:color w:val="231F20"/>
                <w:lang w:bidi="ar"/>
              </w:rPr>
            </w:pPr>
            <w:r>
              <w:rPr>
                <w:rFonts w:hint="default" w:ascii="Times New Roman" w:hAnsi="Times New Roman" w:eastAsia="MinionPro-Regular" w:cs="Times New Roman"/>
                <w:color w:val="231F20"/>
                <w:lang w:bidi="ar"/>
              </w:rPr>
              <w:t>0</w:t>
            </w:r>
          </w:p>
        </w:tc>
        <w:tc>
          <w:tcPr>
            <w:tcW w:w="3545" w:type="dxa"/>
            <w:shd w:val="clear" w:color="auto" w:fill="FBE5D6" w:themeFill="accent2" w:themeFillTint="32"/>
          </w:tcPr>
          <w:p>
            <w:pPr>
              <w:keepNext w:val="0"/>
              <w:keepLines w:val="0"/>
              <w:widowControl/>
              <w:suppressLineNumbers w:val="0"/>
              <w:spacing w:before="0" w:beforeAutospacing="0" w:afterAutospacing="0"/>
              <w:ind w:left="0" w:right="0"/>
              <w:jc w:val="left"/>
              <w:rPr>
                <w:rFonts w:hint="default" w:ascii="Times New Roman" w:hAnsi="Times New Roman" w:eastAsia="MinionPro-Regular" w:cs="Times New Roman"/>
                <w:color w:val="231F20"/>
                <w:lang w:bidi="ar"/>
              </w:rPr>
            </w:pPr>
          </w:p>
        </w:tc>
        <w:tc>
          <w:tcPr>
            <w:tcW w:w="1729" w:type="dxa"/>
            <w:shd w:val="clear" w:color="auto" w:fill="FBE5D6" w:themeFill="accent2" w:themeFillTint="32"/>
          </w:tcPr>
          <w:p>
            <w:pPr>
              <w:keepNext w:val="0"/>
              <w:keepLines w:val="0"/>
              <w:widowControl/>
              <w:suppressLineNumbers w:val="0"/>
              <w:spacing w:before="0" w:beforeAutospacing="0" w:afterAutospacing="0"/>
              <w:ind w:left="0" w:right="0"/>
              <w:jc w:val="left"/>
              <w:rPr>
                <w:rFonts w:hint="default" w:ascii="Times New Roman" w:hAnsi="Times New Roman" w:eastAsia="MinionPro-Regular" w:cs="Times New Roman"/>
                <w:color w:val="231F20"/>
                <w:lang w:bidi="ar"/>
              </w:rPr>
            </w:pPr>
            <w:r>
              <w:rPr>
                <w:rFonts w:hint="default" w:ascii="Times New Roman" w:hAnsi="Times New Roman" w:eastAsia="MinionPro-Regular" w:cs="Times New Roman"/>
                <w:color w:val="231F20"/>
                <w:lang w:bidi="ar"/>
              </w:rPr>
              <w:t>1</w:t>
            </w:r>
          </w:p>
        </w:tc>
      </w:tr>
      <w:tr>
        <w:tblPrEx>
          <w:tblBorders>
            <w:top w:val="single" w:color="auto" w:sz="8"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86" w:hRule="atLeast"/>
        </w:trPr>
        <w:tc>
          <w:tcPr>
            <w:tcW w:w="2354" w:type="dxa"/>
            <w:shd w:val="clear" w:color="auto" w:fill="FBE5D6" w:themeFill="accent2" w:themeFillTint="32"/>
          </w:tcPr>
          <w:p>
            <w:pPr>
              <w:keepNext w:val="0"/>
              <w:keepLines w:val="0"/>
              <w:widowControl/>
              <w:suppressLineNumbers w:val="0"/>
              <w:spacing w:before="0" w:beforeAutospacing="0" w:afterAutospacing="0"/>
              <w:ind w:left="220" w:leftChars="100" w:right="0"/>
              <w:jc w:val="left"/>
              <w:rPr>
                <w:rFonts w:hint="default" w:ascii="Times New Roman" w:hAnsi="Times New Roman" w:eastAsia="MinionPro-Regular" w:cs="Times New Roman"/>
                <w:color w:val="231F20"/>
                <w:lang w:bidi="ar"/>
              </w:rPr>
            </w:pPr>
            <w:r>
              <w:rPr>
                <w:rFonts w:hint="default" w:ascii="Times New Roman" w:hAnsi="Times New Roman" w:eastAsia="MinionPro-Regular" w:cs="Times New Roman"/>
                <w:color w:val="231F20"/>
                <w:lang w:bidi="ar"/>
              </w:rPr>
              <w:t>Abscess (n=3)</w:t>
            </w:r>
          </w:p>
        </w:tc>
        <w:tc>
          <w:tcPr>
            <w:tcW w:w="746" w:type="dxa"/>
            <w:shd w:val="clear" w:color="auto" w:fill="FBE5D6" w:themeFill="accent2" w:themeFillTint="32"/>
          </w:tcPr>
          <w:p>
            <w:pPr>
              <w:keepNext w:val="0"/>
              <w:keepLines w:val="0"/>
              <w:widowControl/>
              <w:suppressLineNumbers w:val="0"/>
              <w:spacing w:before="0" w:beforeAutospacing="0" w:afterAutospacing="0"/>
              <w:ind w:left="0" w:right="0"/>
              <w:jc w:val="left"/>
              <w:rPr>
                <w:rFonts w:hint="default" w:ascii="Times New Roman" w:hAnsi="Times New Roman" w:eastAsia="MinionPro-Regular" w:cs="Times New Roman"/>
                <w:color w:val="231F20"/>
                <w:lang w:bidi="ar"/>
              </w:rPr>
            </w:pPr>
            <w:r>
              <w:rPr>
                <w:rFonts w:hint="default" w:ascii="Times New Roman" w:hAnsi="Times New Roman" w:eastAsia="MinionPro-Regular" w:cs="Times New Roman"/>
                <w:color w:val="231F20"/>
                <w:lang w:bidi="ar"/>
              </w:rPr>
              <w:t>1</w:t>
            </w:r>
          </w:p>
        </w:tc>
        <w:tc>
          <w:tcPr>
            <w:tcW w:w="4316" w:type="dxa"/>
            <w:shd w:val="clear" w:color="auto" w:fill="FBE5D6" w:themeFill="accent2" w:themeFillTint="32"/>
          </w:tcPr>
          <w:p>
            <w:pPr>
              <w:keepNext w:val="0"/>
              <w:keepLines w:val="0"/>
              <w:widowControl/>
              <w:numPr>
                <w:ilvl w:val="0"/>
                <w:numId w:val="4"/>
              </w:numPr>
              <w:suppressLineNumbers w:val="0"/>
              <w:spacing w:before="0" w:beforeAutospacing="0" w:afterAutospacing="0"/>
              <w:ind w:left="0" w:right="0"/>
              <w:jc w:val="left"/>
              <w:rPr>
                <w:rFonts w:hint="default" w:ascii="Times New Roman" w:hAnsi="Times New Roman" w:eastAsia="MinionPro-Regular" w:cs="Times New Roman"/>
                <w:color w:val="231F20"/>
                <w:lang w:bidi="ar"/>
              </w:rPr>
            </w:pPr>
            <w:r>
              <w:rPr>
                <w:rFonts w:hint="default" w:ascii="Times New Roman" w:hAnsi="Times New Roman" w:eastAsia="宋体" w:cs="Times New Roman"/>
                <w:color w:val="231F20"/>
                <w:lang w:bidi="ar"/>
              </w:rPr>
              <w:t>One patient with an</w:t>
            </w:r>
            <w:r>
              <w:rPr>
                <w:rFonts w:hint="default" w:ascii="Times New Roman" w:hAnsi="Times New Roman" w:eastAsia="MinionPro-Regular" w:cs="Times New Roman"/>
                <w:color w:val="231F20"/>
                <w:lang w:bidi="ar"/>
              </w:rPr>
              <w:t xml:space="preserve"> abdominal abscess recovered after</w:t>
            </w:r>
            <w:r>
              <w:rPr>
                <w:rFonts w:hint="default" w:ascii="Times New Roman" w:hAnsi="Times New Roman" w:eastAsia="宋体" w:cs="Times New Roman"/>
                <w:color w:val="231F20"/>
                <w:lang w:bidi="ar"/>
              </w:rPr>
              <w:t xml:space="preserve"> effective</w:t>
            </w:r>
            <w:r>
              <w:rPr>
                <w:rFonts w:hint="default" w:ascii="Times New Roman" w:hAnsi="Times New Roman" w:eastAsia="MinionPro-Regular" w:cs="Times New Roman"/>
                <w:color w:val="231F20"/>
                <w:lang w:bidi="ar"/>
              </w:rPr>
              <w:t xml:space="preserve"> drainage</w:t>
            </w:r>
            <w:r>
              <w:rPr>
                <w:rFonts w:hint="default" w:ascii="Times New Roman" w:hAnsi="Times New Roman" w:eastAsia="宋体" w:cs="Times New Roman"/>
                <w:color w:val="231F20"/>
                <w:lang w:bidi="ar"/>
              </w:rPr>
              <w:t>.</w:t>
            </w:r>
          </w:p>
        </w:tc>
        <w:tc>
          <w:tcPr>
            <w:tcW w:w="774" w:type="dxa"/>
            <w:shd w:val="clear" w:color="auto" w:fill="FBE5D6" w:themeFill="accent2" w:themeFillTint="32"/>
          </w:tcPr>
          <w:p>
            <w:pPr>
              <w:keepNext w:val="0"/>
              <w:keepLines w:val="0"/>
              <w:widowControl/>
              <w:suppressLineNumbers w:val="0"/>
              <w:spacing w:before="0" w:beforeAutospacing="0" w:afterAutospacing="0"/>
              <w:ind w:left="0" w:right="0"/>
              <w:jc w:val="left"/>
              <w:rPr>
                <w:rFonts w:hint="default" w:ascii="Times New Roman" w:hAnsi="Times New Roman" w:eastAsia="MinionPro-Regular" w:cs="Times New Roman"/>
                <w:color w:val="231F20"/>
                <w:lang w:bidi="ar"/>
              </w:rPr>
            </w:pPr>
            <w:r>
              <w:rPr>
                <w:rFonts w:hint="default" w:ascii="Times New Roman" w:hAnsi="Times New Roman" w:eastAsia="MinionPro-Regular" w:cs="Times New Roman"/>
                <w:color w:val="231F20"/>
                <w:lang w:bidi="ar"/>
              </w:rPr>
              <w:t>2</w:t>
            </w:r>
          </w:p>
        </w:tc>
        <w:tc>
          <w:tcPr>
            <w:tcW w:w="3545" w:type="dxa"/>
            <w:shd w:val="clear" w:color="auto" w:fill="FBE5D6" w:themeFill="accent2" w:themeFillTint="32"/>
          </w:tcPr>
          <w:p>
            <w:pPr>
              <w:keepNext w:val="0"/>
              <w:keepLines w:val="0"/>
              <w:widowControl/>
              <w:numPr>
                <w:ilvl w:val="0"/>
                <w:numId w:val="5"/>
              </w:numPr>
              <w:suppressLineNumbers w:val="0"/>
              <w:spacing w:before="0" w:beforeAutospacing="0" w:afterAutospacing="0"/>
              <w:ind w:left="0" w:right="0"/>
              <w:jc w:val="left"/>
              <w:rPr>
                <w:rFonts w:hint="default" w:ascii="Times New Roman" w:hAnsi="Times New Roman" w:eastAsia="MinionPro-Regular" w:cs="Times New Roman"/>
                <w:color w:val="231F20"/>
                <w:lang w:bidi="ar"/>
              </w:rPr>
            </w:pPr>
            <w:r>
              <w:rPr>
                <w:rFonts w:hint="default" w:ascii="Times New Roman" w:hAnsi="Times New Roman" w:eastAsia="宋体" w:cs="Times New Roman"/>
                <w:color w:val="231F20"/>
                <w:lang w:bidi="ar"/>
              </w:rPr>
              <w:t xml:space="preserve">One patient with a </w:t>
            </w:r>
            <w:r>
              <w:rPr>
                <w:rFonts w:hint="default" w:ascii="Times New Roman" w:hAnsi="Times New Roman" w:eastAsia="MinionPro-Regular" w:cs="Times New Roman"/>
                <w:color w:val="231F20"/>
                <w:lang w:bidi="ar"/>
              </w:rPr>
              <w:t>subcutaneous abscess recovered from antibiotics (Metronidazole) but died from STEMI</w:t>
            </w:r>
            <w:r>
              <w:rPr>
                <w:rFonts w:hint="default" w:ascii="Times New Roman" w:hAnsi="Times New Roman" w:eastAsia="宋体" w:cs="Times New Roman"/>
                <w:color w:val="231F20"/>
                <w:lang w:bidi="ar"/>
              </w:rPr>
              <w:t xml:space="preserve"> afterwards.</w:t>
            </w:r>
          </w:p>
          <w:p>
            <w:pPr>
              <w:keepNext w:val="0"/>
              <w:keepLines w:val="0"/>
              <w:widowControl/>
              <w:numPr>
                <w:ilvl w:val="0"/>
                <w:numId w:val="5"/>
              </w:numPr>
              <w:suppressLineNumbers w:val="0"/>
              <w:spacing w:before="0" w:beforeAutospacing="0" w:afterAutospacing="0"/>
              <w:ind w:left="0" w:right="0"/>
              <w:jc w:val="left"/>
              <w:rPr>
                <w:rFonts w:hint="default" w:ascii="Times New Roman" w:hAnsi="Times New Roman" w:eastAsia="MinionPro-Regular" w:cs="Times New Roman"/>
                <w:color w:val="231F20"/>
                <w:lang w:bidi="ar"/>
              </w:rPr>
            </w:pPr>
            <w:r>
              <w:rPr>
                <w:rFonts w:hint="default" w:ascii="Times New Roman" w:hAnsi="Times New Roman" w:eastAsia="宋体" w:cs="Times New Roman"/>
                <w:color w:val="231F20"/>
                <w:lang w:bidi="ar"/>
              </w:rPr>
              <w:t>One patient with an</w:t>
            </w:r>
            <w:r>
              <w:rPr>
                <w:rFonts w:hint="default" w:ascii="Times New Roman" w:hAnsi="Times New Roman" w:eastAsia="MinionPro-Regular" w:cs="Times New Roman"/>
                <w:color w:val="231F20"/>
                <w:lang w:bidi="ar"/>
              </w:rPr>
              <w:t xml:space="preserve"> abdominal abscess died 12 days later</w:t>
            </w:r>
            <w:r>
              <w:rPr>
                <w:rFonts w:hint="default" w:ascii="Times New Roman" w:hAnsi="Times New Roman" w:eastAsia="宋体" w:cs="Times New Roman"/>
                <w:color w:val="231F20"/>
                <w:lang w:bidi="ar"/>
              </w:rPr>
              <w:t>.</w:t>
            </w:r>
          </w:p>
        </w:tc>
        <w:tc>
          <w:tcPr>
            <w:tcW w:w="1729" w:type="dxa"/>
            <w:shd w:val="clear" w:color="auto" w:fill="FBE5D6" w:themeFill="accent2" w:themeFillTint="32"/>
          </w:tcPr>
          <w:p>
            <w:pPr>
              <w:keepNext w:val="0"/>
              <w:keepLines w:val="0"/>
              <w:widowControl/>
              <w:suppressLineNumbers w:val="0"/>
              <w:spacing w:before="0" w:beforeAutospacing="0" w:afterAutospacing="0"/>
              <w:ind w:left="0" w:right="0"/>
              <w:jc w:val="left"/>
              <w:rPr>
                <w:rFonts w:hint="default" w:ascii="Times New Roman" w:hAnsi="Times New Roman" w:eastAsia="宋体" w:cs="Times New Roman"/>
                <w:color w:val="231F20"/>
                <w:lang w:bidi="ar"/>
              </w:rPr>
            </w:pPr>
            <w:r>
              <w:rPr>
                <w:rFonts w:hint="default" w:ascii="Times New Roman" w:hAnsi="Times New Roman" w:eastAsia="宋体" w:cs="Times New Roman"/>
                <w:color w:val="231F20"/>
                <w:lang w:bidi="ar"/>
              </w:rPr>
              <w:t>0</w:t>
            </w:r>
          </w:p>
        </w:tc>
      </w:tr>
      <w:tr>
        <w:tblPrEx>
          <w:tblBorders>
            <w:top w:val="single" w:color="auto" w:sz="8"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4" w:hRule="atLeast"/>
        </w:trPr>
        <w:tc>
          <w:tcPr>
            <w:tcW w:w="2354" w:type="dxa"/>
            <w:shd w:val="clear" w:color="auto" w:fill="FBE5D6" w:themeFill="accent2" w:themeFillTint="32"/>
          </w:tcPr>
          <w:p>
            <w:pPr>
              <w:keepNext w:val="0"/>
              <w:keepLines w:val="0"/>
              <w:widowControl/>
              <w:suppressLineNumbers w:val="0"/>
              <w:spacing w:before="0" w:beforeAutospacing="0" w:afterAutospacing="0"/>
              <w:ind w:left="220" w:leftChars="100" w:right="0"/>
              <w:jc w:val="left"/>
              <w:rPr>
                <w:rFonts w:hint="default" w:ascii="Times New Roman" w:hAnsi="Times New Roman" w:eastAsia="MinionPro-Regular" w:cs="Times New Roman"/>
                <w:color w:val="231F20"/>
                <w:lang w:bidi="ar"/>
              </w:rPr>
            </w:pPr>
            <w:r>
              <w:rPr>
                <w:rFonts w:hint="default" w:ascii="Times New Roman" w:hAnsi="Times New Roman" w:eastAsia="MinionPro-Regular" w:cs="Times New Roman"/>
                <w:color w:val="231F20"/>
                <w:lang w:bidi="ar"/>
              </w:rPr>
              <w:t>Bile (n=2)</w:t>
            </w:r>
          </w:p>
        </w:tc>
        <w:tc>
          <w:tcPr>
            <w:tcW w:w="746" w:type="dxa"/>
            <w:shd w:val="clear" w:color="auto" w:fill="FBE5D6" w:themeFill="accent2" w:themeFillTint="32"/>
          </w:tcPr>
          <w:p>
            <w:pPr>
              <w:keepNext w:val="0"/>
              <w:keepLines w:val="0"/>
              <w:widowControl/>
              <w:suppressLineNumbers w:val="0"/>
              <w:spacing w:before="0" w:beforeAutospacing="0" w:afterAutospacing="0"/>
              <w:ind w:left="0" w:right="0"/>
              <w:jc w:val="left"/>
              <w:rPr>
                <w:rFonts w:hint="default" w:ascii="Times New Roman" w:hAnsi="Times New Roman" w:eastAsia="MinionPro-Regular" w:cs="Times New Roman"/>
                <w:color w:val="231F20"/>
                <w:lang w:bidi="ar"/>
              </w:rPr>
            </w:pPr>
            <w:r>
              <w:rPr>
                <w:rFonts w:hint="default" w:ascii="Times New Roman" w:hAnsi="Times New Roman" w:eastAsia="MinionPro-Regular" w:cs="Times New Roman"/>
                <w:color w:val="231F20"/>
                <w:lang w:bidi="ar"/>
              </w:rPr>
              <w:t>1</w:t>
            </w:r>
          </w:p>
        </w:tc>
        <w:tc>
          <w:tcPr>
            <w:tcW w:w="4316" w:type="dxa"/>
            <w:shd w:val="clear" w:color="auto" w:fill="FBE5D6" w:themeFill="accent2" w:themeFillTint="32"/>
          </w:tcPr>
          <w:p>
            <w:pPr>
              <w:keepNext w:val="0"/>
              <w:keepLines w:val="0"/>
              <w:widowControl/>
              <w:numPr>
                <w:ilvl w:val="0"/>
                <w:numId w:val="6"/>
              </w:numPr>
              <w:suppressLineNumbers w:val="0"/>
              <w:spacing w:before="0" w:beforeAutospacing="0" w:afterAutospacing="0"/>
              <w:ind w:left="0" w:right="0"/>
              <w:jc w:val="left"/>
              <w:rPr>
                <w:rFonts w:hint="default" w:ascii="Times New Roman" w:hAnsi="Times New Roman" w:eastAsia="MinionPro-Regular" w:cs="Times New Roman"/>
                <w:color w:val="231F20"/>
                <w:lang w:bidi="ar"/>
              </w:rPr>
            </w:pPr>
            <w:r>
              <w:rPr>
                <w:rFonts w:hint="default" w:ascii="Times New Roman" w:hAnsi="Times New Roman" w:eastAsia="宋体" w:cs="Times New Roman"/>
                <w:color w:val="231F20"/>
                <w:lang w:bidi="ar"/>
              </w:rPr>
              <w:t>The patient was diagnosed as acute c</w:t>
            </w:r>
            <w:r>
              <w:rPr>
                <w:rFonts w:hint="default" w:ascii="Times New Roman" w:hAnsi="Times New Roman" w:eastAsia="MinionPro-Regular" w:cs="Times New Roman"/>
                <w:color w:val="231F20"/>
                <w:lang w:bidi="ar"/>
              </w:rPr>
              <w:t>holecystitis</w:t>
            </w:r>
            <w:r>
              <w:rPr>
                <w:rFonts w:hint="default" w:ascii="Times New Roman" w:hAnsi="Times New Roman" w:eastAsia="宋体" w:cs="Times New Roman"/>
                <w:color w:val="231F20"/>
                <w:lang w:bidi="ar"/>
              </w:rPr>
              <w:t xml:space="preserve"> and</w:t>
            </w:r>
            <w:r>
              <w:rPr>
                <w:rFonts w:hint="default" w:ascii="Times New Roman" w:hAnsi="Times New Roman" w:eastAsia="MinionPro-Regular" w:cs="Times New Roman"/>
                <w:color w:val="231F20"/>
                <w:lang w:bidi="ar"/>
              </w:rPr>
              <w:t xml:space="preserve"> recovered after surgery and drainage</w:t>
            </w:r>
            <w:r>
              <w:rPr>
                <w:rFonts w:hint="default" w:ascii="Times New Roman" w:hAnsi="Times New Roman" w:eastAsia="宋体" w:cs="Times New Roman"/>
                <w:color w:val="231F20"/>
                <w:lang w:bidi="ar"/>
              </w:rPr>
              <w:t>.</w:t>
            </w:r>
          </w:p>
        </w:tc>
        <w:tc>
          <w:tcPr>
            <w:tcW w:w="774" w:type="dxa"/>
            <w:shd w:val="clear" w:color="auto" w:fill="FBE5D6" w:themeFill="accent2" w:themeFillTint="32"/>
          </w:tcPr>
          <w:p>
            <w:pPr>
              <w:keepNext w:val="0"/>
              <w:keepLines w:val="0"/>
              <w:widowControl/>
              <w:suppressLineNumbers w:val="0"/>
              <w:spacing w:before="0" w:beforeAutospacing="0" w:afterAutospacing="0"/>
              <w:ind w:left="0" w:right="0"/>
              <w:jc w:val="left"/>
              <w:rPr>
                <w:rFonts w:hint="default" w:ascii="Times New Roman" w:hAnsi="Times New Roman" w:eastAsia="MinionPro-Regular" w:cs="Times New Roman"/>
                <w:color w:val="231F20"/>
                <w:lang w:bidi="ar"/>
              </w:rPr>
            </w:pPr>
            <w:r>
              <w:rPr>
                <w:rFonts w:hint="default" w:ascii="Times New Roman" w:hAnsi="Times New Roman" w:eastAsia="MinionPro-Regular" w:cs="Times New Roman"/>
                <w:color w:val="231F20"/>
                <w:lang w:bidi="ar"/>
              </w:rPr>
              <w:t>1</w:t>
            </w:r>
          </w:p>
        </w:tc>
        <w:tc>
          <w:tcPr>
            <w:tcW w:w="3545" w:type="dxa"/>
            <w:shd w:val="clear" w:color="auto" w:fill="FBE5D6" w:themeFill="accent2" w:themeFillTint="32"/>
          </w:tcPr>
          <w:p>
            <w:pPr>
              <w:keepNext w:val="0"/>
              <w:keepLines w:val="0"/>
              <w:widowControl/>
              <w:numPr>
                <w:ilvl w:val="0"/>
                <w:numId w:val="7"/>
              </w:numPr>
              <w:suppressLineNumbers w:val="0"/>
              <w:spacing w:before="0" w:beforeAutospacing="0" w:afterAutospacing="0"/>
              <w:ind w:left="0" w:right="0"/>
              <w:jc w:val="left"/>
              <w:rPr>
                <w:rFonts w:hint="default" w:ascii="Times New Roman" w:hAnsi="Times New Roman" w:eastAsia="MinionPro-Regular" w:cs="Times New Roman"/>
                <w:color w:val="231F20"/>
                <w:lang w:bidi="ar"/>
              </w:rPr>
            </w:pPr>
            <w:r>
              <w:rPr>
                <w:rFonts w:hint="default" w:ascii="Times New Roman" w:hAnsi="Times New Roman" w:eastAsia="宋体" w:cs="Times New Roman"/>
                <w:color w:val="231F20"/>
                <w:lang w:bidi="ar"/>
              </w:rPr>
              <w:t>The patient d</w:t>
            </w:r>
            <w:r>
              <w:rPr>
                <w:rFonts w:hint="default" w:ascii="Times New Roman" w:hAnsi="Times New Roman" w:eastAsia="MinionPro-Regular" w:cs="Times New Roman"/>
                <w:color w:val="231F20"/>
                <w:lang w:bidi="ar"/>
              </w:rPr>
              <w:t xml:space="preserve">ied before the </w:t>
            </w:r>
            <w:r>
              <w:rPr>
                <w:rFonts w:hint="default" w:ascii="Times New Roman" w:hAnsi="Times New Roman" w:eastAsia="宋体" w:cs="Times New Roman"/>
                <w:color w:val="231F20"/>
                <w:lang w:bidi="ar"/>
              </w:rPr>
              <w:t xml:space="preserve">culture </w:t>
            </w:r>
            <w:r>
              <w:rPr>
                <w:rFonts w:hint="default" w:ascii="Times New Roman" w:hAnsi="Times New Roman" w:eastAsia="MinionPro-Regular" w:cs="Times New Roman"/>
                <w:color w:val="231F20"/>
                <w:lang w:bidi="ar"/>
              </w:rPr>
              <w:t>results came back</w:t>
            </w:r>
            <w:r>
              <w:rPr>
                <w:rFonts w:hint="default" w:ascii="Times New Roman" w:hAnsi="Times New Roman" w:eastAsia="宋体" w:cs="Times New Roman"/>
                <w:color w:val="231F20"/>
                <w:lang w:bidi="ar"/>
              </w:rPr>
              <w:t>.</w:t>
            </w:r>
          </w:p>
        </w:tc>
        <w:tc>
          <w:tcPr>
            <w:tcW w:w="1729" w:type="dxa"/>
            <w:shd w:val="clear" w:color="auto" w:fill="FBE5D6" w:themeFill="accent2" w:themeFillTint="32"/>
          </w:tcPr>
          <w:p>
            <w:pPr>
              <w:keepNext w:val="0"/>
              <w:keepLines w:val="0"/>
              <w:widowControl/>
              <w:suppressLineNumbers w:val="0"/>
              <w:spacing w:before="0" w:beforeAutospacing="0" w:afterAutospacing="0"/>
              <w:ind w:left="0" w:right="0"/>
              <w:jc w:val="left"/>
              <w:rPr>
                <w:rFonts w:hint="default" w:ascii="Times New Roman" w:hAnsi="Times New Roman" w:eastAsia="宋体" w:cs="Times New Roman"/>
                <w:color w:val="231F20"/>
                <w:lang w:bidi="ar"/>
              </w:rPr>
            </w:pPr>
            <w:r>
              <w:rPr>
                <w:rFonts w:hint="default" w:ascii="Times New Roman" w:hAnsi="Times New Roman" w:eastAsia="宋体" w:cs="Times New Roman"/>
                <w:color w:val="231F20"/>
                <w:lang w:bidi="ar"/>
              </w:rPr>
              <w:t>0</w:t>
            </w:r>
          </w:p>
        </w:tc>
      </w:tr>
      <w:tr>
        <w:tblPrEx>
          <w:tblBorders>
            <w:top w:val="single" w:color="auto" w:sz="8"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8" w:hRule="atLeast"/>
        </w:trPr>
        <w:tc>
          <w:tcPr>
            <w:tcW w:w="2354" w:type="dxa"/>
            <w:shd w:val="clear" w:color="auto" w:fill="auto"/>
          </w:tcPr>
          <w:p>
            <w:pPr>
              <w:keepNext w:val="0"/>
              <w:keepLines w:val="0"/>
              <w:widowControl/>
              <w:suppressLineNumbers w:val="0"/>
              <w:spacing w:before="0" w:beforeAutospacing="0" w:afterAutospacing="0"/>
              <w:ind w:left="0" w:right="0"/>
              <w:jc w:val="left"/>
              <w:rPr>
                <w:rFonts w:hint="default" w:ascii="Times New Roman" w:hAnsi="Times New Roman" w:eastAsia="MinionPro-Regular" w:cs="Times New Roman"/>
                <w:color w:val="231F20"/>
                <w:lang w:bidi="ar"/>
              </w:rPr>
            </w:pPr>
            <w:r>
              <w:rPr>
                <w:rFonts w:hint="default" w:ascii="Times New Roman" w:hAnsi="Times New Roman" w:eastAsia="MinionPro-Regular" w:cs="Times New Roman"/>
                <w:color w:val="231F20"/>
                <w:lang w:bidi="ar"/>
              </w:rPr>
              <w:t>CSF (n=1)</w:t>
            </w:r>
          </w:p>
        </w:tc>
        <w:tc>
          <w:tcPr>
            <w:tcW w:w="746" w:type="dxa"/>
            <w:shd w:val="clear" w:color="auto" w:fill="auto"/>
          </w:tcPr>
          <w:p>
            <w:pPr>
              <w:keepNext w:val="0"/>
              <w:keepLines w:val="0"/>
              <w:widowControl/>
              <w:suppressLineNumbers w:val="0"/>
              <w:spacing w:before="0" w:beforeAutospacing="0" w:afterAutospacing="0"/>
              <w:ind w:left="0" w:right="0"/>
              <w:jc w:val="left"/>
              <w:rPr>
                <w:rFonts w:hint="default" w:ascii="Times New Roman" w:hAnsi="Times New Roman" w:eastAsia="MinionPro-Regular" w:cs="Times New Roman"/>
                <w:color w:val="231F20"/>
                <w:lang w:bidi="ar"/>
              </w:rPr>
            </w:pPr>
            <w:r>
              <w:rPr>
                <w:rFonts w:hint="default" w:ascii="Times New Roman" w:hAnsi="Times New Roman" w:eastAsia="MinionPro-Regular" w:cs="Times New Roman"/>
                <w:color w:val="231F20"/>
                <w:lang w:bidi="ar"/>
              </w:rPr>
              <w:t>1</w:t>
            </w:r>
          </w:p>
        </w:tc>
        <w:tc>
          <w:tcPr>
            <w:tcW w:w="4316" w:type="dxa"/>
            <w:shd w:val="clear" w:color="auto" w:fill="auto"/>
          </w:tcPr>
          <w:p>
            <w:pPr>
              <w:keepNext w:val="0"/>
              <w:keepLines w:val="0"/>
              <w:widowControl/>
              <w:numPr>
                <w:ilvl w:val="0"/>
                <w:numId w:val="8"/>
              </w:numPr>
              <w:suppressLineNumbers w:val="0"/>
              <w:spacing w:before="0" w:beforeAutospacing="0" w:afterAutospacing="0"/>
              <w:ind w:left="0" w:right="0"/>
              <w:jc w:val="left"/>
              <w:rPr>
                <w:rFonts w:hint="default" w:ascii="Times New Roman" w:hAnsi="Times New Roman" w:eastAsia="宋体" w:cs="Times New Roman"/>
                <w:color w:val="231F20"/>
                <w:lang w:bidi="ar"/>
              </w:rPr>
            </w:pPr>
            <w:r>
              <w:rPr>
                <w:rFonts w:hint="default" w:ascii="Times New Roman" w:hAnsi="Times New Roman" w:eastAsia="宋体" w:cs="Times New Roman"/>
                <w:color w:val="231F20"/>
                <w:lang w:bidi="ar"/>
              </w:rPr>
              <w:t xml:space="preserve">The original culture of CSF in this patient was negative while enrichment culture was positive for </w:t>
            </w:r>
            <w:r>
              <w:rPr>
                <w:rFonts w:hint="default" w:ascii="Times New Roman" w:hAnsi="Times New Roman" w:eastAsia="宋体" w:cs="Times New Roman"/>
                <w:i/>
                <w:iCs/>
                <w:color w:val="231F20"/>
                <w:lang w:bidi="ar"/>
              </w:rPr>
              <w:t xml:space="preserve">Candida </w:t>
            </w:r>
            <w:r>
              <w:rPr>
                <w:rFonts w:hint="default" w:ascii="Times New Roman" w:hAnsi="Times New Roman" w:eastAsia="宋体" w:cs="Times New Roman"/>
                <w:color w:val="231F20"/>
                <w:lang w:bidi="ar"/>
              </w:rPr>
              <w:t>species. Thus, the patient was not considered IC clinically.</w:t>
            </w:r>
          </w:p>
        </w:tc>
        <w:tc>
          <w:tcPr>
            <w:tcW w:w="774" w:type="dxa"/>
            <w:shd w:val="clear" w:color="auto" w:fill="auto"/>
          </w:tcPr>
          <w:p>
            <w:pPr>
              <w:keepNext w:val="0"/>
              <w:keepLines w:val="0"/>
              <w:widowControl/>
              <w:suppressLineNumbers w:val="0"/>
              <w:spacing w:before="0" w:beforeAutospacing="0" w:afterAutospacing="0"/>
              <w:ind w:left="0" w:right="0"/>
              <w:jc w:val="left"/>
              <w:rPr>
                <w:rFonts w:hint="default" w:ascii="Times New Roman" w:hAnsi="Times New Roman" w:eastAsia="MinionPro-Regular" w:cs="Times New Roman"/>
                <w:color w:val="231F20"/>
                <w:lang w:bidi="ar"/>
              </w:rPr>
            </w:pPr>
            <w:r>
              <w:rPr>
                <w:rFonts w:hint="default" w:ascii="Times New Roman" w:hAnsi="Times New Roman" w:eastAsia="MinionPro-Regular" w:cs="Times New Roman"/>
                <w:color w:val="231F20"/>
                <w:lang w:bidi="ar"/>
              </w:rPr>
              <w:t>0</w:t>
            </w:r>
          </w:p>
        </w:tc>
        <w:tc>
          <w:tcPr>
            <w:tcW w:w="3545" w:type="dxa"/>
            <w:shd w:val="clear" w:color="auto" w:fill="auto"/>
          </w:tcPr>
          <w:p>
            <w:pPr>
              <w:keepNext w:val="0"/>
              <w:keepLines w:val="0"/>
              <w:widowControl/>
              <w:suppressLineNumbers w:val="0"/>
              <w:spacing w:before="0" w:beforeAutospacing="0" w:afterAutospacing="0"/>
              <w:ind w:left="0" w:right="0"/>
              <w:jc w:val="left"/>
              <w:rPr>
                <w:rFonts w:hint="default" w:ascii="Times New Roman" w:hAnsi="Times New Roman" w:eastAsia="MinionPro-Regular" w:cs="Times New Roman"/>
                <w:color w:val="231F20"/>
                <w:lang w:bidi="ar"/>
              </w:rPr>
            </w:pPr>
          </w:p>
        </w:tc>
        <w:tc>
          <w:tcPr>
            <w:tcW w:w="1729" w:type="dxa"/>
            <w:shd w:val="clear" w:color="auto" w:fill="auto"/>
          </w:tcPr>
          <w:p>
            <w:pPr>
              <w:keepNext w:val="0"/>
              <w:keepLines w:val="0"/>
              <w:widowControl/>
              <w:suppressLineNumbers w:val="0"/>
              <w:spacing w:before="0" w:beforeAutospacing="0" w:afterAutospacing="0"/>
              <w:ind w:left="0" w:right="0"/>
              <w:jc w:val="left"/>
              <w:rPr>
                <w:rFonts w:hint="default" w:ascii="Times New Roman" w:hAnsi="Times New Roman" w:eastAsia="MinionPro-Regular" w:cs="Times New Roman"/>
                <w:color w:val="231F20"/>
                <w:lang w:bidi="ar"/>
              </w:rPr>
            </w:pPr>
          </w:p>
        </w:tc>
      </w:tr>
      <w:tr>
        <w:tblPrEx>
          <w:tblBorders>
            <w:top w:val="single" w:color="auto" w:sz="8"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8" w:hRule="atLeast"/>
        </w:trPr>
        <w:tc>
          <w:tcPr>
            <w:tcW w:w="2354" w:type="dxa"/>
            <w:tcBorders>
              <w:bottom w:val="single" w:color="auto" w:sz="8" w:space="0"/>
            </w:tcBorders>
            <w:shd w:val="clear" w:color="auto" w:fill="FBE5D6" w:themeFill="accent2" w:themeFillTint="32"/>
          </w:tcPr>
          <w:p>
            <w:pPr>
              <w:keepNext w:val="0"/>
              <w:keepLines w:val="0"/>
              <w:widowControl/>
              <w:suppressLineNumbers w:val="0"/>
              <w:spacing w:before="0" w:beforeAutospacing="0" w:afterAutospacing="0"/>
              <w:ind w:left="0" w:right="0"/>
              <w:jc w:val="left"/>
              <w:rPr>
                <w:rFonts w:hint="default" w:ascii="Times New Roman" w:hAnsi="Times New Roman" w:eastAsia="MinionPro-Regular" w:cs="Times New Roman"/>
                <w:color w:val="231F20"/>
                <w:lang w:bidi="ar"/>
              </w:rPr>
            </w:pPr>
            <w:r>
              <w:rPr>
                <w:rFonts w:hint="default" w:ascii="Times New Roman" w:hAnsi="Times New Roman" w:eastAsia="MinionPro-Regular" w:cs="Times New Roman"/>
                <w:color w:val="231F20"/>
                <w:lang w:bidi="ar"/>
              </w:rPr>
              <w:t>Other fluids (n=5)</w:t>
            </w:r>
          </w:p>
        </w:tc>
        <w:tc>
          <w:tcPr>
            <w:tcW w:w="746" w:type="dxa"/>
            <w:tcBorders>
              <w:bottom w:val="single" w:color="auto" w:sz="8" w:space="0"/>
            </w:tcBorders>
            <w:shd w:val="clear" w:color="auto" w:fill="FBE5D6" w:themeFill="accent2" w:themeFillTint="32"/>
          </w:tcPr>
          <w:p>
            <w:pPr>
              <w:keepNext w:val="0"/>
              <w:keepLines w:val="0"/>
              <w:widowControl/>
              <w:suppressLineNumbers w:val="0"/>
              <w:spacing w:before="0" w:beforeAutospacing="0" w:afterAutospacing="0"/>
              <w:ind w:left="0" w:right="0"/>
              <w:jc w:val="left"/>
              <w:rPr>
                <w:rFonts w:hint="default" w:ascii="Times New Roman" w:hAnsi="Times New Roman" w:eastAsia="MinionPro-Regular" w:cs="Times New Roman"/>
                <w:color w:val="231F20"/>
                <w:lang w:bidi="ar"/>
              </w:rPr>
            </w:pPr>
            <w:r>
              <w:rPr>
                <w:rFonts w:hint="default" w:ascii="Times New Roman" w:hAnsi="Times New Roman" w:eastAsia="MinionPro-Regular" w:cs="Times New Roman"/>
                <w:color w:val="231F20"/>
                <w:lang w:bidi="ar"/>
              </w:rPr>
              <w:t>3</w:t>
            </w:r>
          </w:p>
        </w:tc>
        <w:tc>
          <w:tcPr>
            <w:tcW w:w="4316" w:type="dxa"/>
            <w:tcBorders>
              <w:bottom w:val="single" w:color="auto" w:sz="8" w:space="0"/>
            </w:tcBorders>
            <w:shd w:val="clear" w:color="auto" w:fill="FBE5D6" w:themeFill="accent2" w:themeFillTint="32"/>
          </w:tcPr>
          <w:p>
            <w:pPr>
              <w:keepNext w:val="0"/>
              <w:keepLines w:val="0"/>
              <w:widowControl/>
              <w:numPr>
                <w:ilvl w:val="0"/>
                <w:numId w:val="9"/>
              </w:numPr>
              <w:suppressLineNumbers w:val="0"/>
              <w:spacing w:before="0" w:beforeAutospacing="0" w:afterAutospacing="0"/>
              <w:ind w:left="0" w:right="0"/>
              <w:jc w:val="left"/>
              <w:rPr>
                <w:rFonts w:hint="default" w:ascii="Times New Roman" w:hAnsi="Times New Roman" w:eastAsia="MinionPro-Regular" w:cs="Times New Roman"/>
                <w:color w:val="231F20"/>
                <w:lang w:bidi="ar"/>
              </w:rPr>
            </w:pPr>
            <w:r>
              <w:rPr>
                <w:rFonts w:hint="default" w:ascii="Times New Roman" w:hAnsi="Times New Roman" w:eastAsia="宋体" w:cs="Times New Roman"/>
                <w:color w:val="231F20"/>
                <w:lang w:bidi="ar"/>
              </w:rPr>
              <w:t xml:space="preserve">One patient with infection in </w:t>
            </w:r>
            <w:r>
              <w:rPr>
                <w:rFonts w:hint="default" w:ascii="Times New Roman" w:hAnsi="Times New Roman" w:eastAsia="MinionPro-Regular" w:cs="Times New Roman"/>
                <w:color w:val="231F20"/>
                <w:lang w:bidi="ar"/>
              </w:rPr>
              <w:t>synovial fluid recovered after TKA surgery</w:t>
            </w:r>
            <w:r>
              <w:rPr>
                <w:rFonts w:hint="default" w:ascii="Times New Roman" w:hAnsi="Times New Roman" w:eastAsia="宋体" w:cs="Times New Roman"/>
                <w:color w:val="231F20"/>
                <w:lang w:bidi="ar"/>
              </w:rPr>
              <w:t>.</w:t>
            </w:r>
            <w:r>
              <w:rPr>
                <w:rFonts w:hint="default" w:ascii="Times New Roman" w:hAnsi="Times New Roman" w:eastAsia="MinionPro-Regular" w:cs="Times New Roman"/>
                <w:color w:val="231F20"/>
                <w:lang w:bidi="ar"/>
              </w:rPr>
              <w:t xml:space="preserve"> </w:t>
            </w:r>
          </w:p>
          <w:p>
            <w:pPr>
              <w:keepNext w:val="0"/>
              <w:keepLines w:val="0"/>
              <w:widowControl/>
              <w:numPr>
                <w:ilvl w:val="0"/>
                <w:numId w:val="9"/>
              </w:numPr>
              <w:suppressLineNumbers w:val="0"/>
              <w:spacing w:before="0" w:beforeAutospacing="0" w:afterAutospacing="0"/>
              <w:ind w:left="0" w:right="0"/>
              <w:jc w:val="left"/>
              <w:rPr>
                <w:rFonts w:hint="default" w:ascii="Times New Roman" w:hAnsi="Times New Roman" w:eastAsia="MinionPro-Regular" w:cs="Times New Roman"/>
                <w:color w:val="231F20"/>
                <w:lang w:bidi="ar"/>
              </w:rPr>
            </w:pPr>
            <w:r>
              <w:rPr>
                <w:rFonts w:hint="default" w:ascii="Times New Roman" w:hAnsi="Times New Roman" w:eastAsia="宋体" w:cs="Times New Roman"/>
                <w:color w:val="231F20"/>
                <w:lang w:bidi="ar"/>
              </w:rPr>
              <w:t xml:space="preserve">One patient with </w:t>
            </w:r>
            <w:r>
              <w:rPr>
                <w:rFonts w:hint="default" w:ascii="Times New Roman" w:hAnsi="Times New Roman" w:eastAsia="MinionPro-Regular" w:cs="Times New Roman"/>
                <w:color w:val="231F20"/>
                <w:lang w:bidi="ar"/>
              </w:rPr>
              <w:t xml:space="preserve">encapsulated pleural effusion recovered after </w:t>
            </w:r>
            <w:r>
              <w:rPr>
                <w:rFonts w:hint="default" w:ascii="Times New Roman" w:hAnsi="Times New Roman" w:eastAsia="宋体" w:cs="Times New Roman"/>
                <w:color w:val="231F20"/>
                <w:lang w:bidi="ar"/>
              </w:rPr>
              <w:t xml:space="preserve">effective </w:t>
            </w:r>
            <w:r>
              <w:rPr>
                <w:rFonts w:hint="default" w:ascii="Times New Roman" w:hAnsi="Times New Roman" w:eastAsia="MinionPro-Regular" w:cs="Times New Roman"/>
                <w:color w:val="231F20"/>
                <w:lang w:bidi="ar"/>
              </w:rPr>
              <w:t>drainage</w:t>
            </w:r>
            <w:r>
              <w:rPr>
                <w:rFonts w:hint="default" w:ascii="Times New Roman" w:hAnsi="Times New Roman" w:eastAsia="宋体" w:cs="Times New Roman"/>
                <w:color w:val="231F20"/>
                <w:lang w:bidi="ar"/>
              </w:rPr>
              <w:t>.</w:t>
            </w:r>
          </w:p>
          <w:p>
            <w:pPr>
              <w:keepNext w:val="0"/>
              <w:keepLines w:val="0"/>
              <w:widowControl/>
              <w:numPr>
                <w:ilvl w:val="0"/>
                <w:numId w:val="9"/>
              </w:numPr>
              <w:suppressLineNumbers w:val="0"/>
              <w:spacing w:before="0" w:beforeAutospacing="0" w:afterAutospacing="0"/>
              <w:ind w:left="0" w:right="0"/>
              <w:jc w:val="left"/>
              <w:rPr>
                <w:rFonts w:hint="default" w:ascii="Times New Roman" w:hAnsi="Times New Roman" w:eastAsia="MinionPro-Regular" w:cs="Times New Roman"/>
                <w:color w:val="231F20"/>
                <w:lang w:bidi="ar"/>
              </w:rPr>
            </w:pPr>
            <w:r>
              <w:rPr>
                <w:rFonts w:hint="default" w:ascii="Times New Roman" w:hAnsi="Times New Roman" w:eastAsia="宋体" w:cs="Times New Roman"/>
                <w:color w:val="231F20"/>
                <w:lang w:bidi="ar"/>
              </w:rPr>
              <w:t xml:space="preserve">One patient with a </w:t>
            </w:r>
            <w:r>
              <w:rPr>
                <w:rFonts w:hint="default" w:ascii="Times New Roman" w:hAnsi="Times New Roman" w:eastAsia="MinionPro-Regular" w:cs="Times New Roman"/>
                <w:color w:val="231F20"/>
                <w:lang w:bidi="ar"/>
              </w:rPr>
              <w:t>tracheo-</w:t>
            </w:r>
            <w:r>
              <w:rPr>
                <w:rFonts w:hint="default" w:ascii="Times New Roman" w:hAnsi="Times New Roman" w:cs="Times New Roman"/>
              </w:rPr>
              <w:fldChar w:fldCharType="begin"/>
            </w:r>
            <w:r>
              <w:rPr>
                <w:rFonts w:hint="default" w:ascii="Times New Roman" w:hAnsi="Times New Roman" w:cs="Times New Roman"/>
              </w:rPr>
              <w:instrText xml:space="preserve"> HYPERLINK "C:/Users/30584/AppData/Local/youdao/dict/Application/8.9.5.0/resultui/html/index.html" \l "/javascript:;" </w:instrText>
            </w:r>
            <w:r>
              <w:rPr>
                <w:rFonts w:hint="default" w:ascii="Times New Roman" w:hAnsi="Times New Roman" w:cs="Times New Roman"/>
              </w:rPr>
              <w:fldChar w:fldCharType="separate"/>
            </w:r>
            <w:r>
              <w:rPr>
                <w:rFonts w:hint="default" w:ascii="Times New Roman" w:hAnsi="Times New Roman" w:eastAsia="MinionPro-Regular" w:cs="Times New Roman"/>
                <w:color w:val="231F20"/>
                <w:lang w:bidi="ar"/>
              </w:rPr>
              <w:t>esophageal</w:t>
            </w:r>
            <w:r>
              <w:rPr>
                <w:rFonts w:hint="default" w:ascii="Times New Roman" w:hAnsi="Times New Roman" w:eastAsia="MinionPro-Regular" w:cs="Times New Roman"/>
                <w:color w:val="231F20"/>
                <w:lang w:bidi="ar"/>
              </w:rPr>
              <w:fldChar w:fldCharType="end"/>
            </w:r>
            <w:r>
              <w:rPr>
                <w:rFonts w:hint="default" w:ascii="Times New Roman" w:hAnsi="Times New Roman" w:eastAsia="MinionPro-Regular" w:cs="Times New Roman"/>
                <w:color w:val="231F20"/>
                <w:lang w:bidi="ar"/>
              </w:rPr>
              <w:t> </w:t>
            </w:r>
            <w:r>
              <w:rPr>
                <w:rFonts w:hint="default" w:ascii="Times New Roman" w:hAnsi="Times New Roman" w:cs="Times New Roman"/>
              </w:rPr>
              <w:fldChar w:fldCharType="begin"/>
            </w:r>
            <w:r>
              <w:rPr>
                <w:rFonts w:hint="default" w:ascii="Times New Roman" w:hAnsi="Times New Roman" w:cs="Times New Roman"/>
              </w:rPr>
              <w:instrText xml:space="preserve"> HYPERLINK "C:/Users/30584/AppData/Local/youdao/dict/Application/8.9.5.0/resultui/html/index.html" \l "/javascript:;" </w:instrText>
            </w:r>
            <w:r>
              <w:rPr>
                <w:rFonts w:hint="default" w:ascii="Times New Roman" w:hAnsi="Times New Roman" w:cs="Times New Roman"/>
              </w:rPr>
              <w:fldChar w:fldCharType="separate"/>
            </w:r>
            <w:r>
              <w:rPr>
                <w:rFonts w:hint="default" w:ascii="Times New Roman" w:hAnsi="Times New Roman" w:eastAsia="MinionPro-Regular" w:cs="Times New Roman"/>
                <w:color w:val="231F20"/>
                <w:lang w:bidi="ar"/>
              </w:rPr>
              <w:t>fistula</w:t>
            </w:r>
            <w:r>
              <w:rPr>
                <w:rFonts w:hint="default" w:ascii="Times New Roman" w:hAnsi="Times New Roman" w:eastAsia="MinionPro-Regular" w:cs="Times New Roman"/>
                <w:color w:val="231F20"/>
                <w:lang w:bidi="ar"/>
              </w:rPr>
              <w:fldChar w:fldCharType="end"/>
            </w:r>
            <w:r>
              <w:rPr>
                <w:rFonts w:hint="default" w:ascii="Times New Roman" w:hAnsi="Times New Roman" w:eastAsia="MinionPro-Regular" w:cs="Times New Roman"/>
                <w:color w:val="231F20"/>
                <w:lang w:bidi="ar"/>
              </w:rPr>
              <w:t xml:space="preserve"> recovered after drainage</w:t>
            </w:r>
            <w:r>
              <w:rPr>
                <w:rFonts w:hint="default" w:ascii="Times New Roman" w:hAnsi="Times New Roman" w:eastAsia="宋体" w:cs="Times New Roman"/>
                <w:color w:val="231F20"/>
                <w:lang w:bidi="ar"/>
              </w:rPr>
              <w:t>.</w:t>
            </w:r>
          </w:p>
        </w:tc>
        <w:tc>
          <w:tcPr>
            <w:tcW w:w="774" w:type="dxa"/>
            <w:tcBorders>
              <w:bottom w:val="single" w:color="auto" w:sz="8" w:space="0"/>
            </w:tcBorders>
            <w:shd w:val="clear" w:color="auto" w:fill="FBE5D6" w:themeFill="accent2" w:themeFillTint="32"/>
          </w:tcPr>
          <w:p>
            <w:pPr>
              <w:keepNext w:val="0"/>
              <w:keepLines w:val="0"/>
              <w:widowControl/>
              <w:suppressLineNumbers w:val="0"/>
              <w:spacing w:before="0" w:beforeAutospacing="0" w:afterAutospacing="0"/>
              <w:ind w:left="0" w:right="0"/>
              <w:jc w:val="left"/>
              <w:rPr>
                <w:rFonts w:hint="default" w:ascii="Times New Roman" w:hAnsi="Times New Roman" w:eastAsia="MinionPro-Regular" w:cs="Times New Roman"/>
                <w:color w:val="231F20"/>
                <w:lang w:bidi="ar"/>
              </w:rPr>
            </w:pPr>
            <w:r>
              <w:rPr>
                <w:rFonts w:hint="default" w:ascii="Times New Roman" w:hAnsi="Times New Roman" w:eastAsia="MinionPro-Regular" w:cs="Times New Roman"/>
                <w:color w:val="231F20"/>
                <w:lang w:bidi="ar"/>
              </w:rPr>
              <w:t>1</w:t>
            </w:r>
          </w:p>
        </w:tc>
        <w:tc>
          <w:tcPr>
            <w:tcW w:w="3545" w:type="dxa"/>
            <w:tcBorders>
              <w:bottom w:val="single" w:color="auto" w:sz="8" w:space="0"/>
            </w:tcBorders>
            <w:shd w:val="clear" w:color="auto" w:fill="FBE5D6" w:themeFill="accent2" w:themeFillTint="32"/>
          </w:tcPr>
          <w:p>
            <w:pPr>
              <w:keepNext w:val="0"/>
              <w:keepLines w:val="0"/>
              <w:widowControl/>
              <w:numPr>
                <w:ilvl w:val="0"/>
                <w:numId w:val="10"/>
              </w:numPr>
              <w:suppressLineNumbers w:val="0"/>
              <w:spacing w:before="0" w:beforeAutospacing="0" w:afterAutospacing="0"/>
              <w:ind w:left="0" w:right="0"/>
              <w:jc w:val="left"/>
              <w:rPr>
                <w:rFonts w:hint="default" w:ascii="Times New Roman" w:hAnsi="Times New Roman" w:eastAsia="MinionPro-Regular" w:cs="Times New Roman"/>
                <w:color w:val="231F20"/>
                <w:lang w:bidi="ar"/>
              </w:rPr>
            </w:pPr>
            <w:r>
              <w:rPr>
                <w:rFonts w:hint="default" w:ascii="Times New Roman" w:hAnsi="Times New Roman" w:eastAsia="宋体" w:cs="Times New Roman"/>
                <w:color w:val="231F20"/>
                <w:lang w:bidi="ar"/>
              </w:rPr>
              <w:t>The patient d</w:t>
            </w:r>
            <w:r>
              <w:rPr>
                <w:rFonts w:hint="default" w:ascii="Times New Roman" w:hAnsi="Times New Roman" w:eastAsia="MinionPro-Regular" w:cs="Times New Roman"/>
                <w:color w:val="231F20"/>
                <w:lang w:bidi="ar"/>
              </w:rPr>
              <w:t>id</w:t>
            </w:r>
            <w:r>
              <w:rPr>
                <w:rFonts w:hint="default" w:ascii="Times New Roman" w:hAnsi="Times New Roman" w:eastAsia="宋体" w:cs="Times New Roman"/>
                <w:color w:val="231F20"/>
                <w:lang w:bidi="ar"/>
              </w:rPr>
              <w:t xml:space="preserve"> not</w:t>
            </w:r>
            <w:r>
              <w:rPr>
                <w:rFonts w:hint="default" w:ascii="Times New Roman" w:hAnsi="Times New Roman" w:eastAsia="MinionPro-Regular" w:cs="Times New Roman"/>
                <w:color w:val="231F20"/>
                <w:lang w:bidi="ar"/>
              </w:rPr>
              <w:t xml:space="preserve"> add antifungal agents d</w:t>
            </w:r>
            <w:r>
              <w:rPr>
                <w:rFonts w:hint="default" w:ascii="Times New Roman" w:hAnsi="Times New Roman" w:eastAsia="宋体" w:cs="Times New Roman"/>
                <w:color w:val="231F20"/>
                <w:lang w:bidi="ar"/>
              </w:rPr>
              <w:t>u</w:t>
            </w:r>
            <w:r>
              <w:rPr>
                <w:rFonts w:hint="default" w:ascii="Times New Roman" w:hAnsi="Times New Roman" w:eastAsia="MinionPro-Regular" w:cs="Times New Roman"/>
                <w:color w:val="231F20"/>
                <w:lang w:bidi="ar"/>
              </w:rPr>
              <w:t xml:space="preserve">e to </w:t>
            </w:r>
            <w:r>
              <w:rPr>
                <w:rFonts w:hint="default" w:ascii="Times New Roman" w:hAnsi="Times New Roman" w:eastAsia="宋体" w:cs="Times New Roman"/>
                <w:color w:val="231F20"/>
                <w:lang w:bidi="ar"/>
              </w:rPr>
              <w:t xml:space="preserve">his </w:t>
            </w:r>
            <w:r>
              <w:rPr>
                <w:rFonts w:hint="default" w:ascii="Times New Roman" w:hAnsi="Times New Roman" w:eastAsia="MinionPro-Regular" w:cs="Times New Roman"/>
                <w:color w:val="231F20"/>
                <w:lang w:bidi="ar"/>
              </w:rPr>
              <w:t xml:space="preserve">hepatic failure, </w:t>
            </w:r>
            <w:r>
              <w:rPr>
                <w:rFonts w:hint="default" w:ascii="Times New Roman" w:hAnsi="Times New Roman" w:eastAsia="宋体" w:cs="Times New Roman"/>
                <w:color w:val="231F20"/>
                <w:lang w:bidi="ar"/>
              </w:rPr>
              <w:t>and d</w:t>
            </w:r>
            <w:r>
              <w:rPr>
                <w:rFonts w:hint="default" w:ascii="Times New Roman" w:hAnsi="Times New Roman" w:eastAsia="MinionPro-Regular" w:cs="Times New Roman"/>
                <w:color w:val="231F20"/>
                <w:lang w:bidi="ar"/>
              </w:rPr>
              <w:t xml:space="preserve">ied </w:t>
            </w:r>
            <w:r>
              <w:rPr>
                <w:rFonts w:hint="default" w:ascii="Times New Roman" w:hAnsi="Times New Roman" w:eastAsia="宋体" w:cs="Times New Roman"/>
                <w:color w:val="231F20"/>
                <w:lang w:bidi="ar"/>
              </w:rPr>
              <w:t>nine</w:t>
            </w:r>
            <w:r>
              <w:rPr>
                <w:rFonts w:hint="default" w:ascii="Times New Roman" w:hAnsi="Times New Roman" w:eastAsia="MinionPro-Regular" w:cs="Times New Roman"/>
                <w:color w:val="231F20"/>
                <w:lang w:bidi="ar"/>
              </w:rPr>
              <w:t xml:space="preserve"> days later</w:t>
            </w:r>
            <w:r>
              <w:rPr>
                <w:rFonts w:hint="default" w:ascii="Times New Roman" w:hAnsi="Times New Roman" w:eastAsia="宋体" w:cs="Times New Roman"/>
                <w:color w:val="231F20"/>
                <w:lang w:bidi="ar"/>
              </w:rPr>
              <w:t>.</w:t>
            </w:r>
          </w:p>
        </w:tc>
        <w:tc>
          <w:tcPr>
            <w:tcW w:w="1729" w:type="dxa"/>
            <w:tcBorders>
              <w:bottom w:val="single" w:color="auto" w:sz="8" w:space="0"/>
            </w:tcBorders>
            <w:shd w:val="clear" w:color="auto" w:fill="FBE5D6" w:themeFill="accent2" w:themeFillTint="32"/>
          </w:tcPr>
          <w:p>
            <w:pPr>
              <w:keepNext w:val="0"/>
              <w:keepLines w:val="0"/>
              <w:widowControl/>
              <w:suppressLineNumbers w:val="0"/>
              <w:spacing w:before="0" w:beforeAutospacing="0" w:afterAutospacing="0"/>
              <w:ind w:left="0" w:right="0"/>
              <w:jc w:val="left"/>
              <w:rPr>
                <w:rFonts w:hint="default" w:ascii="Times New Roman" w:hAnsi="Times New Roman" w:eastAsia="MinionPro-Regular" w:cs="Times New Roman"/>
                <w:color w:val="231F20"/>
                <w:lang w:bidi="ar"/>
              </w:rPr>
            </w:pPr>
            <w:r>
              <w:rPr>
                <w:rFonts w:hint="default" w:ascii="Times New Roman" w:hAnsi="Times New Roman" w:eastAsia="MinionPro-Regular" w:cs="Times New Roman"/>
                <w:color w:val="231F20"/>
                <w:lang w:bidi="ar"/>
              </w:rPr>
              <w:t>1</w:t>
            </w:r>
          </w:p>
        </w:tc>
      </w:tr>
      <w:tr>
        <w:tblPrEx>
          <w:tblBorders>
            <w:top w:val="single" w:color="auto" w:sz="8"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88" w:hRule="atLeast"/>
        </w:trPr>
        <w:tc>
          <w:tcPr>
            <w:tcW w:w="13464" w:type="dxa"/>
            <w:gridSpan w:val="6"/>
            <w:tcBorders>
              <w:top w:val="single" w:color="auto" w:sz="8" w:space="0"/>
              <w:bottom w:val="nil"/>
            </w:tcBorders>
            <w:shd w:val="clear" w:color="auto" w:fill="auto"/>
          </w:tcPr>
          <w:p>
            <w:pPr>
              <w:keepNext w:val="0"/>
              <w:keepLines w:val="0"/>
              <w:widowControl/>
              <w:suppressLineNumbers w:val="0"/>
              <w:spacing w:before="0" w:beforeAutospacing="0" w:afterAutospacing="0"/>
              <w:ind w:left="0" w:right="0"/>
              <w:jc w:val="left"/>
              <w:rPr>
                <w:rFonts w:hint="default" w:ascii="Times New Roman" w:hAnsi="Times New Roman" w:eastAsia="宋体" w:cs="Times New Roman"/>
                <w:color w:val="231F20"/>
                <w:lang w:bidi="ar"/>
              </w:rPr>
            </w:pPr>
            <w:r>
              <w:rPr>
                <w:rFonts w:hint="default" w:ascii="Times New Roman" w:hAnsi="Times New Roman" w:eastAsia="宋体" w:cs="Times New Roman"/>
                <w:color w:val="231F20"/>
                <w:lang w:bidi="ar"/>
              </w:rPr>
              <w:t xml:space="preserve">Abbreviations: CSF: Cerebrospinal fluid; CVC: Central venous catheter; STEMI: ST-segment elevation </w:t>
            </w:r>
            <w:bookmarkStart w:id="4" w:name="_GoBack"/>
            <w:r>
              <w:rPr>
                <w:rFonts w:hint="default" w:ascii="Times New Roman" w:hAnsi="Times New Roman" w:eastAsia="宋体" w:cs="Times New Roman"/>
                <w:color w:val="231F20"/>
                <w:lang w:bidi="ar"/>
              </w:rPr>
              <w:t xml:space="preserve">myocardial </w:t>
            </w:r>
            <w:bookmarkEnd w:id="4"/>
            <w:r>
              <w:rPr>
                <w:rFonts w:hint="default" w:ascii="Times New Roman" w:hAnsi="Times New Roman" w:eastAsia="宋体" w:cs="Times New Roman"/>
                <w:color w:val="231F20"/>
                <w:lang w:bidi="ar"/>
              </w:rPr>
              <w:t>infarction; TKA: Total knee arthroplasty.</w:t>
            </w:r>
          </w:p>
        </w:tc>
      </w:tr>
    </w:tbl>
    <w:p>
      <w:pPr>
        <w:rPr>
          <w:rFonts w:hint="default" w:ascii="Times New Roman" w:hAnsi="Times New Roman" w:eastAsia="宋体" w:cs="Times New Roman"/>
          <w:color w:val="231F20"/>
          <w:lang w:bidi="ar"/>
        </w:rPr>
      </w:pPr>
    </w:p>
    <w:sectPr>
      <w:headerReference r:id="rId3" w:type="default"/>
      <w:pgSz w:w="16838" w:h="11906" w:orient="landscape"/>
      <w:pgMar w:top="1440" w:right="1797" w:bottom="1440" w:left="179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KsqycxAdvOTa9103878">
    <w:altName w:val="Segoe Print"/>
    <w:panose1 w:val="00000000000000000000"/>
    <w:charset w:val="00"/>
    <w:family w:val="auto"/>
    <w:pitch w:val="default"/>
    <w:sig w:usb0="00000000" w:usb1="00000000" w:usb2="00000000" w:usb3="00000000" w:csb0="00000000" w:csb1="00000000"/>
  </w:font>
  <w:font w:name="MinionPro-Regular">
    <w:altName w:val="Segoe Print"/>
    <w:panose1 w:val="00000000000000000000"/>
    <w:charset w:val="00"/>
    <w:family w:val="auto"/>
    <w:pitch w:val="default"/>
    <w:sig w:usb0="00000000" w:usb1="00000000" w:usb2="00000000" w:usb3="00000000" w:csb0="00000000"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Segoe Print">
    <w:panose1 w:val="02000600000000000000"/>
    <w:charset w:val="00"/>
    <w:family w:val="auto"/>
    <w:pitch w:val="default"/>
    <w:sig w:usb0="0000028F" w:usb1="00000000" w:usb2="00000000" w:usb3="00000000" w:csb0="2000009F" w:csb1="4701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Pr>
    <w:r>
      <mc:AlternateContent>
        <mc:Choice Requires="wps">
          <w:drawing>
            <wp:anchor distT="0" distB="0" distL="114300" distR="114300" simplePos="0" relativeHeight="251657216" behindDoc="0" locked="0" layoutInCell="1" allowOverlap="1">
              <wp:simplePos x="0" y="0"/>
              <wp:positionH relativeFrom="margin">
                <wp:align>right</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4"/>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721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9j2DAsAgAAV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r2PYMCwCAABVBAAADgAAAAAAAAABACAAAAAfAQAAZHJzL2Uyb0RvYy54bWxQSwUGAAAAAAYA&#10;BgBZAQAAvQUAAAAA&#10;">
              <v:fill on="f" focussize="0,0"/>
              <v:stroke on="f" weight="0.5pt"/>
              <v:imagedata o:title=""/>
              <o:lock v:ext="edit" aspectratio="f"/>
              <v:textbox inset="0mm,0mm,0mm,0mm" style="mso-fit-shape-to-text:t;">
                <w:txbxContent>
                  <w:p>
                    <w:pPr>
                      <w:pStyle w:val="14"/>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20E31C0"/>
    <w:multiLevelType w:val="singleLevel"/>
    <w:tmpl w:val="A20E31C0"/>
    <w:lvl w:ilvl="0" w:tentative="0">
      <w:start w:val="1"/>
      <w:numFmt w:val="decimal"/>
      <w:suff w:val="space"/>
      <w:lvlText w:val="%1."/>
      <w:lvlJc w:val="left"/>
    </w:lvl>
  </w:abstractNum>
  <w:abstractNum w:abstractNumId="1">
    <w:nsid w:val="BC4BAA02"/>
    <w:multiLevelType w:val="singleLevel"/>
    <w:tmpl w:val="BC4BAA02"/>
    <w:lvl w:ilvl="0" w:tentative="0">
      <w:start w:val="1"/>
      <w:numFmt w:val="decimal"/>
      <w:suff w:val="space"/>
      <w:lvlText w:val="%1."/>
      <w:lvlJc w:val="left"/>
    </w:lvl>
  </w:abstractNum>
  <w:abstractNum w:abstractNumId="2">
    <w:nsid w:val="BFE6697B"/>
    <w:multiLevelType w:val="singleLevel"/>
    <w:tmpl w:val="BFE6697B"/>
    <w:lvl w:ilvl="0" w:tentative="0">
      <w:start w:val="1"/>
      <w:numFmt w:val="decimal"/>
      <w:suff w:val="space"/>
      <w:lvlText w:val="%1."/>
      <w:lvlJc w:val="left"/>
    </w:lvl>
  </w:abstractNum>
  <w:abstractNum w:abstractNumId="3">
    <w:nsid w:val="CB6434E7"/>
    <w:multiLevelType w:val="singleLevel"/>
    <w:tmpl w:val="CB6434E7"/>
    <w:lvl w:ilvl="0" w:tentative="0">
      <w:start w:val="1"/>
      <w:numFmt w:val="decimal"/>
      <w:suff w:val="space"/>
      <w:lvlText w:val="%1."/>
      <w:lvlJc w:val="left"/>
    </w:lvl>
  </w:abstractNum>
  <w:abstractNum w:abstractNumId="4">
    <w:nsid w:val="0907BCB7"/>
    <w:multiLevelType w:val="singleLevel"/>
    <w:tmpl w:val="0907BCB7"/>
    <w:lvl w:ilvl="0" w:tentative="0">
      <w:start w:val="1"/>
      <w:numFmt w:val="decimal"/>
      <w:suff w:val="space"/>
      <w:lvlText w:val="%1."/>
      <w:lvlJc w:val="left"/>
    </w:lvl>
  </w:abstractNum>
  <w:abstractNum w:abstractNumId="5">
    <w:nsid w:val="1482775B"/>
    <w:multiLevelType w:val="multilevel"/>
    <w:tmpl w:val="1482775B"/>
    <w:lvl w:ilvl="0" w:tentative="0">
      <w:start w:val="1"/>
      <w:numFmt w:val="decimal"/>
      <w:pStyle w:val="2"/>
      <w:lvlText w:val="%1"/>
      <w:lvlJc w:val="left"/>
      <w:pPr>
        <w:ind w:left="432" w:hanging="432"/>
      </w:pPr>
    </w:lvl>
    <w:lvl w:ilvl="1" w:tentative="0">
      <w:start w:val="1"/>
      <w:numFmt w:val="decimal"/>
      <w:pStyle w:val="3"/>
      <w:lvlText w:val="%1.%2"/>
      <w:lvlJc w:val="left"/>
      <w:pPr>
        <w:ind w:left="576" w:hanging="576"/>
      </w:pPr>
    </w:lvl>
    <w:lvl w:ilvl="2" w:tentative="0">
      <w:start w:val="1"/>
      <w:numFmt w:val="decimal"/>
      <w:pStyle w:val="4"/>
      <w:lvlText w:val="%1.%2.%3"/>
      <w:lvlJc w:val="left"/>
      <w:pPr>
        <w:ind w:left="720" w:hanging="720"/>
      </w:pPr>
    </w:lvl>
    <w:lvl w:ilvl="3" w:tentative="0">
      <w:start w:val="1"/>
      <w:numFmt w:val="decimal"/>
      <w:pStyle w:val="5"/>
      <w:lvlText w:val="%1.%2.%3.%4"/>
      <w:lvlJc w:val="left"/>
      <w:pPr>
        <w:ind w:left="864" w:hanging="864"/>
      </w:pPr>
    </w:lvl>
    <w:lvl w:ilvl="4" w:tentative="0">
      <w:start w:val="1"/>
      <w:numFmt w:val="decimal"/>
      <w:pStyle w:val="6"/>
      <w:lvlText w:val="%1.%2.%3.%4.%5"/>
      <w:lvlJc w:val="left"/>
      <w:pPr>
        <w:ind w:left="1008" w:hanging="1008"/>
      </w:pPr>
    </w:lvl>
    <w:lvl w:ilvl="5" w:tentative="0">
      <w:start w:val="1"/>
      <w:numFmt w:val="decimal"/>
      <w:pStyle w:val="7"/>
      <w:lvlText w:val="%1.%2.%3.%4.%5.%6"/>
      <w:lvlJc w:val="left"/>
      <w:pPr>
        <w:ind w:left="1152" w:hanging="1152"/>
      </w:pPr>
    </w:lvl>
    <w:lvl w:ilvl="6" w:tentative="0">
      <w:start w:val="1"/>
      <w:numFmt w:val="decimal"/>
      <w:pStyle w:val="8"/>
      <w:lvlText w:val="%1.%2.%3.%4.%5.%6.%7"/>
      <w:lvlJc w:val="left"/>
      <w:pPr>
        <w:ind w:left="1296" w:hanging="1296"/>
      </w:pPr>
    </w:lvl>
    <w:lvl w:ilvl="7" w:tentative="0">
      <w:start w:val="1"/>
      <w:numFmt w:val="decimal"/>
      <w:pStyle w:val="9"/>
      <w:lvlText w:val="%1.%2.%3.%4.%5.%6.%7.%8"/>
      <w:lvlJc w:val="left"/>
      <w:pPr>
        <w:ind w:left="1440" w:hanging="1440"/>
      </w:pPr>
    </w:lvl>
    <w:lvl w:ilvl="8" w:tentative="0">
      <w:start w:val="1"/>
      <w:numFmt w:val="decimal"/>
      <w:pStyle w:val="10"/>
      <w:lvlText w:val="%1.%2.%3.%4.%5.%6.%7.%8.%9"/>
      <w:lvlJc w:val="left"/>
      <w:pPr>
        <w:ind w:left="1584" w:hanging="1584"/>
      </w:pPr>
    </w:lvl>
  </w:abstractNum>
  <w:abstractNum w:abstractNumId="6">
    <w:nsid w:val="2A41DD5D"/>
    <w:multiLevelType w:val="singleLevel"/>
    <w:tmpl w:val="2A41DD5D"/>
    <w:lvl w:ilvl="0" w:tentative="0">
      <w:start w:val="1"/>
      <w:numFmt w:val="decimal"/>
      <w:suff w:val="space"/>
      <w:lvlText w:val="%1."/>
      <w:lvlJc w:val="left"/>
    </w:lvl>
  </w:abstractNum>
  <w:abstractNum w:abstractNumId="7">
    <w:nsid w:val="31B40C96"/>
    <w:multiLevelType w:val="singleLevel"/>
    <w:tmpl w:val="31B40C96"/>
    <w:lvl w:ilvl="0" w:tentative="0">
      <w:start w:val="1"/>
      <w:numFmt w:val="decimal"/>
      <w:suff w:val="space"/>
      <w:lvlText w:val="%1."/>
      <w:lvlJc w:val="left"/>
    </w:lvl>
  </w:abstractNum>
  <w:abstractNum w:abstractNumId="8">
    <w:nsid w:val="53FCD27A"/>
    <w:multiLevelType w:val="singleLevel"/>
    <w:tmpl w:val="53FCD27A"/>
    <w:lvl w:ilvl="0" w:tentative="0">
      <w:start w:val="1"/>
      <w:numFmt w:val="decimal"/>
      <w:suff w:val="space"/>
      <w:lvlText w:val="%1."/>
      <w:lvlJc w:val="left"/>
    </w:lvl>
  </w:abstractNum>
  <w:abstractNum w:abstractNumId="9">
    <w:nsid w:val="6B2B5B5C"/>
    <w:multiLevelType w:val="singleLevel"/>
    <w:tmpl w:val="6B2B5B5C"/>
    <w:lvl w:ilvl="0" w:tentative="0">
      <w:start w:val="1"/>
      <w:numFmt w:val="decimal"/>
      <w:suff w:val="space"/>
      <w:lvlText w:val="%1."/>
      <w:lvlJc w:val="left"/>
    </w:lvl>
  </w:abstractNum>
  <w:num w:numId="1">
    <w:abstractNumId w:val="5"/>
  </w:num>
  <w:num w:numId="2">
    <w:abstractNumId w:val="3"/>
  </w:num>
  <w:num w:numId="3">
    <w:abstractNumId w:val="4"/>
  </w:num>
  <w:num w:numId="4">
    <w:abstractNumId w:val="0"/>
  </w:num>
  <w:num w:numId="5">
    <w:abstractNumId w:val="7"/>
  </w:num>
  <w:num w:numId="6">
    <w:abstractNumId w:val="9"/>
  </w:num>
  <w:num w:numId="7">
    <w:abstractNumId w:val="6"/>
  </w:num>
  <w:num w:numId="8">
    <w:abstractNumId w:val="2"/>
  </w:num>
  <w:num w:numId="9">
    <w:abstractNumId w:val="8"/>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zoom w:percent="90"/>
  <w:embedSystemFonts/>
  <w:bordersDoNotSurroundHeader w:val="1"/>
  <w:bordersDoNotSurroundFooter w:val="1"/>
  <w:documentProtection w:enforcement="0"/>
  <w:defaultTabStop w:val="420"/>
  <w:drawingGridHorizontalSpacing w:val="110"/>
  <w:drawingGridVerticalSpacing w:val="156"/>
  <w:displayHorizontalDrawingGridEvery w:val="0"/>
  <w:displayVerticalDrawingGridEvery w:val="2"/>
  <w:characterSpacingControl w:val="compressPunctuation"/>
  <w:compat>
    <w:spaceForUL/>
    <w:balanceSingleByteDoubleByteWidth/>
    <w:doNotLeaveBackslashAlone/>
    <w:doNotExpandShiftReturn/>
    <w:adjustLineHeightInTable/>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SpringerVancouverNumber&lt;/Style&gt;&lt;LeftDelim&gt;{&lt;/LeftDelim&gt;&lt;RightDelim&gt;}&lt;/RightDelim&gt;&lt;FontName&gt;Calibri&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xf90r5xacf59f9eez5c5v05w5002xp0w20fz&quot;&gt;My EndNote Library&lt;record-ids&gt;&lt;item&gt;10044&lt;/item&gt;&lt;item&gt;10045&lt;/item&gt;&lt;item&gt;10046&lt;/item&gt;&lt;item&gt;10047&lt;/item&gt;&lt;item&gt;10048&lt;/item&gt;&lt;item&gt;10049&lt;/item&gt;&lt;item&gt;10050&lt;/item&gt;&lt;item&gt;10051&lt;/item&gt;&lt;item&gt;10052&lt;/item&gt;&lt;item&gt;10053&lt;/item&gt;&lt;item&gt;10054&lt;/item&gt;&lt;item&gt;10055&lt;/item&gt;&lt;item&gt;10056&lt;/item&gt;&lt;item&gt;10058&lt;/item&gt;&lt;item&gt;10059&lt;/item&gt;&lt;item&gt;10060&lt;/item&gt;&lt;item&gt;10062&lt;/item&gt;&lt;item&gt;10063&lt;/item&gt;&lt;item&gt;10064&lt;/item&gt;&lt;item&gt;10069&lt;/item&gt;&lt;item&gt;10070&lt;/item&gt;&lt;item&gt;10071&lt;/item&gt;&lt;item&gt;10072&lt;/item&gt;&lt;item&gt;10073&lt;/item&gt;&lt;item&gt;10074&lt;/item&gt;&lt;item&gt;10075&lt;/item&gt;&lt;item&gt;10076&lt;/item&gt;&lt;item&gt;10077&lt;/item&gt;&lt;item&gt;10078&lt;/item&gt;&lt;item&gt;10080&lt;/item&gt;&lt;item&gt;10082&lt;/item&gt;&lt;item&gt;10083&lt;/item&gt;&lt;item&gt;10084&lt;/item&gt;&lt;item&gt;10085&lt;/item&gt;&lt;item&gt;10086&lt;/item&gt;&lt;item&gt;10087&lt;/item&gt;&lt;item&gt;10089&lt;/item&gt;&lt;item&gt;10091&lt;/item&gt;&lt;item&gt;10092&lt;/item&gt;&lt;item&gt;10093&lt;/item&gt;&lt;item&gt;10094&lt;/item&gt;&lt;item&gt;10095&lt;/item&gt;&lt;item&gt;10097&lt;/item&gt;&lt;item&gt;10098&lt;/item&gt;&lt;/record-ids&gt;&lt;/item&gt;&lt;/Libraries&gt;"/>
  </w:docVars>
  <w:rsids>
    <w:rsidRoot w:val="4E7B9800"/>
    <w:rsid w:val="00001581"/>
    <w:rsid w:val="00002CBE"/>
    <w:rsid w:val="00003489"/>
    <w:rsid w:val="00007794"/>
    <w:rsid w:val="00016F80"/>
    <w:rsid w:val="0003109A"/>
    <w:rsid w:val="00040B9E"/>
    <w:rsid w:val="000445A3"/>
    <w:rsid w:val="000450DF"/>
    <w:rsid w:val="00047A83"/>
    <w:rsid w:val="0005633A"/>
    <w:rsid w:val="00057DBA"/>
    <w:rsid w:val="000603D0"/>
    <w:rsid w:val="00066C19"/>
    <w:rsid w:val="00071F7D"/>
    <w:rsid w:val="00074765"/>
    <w:rsid w:val="000768E9"/>
    <w:rsid w:val="00087152"/>
    <w:rsid w:val="00091D3B"/>
    <w:rsid w:val="000C165A"/>
    <w:rsid w:val="000C2389"/>
    <w:rsid w:val="000D055D"/>
    <w:rsid w:val="000D6627"/>
    <w:rsid w:val="00103F12"/>
    <w:rsid w:val="001304FD"/>
    <w:rsid w:val="001360C5"/>
    <w:rsid w:val="001407CD"/>
    <w:rsid w:val="001442E5"/>
    <w:rsid w:val="001476B4"/>
    <w:rsid w:val="00147898"/>
    <w:rsid w:val="00151438"/>
    <w:rsid w:val="0015724A"/>
    <w:rsid w:val="0017442C"/>
    <w:rsid w:val="00175C9F"/>
    <w:rsid w:val="001830FA"/>
    <w:rsid w:val="001842B4"/>
    <w:rsid w:val="00192695"/>
    <w:rsid w:val="00195166"/>
    <w:rsid w:val="00195420"/>
    <w:rsid w:val="001A0DFE"/>
    <w:rsid w:val="001A437E"/>
    <w:rsid w:val="001D321D"/>
    <w:rsid w:val="001D68D7"/>
    <w:rsid w:val="001D6ACE"/>
    <w:rsid w:val="001D76E6"/>
    <w:rsid w:val="001E5523"/>
    <w:rsid w:val="001E6046"/>
    <w:rsid w:val="00201AE5"/>
    <w:rsid w:val="00207DC7"/>
    <w:rsid w:val="00215DF0"/>
    <w:rsid w:val="00226C79"/>
    <w:rsid w:val="0023326E"/>
    <w:rsid w:val="002350AC"/>
    <w:rsid w:val="0023656F"/>
    <w:rsid w:val="00266F8F"/>
    <w:rsid w:val="00270EF1"/>
    <w:rsid w:val="00283593"/>
    <w:rsid w:val="0028368D"/>
    <w:rsid w:val="002A4686"/>
    <w:rsid w:val="002A4E12"/>
    <w:rsid w:val="002A75DC"/>
    <w:rsid w:val="002C010F"/>
    <w:rsid w:val="002C1535"/>
    <w:rsid w:val="002C437E"/>
    <w:rsid w:val="002C5A30"/>
    <w:rsid w:val="002C6796"/>
    <w:rsid w:val="002E0D05"/>
    <w:rsid w:val="002E75F5"/>
    <w:rsid w:val="002F277E"/>
    <w:rsid w:val="00332471"/>
    <w:rsid w:val="00336954"/>
    <w:rsid w:val="00356E06"/>
    <w:rsid w:val="0036394F"/>
    <w:rsid w:val="003707B1"/>
    <w:rsid w:val="00374927"/>
    <w:rsid w:val="00380AED"/>
    <w:rsid w:val="00381675"/>
    <w:rsid w:val="003907DB"/>
    <w:rsid w:val="003E7AA1"/>
    <w:rsid w:val="003F40EC"/>
    <w:rsid w:val="00412350"/>
    <w:rsid w:val="00423C1D"/>
    <w:rsid w:val="0042499A"/>
    <w:rsid w:val="00426545"/>
    <w:rsid w:val="00427701"/>
    <w:rsid w:val="00430691"/>
    <w:rsid w:val="00434A1B"/>
    <w:rsid w:val="004350DA"/>
    <w:rsid w:val="004466F4"/>
    <w:rsid w:val="0047342D"/>
    <w:rsid w:val="0047447B"/>
    <w:rsid w:val="00486C71"/>
    <w:rsid w:val="004C2BC9"/>
    <w:rsid w:val="004C7E5B"/>
    <w:rsid w:val="004D0E11"/>
    <w:rsid w:val="004E73BF"/>
    <w:rsid w:val="004F3B74"/>
    <w:rsid w:val="004F4862"/>
    <w:rsid w:val="004F4F06"/>
    <w:rsid w:val="00500785"/>
    <w:rsid w:val="0053453F"/>
    <w:rsid w:val="005349CE"/>
    <w:rsid w:val="0053606B"/>
    <w:rsid w:val="00552D23"/>
    <w:rsid w:val="00556F47"/>
    <w:rsid w:val="0057469D"/>
    <w:rsid w:val="00576AE9"/>
    <w:rsid w:val="00580B1A"/>
    <w:rsid w:val="00587AC0"/>
    <w:rsid w:val="00593EF6"/>
    <w:rsid w:val="005B0F6B"/>
    <w:rsid w:val="005B1429"/>
    <w:rsid w:val="005C138B"/>
    <w:rsid w:val="005D6FAC"/>
    <w:rsid w:val="005D7782"/>
    <w:rsid w:val="005F252F"/>
    <w:rsid w:val="005F4DB7"/>
    <w:rsid w:val="006040F0"/>
    <w:rsid w:val="00626A8E"/>
    <w:rsid w:val="0063504F"/>
    <w:rsid w:val="0064474C"/>
    <w:rsid w:val="00654A6A"/>
    <w:rsid w:val="00663D87"/>
    <w:rsid w:val="00664DC7"/>
    <w:rsid w:val="0068043F"/>
    <w:rsid w:val="0068281C"/>
    <w:rsid w:val="006A3989"/>
    <w:rsid w:val="006B2936"/>
    <w:rsid w:val="006B7B64"/>
    <w:rsid w:val="006C0B9D"/>
    <w:rsid w:val="006C0CBE"/>
    <w:rsid w:val="006C68EF"/>
    <w:rsid w:val="006D5F02"/>
    <w:rsid w:val="0070053B"/>
    <w:rsid w:val="00717A04"/>
    <w:rsid w:val="007202AE"/>
    <w:rsid w:val="00730817"/>
    <w:rsid w:val="00731ED7"/>
    <w:rsid w:val="007418EB"/>
    <w:rsid w:val="00751C0C"/>
    <w:rsid w:val="007560A1"/>
    <w:rsid w:val="0076028E"/>
    <w:rsid w:val="0076072A"/>
    <w:rsid w:val="007723E0"/>
    <w:rsid w:val="007761A1"/>
    <w:rsid w:val="00787071"/>
    <w:rsid w:val="00794302"/>
    <w:rsid w:val="007A5149"/>
    <w:rsid w:val="007B149D"/>
    <w:rsid w:val="007B4D51"/>
    <w:rsid w:val="007B65C9"/>
    <w:rsid w:val="007D4833"/>
    <w:rsid w:val="007F06C2"/>
    <w:rsid w:val="007F448E"/>
    <w:rsid w:val="00801175"/>
    <w:rsid w:val="0080197C"/>
    <w:rsid w:val="00805530"/>
    <w:rsid w:val="008060AC"/>
    <w:rsid w:val="008148DF"/>
    <w:rsid w:val="00826D18"/>
    <w:rsid w:val="00832C28"/>
    <w:rsid w:val="008467C8"/>
    <w:rsid w:val="00852652"/>
    <w:rsid w:val="00854D4A"/>
    <w:rsid w:val="008608FB"/>
    <w:rsid w:val="00876850"/>
    <w:rsid w:val="00886CFB"/>
    <w:rsid w:val="008D478B"/>
    <w:rsid w:val="008D5738"/>
    <w:rsid w:val="008D72C8"/>
    <w:rsid w:val="008E5BAD"/>
    <w:rsid w:val="008F6AEB"/>
    <w:rsid w:val="008F7773"/>
    <w:rsid w:val="008F7E48"/>
    <w:rsid w:val="009013D7"/>
    <w:rsid w:val="00902352"/>
    <w:rsid w:val="00912B81"/>
    <w:rsid w:val="009161DB"/>
    <w:rsid w:val="00933B35"/>
    <w:rsid w:val="00937C6A"/>
    <w:rsid w:val="00941277"/>
    <w:rsid w:val="00952A76"/>
    <w:rsid w:val="00953A67"/>
    <w:rsid w:val="00955CEB"/>
    <w:rsid w:val="009624E5"/>
    <w:rsid w:val="0096373D"/>
    <w:rsid w:val="00970305"/>
    <w:rsid w:val="009757C2"/>
    <w:rsid w:val="009C71DB"/>
    <w:rsid w:val="009C7A50"/>
    <w:rsid w:val="009D15FF"/>
    <w:rsid w:val="00A00A17"/>
    <w:rsid w:val="00A037DD"/>
    <w:rsid w:val="00A06AD5"/>
    <w:rsid w:val="00A2706E"/>
    <w:rsid w:val="00A337CA"/>
    <w:rsid w:val="00A341CC"/>
    <w:rsid w:val="00A41A00"/>
    <w:rsid w:val="00A43E49"/>
    <w:rsid w:val="00A608E3"/>
    <w:rsid w:val="00A703AB"/>
    <w:rsid w:val="00A76808"/>
    <w:rsid w:val="00A82E63"/>
    <w:rsid w:val="00A874AB"/>
    <w:rsid w:val="00AA7AFD"/>
    <w:rsid w:val="00AD279F"/>
    <w:rsid w:val="00AE3B10"/>
    <w:rsid w:val="00AE5817"/>
    <w:rsid w:val="00AE71A4"/>
    <w:rsid w:val="00AE7A9E"/>
    <w:rsid w:val="00B0568F"/>
    <w:rsid w:val="00B17A81"/>
    <w:rsid w:val="00B3466C"/>
    <w:rsid w:val="00B4025E"/>
    <w:rsid w:val="00B43DD6"/>
    <w:rsid w:val="00B50A1D"/>
    <w:rsid w:val="00B516F9"/>
    <w:rsid w:val="00B5276F"/>
    <w:rsid w:val="00B546CF"/>
    <w:rsid w:val="00B65A7B"/>
    <w:rsid w:val="00B765F6"/>
    <w:rsid w:val="00B77857"/>
    <w:rsid w:val="00B8329E"/>
    <w:rsid w:val="00B92C25"/>
    <w:rsid w:val="00B97917"/>
    <w:rsid w:val="00BB562E"/>
    <w:rsid w:val="00BB5DEB"/>
    <w:rsid w:val="00BC2B21"/>
    <w:rsid w:val="00BC40A7"/>
    <w:rsid w:val="00BD06A5"/>
    <w:rsid w:val="00BE408B"/>
    <w:rsid w:val="00BE6011"/>
    <w:rsid w:val="00BF3E2F"/>
    <w:rsid w:val="00BF3F88"/>
    <w:rsid w:val="00C01B15"/>
    <w:rsid w:val="00C12336"/>
    <w:rsid w:val="00C16868"/>
    <w:rsid w:val="00C27F78"/>
    <w:rsid w:val="00C63DC0"/>
    <w:rsid w:val="00C65593"/>
    <w:rsid w:val="00C85C05"/>
    <w:rsid w:val="00C9633B"/>
    <w:rsid w:val="00CA642A"/>
    <w:rsid w:val="00CB3D89"/>
    <w:rsid w:val="00CC0C57"/>
    <w:rsid w:val="00CD6FB2"/>
    <w:rsid w:val="00D04AF1"/>
    <w:rsid w:val="00D30288"/>
    <w:rsid w:val="00D53827"/>
    <w:rsid w:val="00D5669E"/>
    <w:rsid w:val="00D56773"/>
    <w:rsid w:val="00D63F70"/>
    <w:rsid w:val="00D64B5E"/>
    <w:rsid w:val="00D655BC"/>
    <w:rsid w:val="00D65E8F"/>
    <w:rsid w:val="00D82597"/>
    <w:rsid w:val="00DA389E"/>
    <w:rsid w:val="00DB1D2C"/>
    <w:rsid w:val="00DC1C12"/>
    <w:rsid w:val="00DF4DD0"/>
    <w:rsid w:val="00E037F1"/>
    <w:rsid w:val="00E125CC"/>
    <w:rsid w:val="00E24166"/>
    <w:rsid w:val="00E32E7A"/>
    <w:rsid w:val="00E3334B"/>
    <w:rsid w:val="00E40108"/>
    <w:rsid w:val="00E41E07"/>
    <w:rsid w:val="00E44123"/>
    <w:rsid w:val="00E74026"/>
    <w:rsid w:val="00E86BFC"/>
    <w:rsid w:val="00E87262"/>
    <w:rsid w:val="00E926F6"/>
    <w:rsid w:val="00E94077"/>
    <w:rsid w:val="00EA63E7"/>
    <w:rsid w:val="00EB57B5"/>
    <w:rsid w:val="00EB6A66"/>
    <w:rsid w:val="00EB7E5F"/>
    <w:rsid w:val="00EC05E6"/>
    <w:rsid w:val="00EC1DBC"/>
    <w:rsid w:val="00EC3373"/>
    <w:rsid w:val="00ED2A4D"/>
    <w:rsid w:val="00EF2A5E"/>
    <w:rsid w:val="00EF4AC7"/>
    <w:rsid w:val="00F169E6"/>
    <w:rsid w:val="00F21B3B"/>
    <w:rsid w:val="00F32F87"/>
    <w:rsid w:val="00F54493"/>
    <w:rsid w:val="00F55F07"/>
    <w:rsid w:val="00F57407"/>
    <w:rsid w:val="00FA1D14"/>
    <w:rsid w:val="00FA5D95"/>
    <w:rsid w:val="00FB1163"/>
    <w:rsid w:val="00FB77CE"/>
    <w:rsid w:val="00FC0DB2"/>
    <w:rsid w:val="00FD1786"/>
    <w:rsid w:val="00FD473A"/>
    <w:rsid w:val="00FD5601"/>
    <w:rsid w:val="00FE5A92"/>
    <w:rsid w:val="00FF088A"/>
    <w:rsid w:val="00FF3F9E"/>
    <w:rsid w:val="01D87E9C"/>
    <w:rsid w:val="020B7622"/>
    <w:rsid w:val="022C275F"/>
    <w:rsid w:val="029204B4"/>
    <w:rsid w:val="03DF4B0F"/>
    <w:rsid w:val="04715488"/>
    <w:rsid w:val="04D64C77"/>
    <w:rsid w:val="0519287F"/>
    <w:rsid w:val="062E67DF"/>
    <w:rsid w:val="066773B9"/>
    <w:rsid w:val="07335205"/>
    <w:rsid w:val="07881ED7"/>
    <w:rsid w:val="07C424BD"/>
    <w:rsid w:val="08225664"/>
    <w:rsid w:val="08D37D46"/>
    <w:rsid w:val="098A5ECE"/>
    <w:rsid w:val="0A09527F"/>
    <w:rsid w:val="0ADB4AA8"/>
    <w:rsid w:val="0B272F2B"/>
    <w:rsid w:val="0B453CC8"/>
    <w:rsid w:val="0C0F2AB1"/>
    <w:rsid w:val="0C511487"/>
    <w:rsid w:val="0C9D0602"/>
    <w:rsid w:val="0CA7735F"/>
    <w:rsid w:val="0CFA2282"/>
    <w:rsid w:val="0D4F15EA"/>
    <w:rsid w:val="0DE24FE6"/>
    <w:rsid w:val="0EA30950"/>
    <w:rsid w:val="0EE87861"/>
    <w:rsid w:val="0EF738C0"/>
    <w:rsid w:val="0FAE7F9F"/>
    <w:rsid w:val="0FC12EEC"/>
    <w:rsid w:val="0FF763E0"/>
    <w:rsid w:val="10564B5D"/>
    <w:rsid w:val="108D5D8E"/>
    <w:rsid w:val="10CC32D7"/>
    <w:rsid w:val="11295E38"/>
    <w:rsid w:val="118044F0"/>
    <w:rsid w:val="12604A7D"/>
    <w:rsid w:val="137615A6"/>
    <w:rsid w:val="13A674FD"/>
    <w:rsid w:val="13D62C14"/>
    <w:rsid w:val="13F54D81"/>
    <w:rsid w:val="14444196"/>
    <w:rsid w:val="145511F5"/>
    <w:rsid w:val="158C39C2"/>
    <w:rsid w:val="15BC5875"/>
    <w:rsid w:val="15C97FF4"/>
    <w:rsid w:val="161851DB"/>
    <w:rsid w:val="17096B77"/>
    <w:rsid w:val="174E583D"/>
    <w:rsid w:val="17585200"/>
    <w:rsid w:val="17E40256"/>
    <w:rsid w:val="17ED212E"/>
    <w:rsid w:val="18A24ADE"/>
    <w:rsid w:val="18D7026A"/>
    <w:rsid w:val="195C39CF"/>
    <w:rsid w:val="19BF2F81"/>
    <w:rsid w:val="1B304465"/>
    <w:rsid w:val="1C7E461B"/>
    <w:rsid w:val="1D2429D9"/>
    <w:rsid w:val="1D395CF5"/>
    <w:rsid w:val="1DD21AD7"/>
    <w:rsid w:val="1EFE5DF5"/>
    <w:rsid w:val="1F27118D"/>
    <w:rsid w:val="201A16C5"/>
    <w:rsid w:val="2071491D"/>
    <w:rsid w:val="20DC598B"/>
    <w:rsid w:val="22A04A1D"/>
    <w:rsid w:val="22B20725"/>
    <w:rsid w:val="234A12A8"/>
    <w:rsid w:val="23C33D6C"/>
    <w:rsid w:val="23FC073F"/>
    <w:rsid w:val="241F50F5"/>
    <w:rsid w:val="242A12B0"/>
    <w:rsid w:val="243A26C1"/>
    <w:rsid w:val="243E2A39"/>
    <w:rsid w:val="243F7ECE"/>
    <w:rsid w:val="255A401B"/>
    <w:rsid w:val="2588300A"/>
    <w:rsid w:val="26A9788C"/>
    <w:rsid w:val="280C11D5"/>
    <w:rsid w:val="281632D1"/>
    <w:rsid w:val="28A53ECC"/>
    <w:rsid w:val="28E63552"/>
    <w:rsid w:val="296011E8"/>
    <w:rsid w:val="296B10BB"/>
    <w:rsid w:val="298A3B2A"/>
    <w:rsid w:val="29CF2200"/>
    <w:rsid w:val="2A393DDC"/>
    <w:rsid w:val="2AB77CDF"/>
    <w:rsid w:val="2BBE70F4"/>
    <w:rsid w:val="2C1641AB"/>
    <w:rsid w:val="2C4E6240"/>
    <w:rsid w:val="2C9B64B9"/>
    <w:rsid w:val="2E154CCF"/>
    <w:rsid w:val="2E3F4B85"/>
    <w:rsid w:val="2E601B7E"/>
    <w:rsid w:val="2F345083"/>
    <w:rsid w:val="2F8931C6"/>
    <w:rsid w:val="304247CE"/>
    <w:rsid w:val="30534E3E"/>
    <w:rsid w:val="3087588A"/>
    <w:rsid w:val="308D009F"/>
    <w:rsid w:val="30F313B4"/>
    <w:rsid w:val="31397A6F"/>
    <w:rsid w:val="31C12084"/>
    <w:rsid w:val="326C6676"/>
    <w:rsid w:val="32CF6B69"/>
    <w:rsid w:val="3328280F"/>
    <w:rsid w:val="337E2E1F"/>
    <w:rsid w:val="33B50E06"/>
    <w:rsid w:val="34742C7F"/>
    <w:rsid w:val="348E7272"/>
    <w:rsid w:val="35096B21"/>
    <w:rsid w:val="355E703B"/>
    <w:rsid w:val="35A72CBD"/>
    <w:rsid w:val="362176B7"/>
    <w:rsid w:val="36E80399"/>
    <w:rsid w:val="37B130C3"/>
    <w:rsid w:val="38140D77"/>
    <w:rsid w:val="3875400C"/>
    <w:rsid w:val="38E94E13"/>
    <w:rsid w:val="3A55194D"/>
    <w:rsid w:val="3A696A6C"/>
    <w:rsid w:val="3A905066"/>
    <w:rsid w:val="3B391CCF"/>
    <w:rsid w:val="3D4A7EC8"/>
    <w:rsid w:val="3D681AC6"/>
    <w:rsid w:val="3DB47F10"/>
    <w:rsid w:val="3DB93431"/>
    <w:rsid w:val="3DF9791A"/>
    <w:rsid w:val="3EF0051F"/>
    <w:rsid w:val="3FAA6D20"/>
    <w:rsid w:val="3FE16AC8"/>
    <w:rsid w:val="40175120"/>
    <w:rsid w:val="40D73CE9"/>
    <w:rsid w:val="416F1464"/>
    <w:rsid w:val="4172552E"/>
    <w:rsid w:val="41AE2E08"/>
    <w:rsid w:val="41F96BB3"/>
    <w:rsid w:val="420A1AB6"/>
    <w:rsid w:val="42647011"/>
    <w:rsid w:val="42BD03D1"/>
    <w:rsid w:val="437F18E6"/>
    <w:rsid w:val="438D26A7"/>
    <w:rsid w:val="444B2A61"/>
    <w:rsid w:val="444E5542"/>
    <w:rsid w:val="4472766D"/>
    <w:rsid w:val="45B329A7"/>
    <w:rsid w:val="45BD2571"/>
    <w:rsid w:val="464B62C4"/>
    <w:rsid w:val="469816E2"/>
    <w:rsid w:val="4796289E"/>
    <w:rsid w:val="47F10512"/>
    <w:rsid w:val="48447BBA"/>
    <w:rsid w:val="48755C59"/>
    <w:rsid w:val="49131CB8"/>
    <w:rsid w:val="492F42C8"/>
    <w:rsid w:val="496C1BFD"/>
    <w:rsid w:val="49C36ABB"/>
    <w:rsid w:val="49C41D9A"/>
    <w:rsid w:val="4A002EF1"/>
    <w:rsid w:val="4A755BDA"/>
    <w:rsid w:val="4AED15AA"/>
    <w:rsid w:val="4AF126D0"/>
    <w:rsid w:val="4B3633B7"/>
    <w:rsid w:val="4B3F4273"/>
    <w:rsid w:val="4BDF6F6C"/>
    <w:rsid w:val="4C2C60A5"/>
    <w:rsid w:val="4C7104FB"/>
    <w:rsid w:val="4C7E4317"/>
    <w:rsid w:val="4CE92918"/>
    <w:rsid w:val="4D031BFE"/>
    <w:rsid w:val="4D5A11E8"/>
    <w:rsid w:val="4D87680F"/>
    <w:rsid w:val="4DED0D6D"/>
    <w:rsid w:val="4E0D3DF3"/>
    <w:rsid w:val="4E6C4134"/>
    <w:rsid w:val="4E7B9800"/>
    <w:rsid w:val="4E806D0A"/>
    <w:rsid w:val="4EF71688"/>
    <w:rsid w:val="4F067BDD"/>
    <w:rsid w:val="4F436741"/>
    <w:rsid w:val="4FBB7E2B"/>
    <w:rsid w:val="501A7F45"/>
    <w:rsid w:val="504920D6"/>
    <w:rsid w:val="511D6373"/>
    <w:rsid w:val="51FC568F"/>
    <w:rsid w:val="531F4610"/>
    <w:rsid w:val="541D0C15"/>
    <w:rsid w:val="547243A1"/>
    <w:rsid w:val="54E11245"/>
    <w:rsid w:val="54EC54E6"/>
    <w:rsid w:val="5511333B"/>
    <w:rsid w:val="566C6C4F"/>
    <w:rsid w:val="56B52D4F"/>
    <w:rsid w:val="56B849BF"/>
    <w:rsid w:val="575C4644"/>
    <w:rsid w:val="5801105C"/>
    <w:rsid w:val="58A85E3F"/>
    <w:rsid w:val="58FB4BF5"/>
    <w:rsid w:val="590E0107"/>
    <w:rsid w:val="59855CFD"/>
    <w:rsid w:val="59A921EA"/>
    <w:rsid w:val="59DF57F0"/>
    <w:rsid w:val="5A237BA0"/>
    <w:rsid w:val="5A4E3691"/>
    <w:rsid w:val="5A682B17"/>
    <w:rsid w:val="5A7503BC"/>
    <w:rsid w:val="5AD363ED"/>
    <w:rsid w:val="5B403C93"/>
    <w:rsid w:val="5BDB68CE"/>
    <w:rsid w:val="5BDC0B66"/>
    <w:rsid w:val="5C491A52"/>
    <w:rsid w:val="5CD2621E"/>
    <w:rsid w:val="5F006F4F"/>
    <w:rsid w:val="5F151125"/>
    <w:rsid w:val="5F80520A"/>
    <w:rsid w:val="5FE628AF"/>
    <w:rsid w:val="605E4818"/>
    <w:rsid w:val="60A77DBA"/>
    <w:rsid w:val="60BD73FE"/>
    <w:rsid w:val="61034B8D"/>
    <w:rsid w:val="61111269"/>
    <w:rsid w:val="6162653D"/>
    <w:rsid w:val="61AD586C"/>
    <w:rsid w:val="639A33A2"/>
    <w:rsid w:val="63A31655"/>
    <w:rsid w:val="63B91863"/>
    <w:rsid w:val="641A37D8"/>
    <w:rsid w:val="643B03DE"/>
    <w:rsid w:val="64AD0350"/>
    <w:rsid w:val="64BC1633"/>
    <w:rsid w:val="65E749B7"/>
    <w:rsid w:val="662D05E3"/>
    <w:rsid w:val="66B701BE"/>
    <w:rsid w:val="66C2014A"/>
    <w:rsid w:val="677947A0"/>
    <w:rsid w:val="684535DD"/>
    <w:rsid w:val="68AA2122"/>
    <w:rsid w:val="690556C3"/>
    <w:rsid w:val="69DB7BBB"/>
    <w:rsid w:val="69DD4DC6"/>
    <w:rsid w:val="6B994C3A"/>
    <w:rsid w:val="6D8E7105"/>
    <w:rsid w:val="6DE800BB"/>
    <w:rsid w:val="6E003087"/>
    <w:rsid w:val="6E833972"/>
    <w:rsid w:val="6EDA4FC9"/>
    <w:rsid w:val="6EFC3FF5"/>
    <w:rsid w:val="6F0F6078"/>
    <w:rsid w:val="6F3E161D"/>
    <w:rsid w:val="70C74A13"/>
    <w:rsid w:val="711A5F50"/>
    <w:rsid w:val="713C5EA9"/>
    <w:rsid w:val="72052776"/>
    <w:rsid w:val="735B1527"/>
    <w:rsid w:val="73D15362"/>
    <w:rsid w:val="73D5075C"/>
    <w:rsid w:val="74F925F6"/>
    <w:rsid w:val="76911ADD"/>
    <w:rsid w:val="76C63058"/>
    <w:rsid w:val="76D119BE"/>
    <w:rsid w:val="771E5460"/>
    <w:rsid w:val="780B15FD"/>
    <w:rsid w:val="7827524E"/>
    <w:rsid w:val="787A6A64"/>
    <w:rsid w:val="78BC0564"/>
    <w:rsid w:val="79DB5B89"/>
    <w:rsid w:val="7B137627"/>
    <w:rsid w:val="7BFE3B25"/>
    <w:rsid w:val="7C3F5747"/>
    <w:rsid w:val="7CAB187C"/>
    <w:rsid w:val="7D3D4953"/>
    <w:rsid w:val="7D6A12D5"/>
    <w:rsid w:val="7DA007F0"/>
    <w:rsid w:val="7DEF1060"/>
    <w:rsid w:val="7E2A1A5B"/>
    <w:rsid w:val="7E5E71F9"/>
    <w:rsid w:val="7EDBFCD2"/>
    <w:rsid w:val="7FD31CA8"/>
    <w:rsid w:val="9D2F41DB"/>
    <w:rsid w:val="AE5BCF29"/>
    <w:rsid w:val="DB3B7AFA"/>
    <w:rsid w:val="DBEDE802"/>
    <w:rsid w:val="FDFFFCD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99"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35" w:name="caption"/>
    <w:lsdException w:unhideWhenUsed="0" w:uiPriority="0" w:semiHidden="0" w:name="table of figures"/>
    <w:lsdException w:unhideWhenUsed="0" w:uiPriority="0" w:semiHidden="0" w:name="envelope address"/>
    <w:lsdException w:unhideWhenUsed="0" w:uiPriority="0" w:semiHidden="0" w:name="envelope return"/>
    <w:lsdException w:qFormat="1" w:unhideWhenUsed="0" w:uiPriority="99"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11"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2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160" w:line="259" w:lineRule="auto"/>
    </w:pPr>
    <w:rPr>
      <w:rFonts w:asciiTheme="minorHAnsi" w:hAnsiTheme="minorHAnsi" w:eastAsiaTheme="minorEastAsia" w:cstheme="minorBidi"/>
      <w:sz w:val="22"/>
      <w:szCs w:val="22"/>
      <w:lang w:val="en-US" w:eastAsia="zh-CN" w:bidi="ar-SA"/>
    </w:rPr>
  </w:style>
  <w:style w:type="paragraph" w:styleId="2">
    <w:name w:val="heading 1"/>
    <w:basedOn w:val="1"/>
    <w:next w:val="1"/>
    <w:link w:val="31"/>
    <w:qFormat/>
    <w:uiPriority w:val="9"/>
    <w:pPr>
      <w:keepNext/>
      <w:keepLines/>
      <w:numPr>
        <w:ilvl w:val="0"/>
        <w:numId w:val="1"/>
      </w:numPr>
      <w:pBdr>
        <w:bottom w:val="single" w:color="585858" w:themeColor="text1" w:themeTint="A6" w:sz="4" w:space="1"/>
      </w:pBdr>
      <w:spacing w:before="360"/>
      <w:outlineLvl w:val="0"/>
    </w:pPr>
    <w:rPr>
      <w:rFonts w:asciiTheme="majorHAnsi" w:hAnsiTheme="majorHAnsi" w:eastAsiaTheme="majorEastAsia" w:cstheme="majorBidi"/>
      <w:b/>
      <w:bCs/>
      <w:smallCaps/>
      <w:color w:val="000000" w:themeColor="text1"/>
      <w:sz w:val="36"/>
      <w:szCs w:val="36"/>
      <w14:textFill>
        <w14:solidFill>
          <w14:schemeClr w14:val="tx1"/>
        </w14:solidFill>
      </w14:textFill>
    </w:rPr>
  </w:style>
  <w:style w:type="paragraph" w:styleId="3">
    <w:name w:val="heading 2"/>
    <w:basedOn w:val="1"/>
    <w:next w:val="1"/>
    <w:link w:val="32"/>
    <w:unhideWhenUsed/>
    <w:qFormat/>
    <w:uiPriority w:val="9"/>
    <w:pPr>
      <w:keepNext/>
      <w:keepLines/>
      <w:numPr>
        <w:ilvl w:val="1"/>
        <w:numId w:val="1"/>
      </w:numPr>
      <w:spacing w:before="360" w:after="0"/>
      <w:outlineLvl w:val="1"/>
    </w:pPr>
    <w:rPr>
      <w:rFonts w:asciiTheme="majorHAnsi" w:hAnsiTheme="majorHAnsi" w:eastAsiaTheme="majorEastAsia" w:cstheme="majorBidi"/>
      <w:b/>
      <w:bCs/>
      <w:smallCaps/>
      <w:color w:val="000000" w:themeColor="text1"/>
      <w:sz w:val="28"/>
      <w:szCs w:val="28"/>
      <w14:textFill>
        <w14:solidFill>
          <w14:schemeClr w14:val="tx1"/>
        </w14:solidFill>
      </w14:textFill>
    </w:rPr>
  </w:style>
  <w:style w:type="paragraph" w:styleId="4">
    <w:name w:val="heading 3"/>
    <w:basedOn w:val="1"/>
    <w:next w:val="1"/>
    <w:link w:val="33"/>
    <w:unhideWhenUsed/>
    <w:qFormat/>
    <w:uiPriority w:val="9"/>
    <w:pPr>
      <w:keepNext/>
      <w:keepLines/>
      <w:numPr>
        <w:ilvl w:val="2"/>
        <w:numId w:val="1"/>
      </w:numPr>
      <w:spacing w:before="200" w:after="0"/>
      <w:outlineLvl w:val="2"/>
    </w:pPr>
    <w:rPr>
      <w:rFonts w:asciiTheme="majorHAnsi" w:hAnsiTheme="majorHAnsi" w:eastAsiaTheme="majorEastAsia" w:cstheme="majorBidi"/>
      <w:b/>
      <w:bCs/>
      <w:color w:val="000000" w:themeColor="text1"/>
      <w14:textFill>
        <w14:solidFill>
          <w14:schemeClr w14:val="tx1"/>
        </w14:solidFill>
      </w14:textFill>
    </w:rPr>
  </w:style>
  <w:style w:type="paragraph" w:styleId="5">
    <w:name w:val="heading 4"/>
    <w:basedOn w:val="1"/>
    <w:next w:val="1"/>
    <w:link w:val="34"/>
    <w:unhideWhenUsed/>
    <w:qFormat/>
    <w:uiPriority w:val="9"/>
    <w:pPr>
      <w:keepNext/>
      <w:keepLines/>
      <w:numPr>
        <w:ilvl w:val="3"/>
        <w:numId w:val="1"/>
      </w:numPr>
      <w:spacing w:before="200" w:after="0"/>
      <w:outlineLvl w:val="3"/>
    </w:pPr>
    <w:rPr>
      <w:rFonts w:asciiTheme="majorHAnsi" w:hAnsiTheme="majorHAnsi" w:eastAsiaTheme="majorEastAsia" w:cstheme="majorBidi"/>
      <w:b/>
      <w:bCs/>
      <w:i/>
      <w:iCs/>
      <w:color w:val="000000" w:themeColor="text1"/>
      <w14:textFill>
        <w14:solidFill>
          <w14:schemeClr w14:val="tx1"/>
        </w14:solidFill>
      </w14:textFill>
    </w:rPr>
  </w:style>
  <w:style w:type="paragraph" w:styleId="6">
    <w:name w:val="heading 5"/>
    <w:basedOn w:val="1"/>
    <w:next w:val="1"/>
    <w:link w:val="35"/>
    <w:semiHidden/>
    <w:unhideWhenUsed/>
    <w:qFormat/>
    <w:uiPriority w:val="9"/>
    <w:pPr>
      <w:keepNext/>
      <w:keepLines/>
      <w:numPr>
        <w:ilvl w:val="4"/>
        <w:numId w:val="1"/>
      </w:numPr>
      <w:spacing w:before="200" w:after="0"/>
      <w:outlineLvl w:val="4"/>
    </w:pPr>
    <w:rPr>
      <w:rFonts w:asciiTheme="majorHAnsi" w:hAnsiTheme="majorHAnsi" w:eastAsiaTheme="majorEastAsia" w:cstheme="majorBidi"/>
      <w:color w:val="333F50" w:themeColor="text2" w:themeShade="BF"/>
    </w:rPr>
  </w:style>
  <w:style w:type="paragraph" w:styleId="7">
    <w:name w:val="heading 6"/>
    <w:basedOn w:val="1"/>
    <w:next w:val="1"/>
    <w:link w:val="36"/>
    <w:semiHidden/>
    <w:unhideWhenUsed/>
    <w:qFormat/>
    <w:uiPriority w:val="9"/>
    <w:pPr>
      <w:keepNext/>
      <w:keepLines/>
      <w:numPr>
        <w:ilvl w:val="5"/>
        <w:numId w:val="1"/>
      </w:numPr>
      <w:spacing w:before="200" w:after="0"/>
      <w:outlineLvl w:val="5"/>
    </w:pPr>
    <w:rPr>
      <w:rFonts w:asciiTheme="majorHAnsi" w:hAnsiTheme="majorHAnsi" w:eastAsiaTheme="majorEastAsia" w:cstheme="majorBidi"/>
      <w:i/>
      <w:iCs/>
      <w:color w:val="333F50" w:themeColor="text2" w:themeShade="BF"/>
    </w:rPr>
  </w:style>
  <w:style w:type="paragraph" w:styleId="8">
    <w:name w:val="heading 7"/>
    <w:basedOn w:val="1"/>
    <w:next w:val="1"/>
    <w:link w:val="37"/>
    <w:semiHidden/>
    <w:unhideWhenUsed/>
    <w:qFormat/>
    <w:uiPriority w:val="9"/>
    <w:pPr>
      <w:keepNext/>
      <w:keepLines/>
      <w:numPr>
        <w:ilvl w:val="6"/>
        <w:numId w:val="1"/>
      </w:numPr>
      <w:spacing w:before="200" w:after="0"/>
      <w:outlineLvl w:val="6"/>
    </w:pPr>
    <w:rPr>
      <w:rFonts w:asciiTheme="majorHAnsi" w:hAnsiTheme="majorHAnsi" w:eastAsiaTheme="majorEastAsia" w:cstheme="majorBidi"/>
      <w:i/>
      <w:iCs/>
      <w:color w:val="404040" w:themeColor="text1" w:themeTint="BF"/>
      <w14:textFill>
        <w14:solidFill>
          <w14:schemeClr w14:val="tx1">
            <w14:lumMod w14:val="75000"/>
            <w14:lumOff w14:val="25000"/>
          </w14:schemeClr>
        </w14:solidFill>
      </w14:textFill>
    </w:rPr>
  </w:style>
  <w:style w:type="paragraph" w:styleId="9">
    <w:name w:val="heading 8"/>
    <w:basedOn w:val="1"/>
    <w:next w:val="1"/>
    <w:link w:val="38"/>
    <w:semiHidden/>
    <w:unhideWhenUsed/>
    <w:qFormat/>
    <w:uiPriority w:val="9"/>
    <w:pPr>
      <w:keepNext/>
      <w:keepLines/>
      <w:numPr>
        <w:ilvl w:val="7"/>
        <w:numId w:val="1"/>
      </w:numPr>
      <w:spacing w:before="200" w:after="0"/>
      <w:outlineLvl w:val="7"/>
    </w:pPr>
    <w:rPr>
      <w:rFonts w:asciiTheme="majorHAnsi" w:hAnsiTheme="majorHAnsi" w:eastAsiaTheme="majorEastAsia" w:cstheme="majorBidi"/>
      <w:color w:val="404040" w:themeColor="text1" w:themeTint="BF"/>
      <w:sz w:val="20"/>
      <w:szCs w:val="20"/>
      <w14:textFill>
        <w14:solidFill>
          <w14:schemeClr w14:val="tx1">
            <w14:lumMod w14:val="75000"/>
            <w14:lumOff w14:val="25000"/>
          </w14:schemeClr>
        </w14:solidFill>
      </w14:textFill>
    </w:rPr>
  </w:style>
  <w:style w:type="paragraph" w:styleId="10">
    <w:name w:val="heading 9"/>
    <w:basedOn w:val="1"/>
    <w:next w:val="1"/>
    <w:link w:val="39"/>
    <w:semiHidden/>
    <w:unhideWhenUsed/>
    <w:qFormat/>
    <w:uiPriority w:val="9"/>
    <w:pPr>
      <w:keepNext/>
      <w:keepLines/>
      <w:numPr>
        <w:ilvl w:val="8"/>
        <w:numId w:val="1"/>
      </w:numPr>
      <w:spacing w:before="200" w:after="0"/>
      <w:outlineLvl w:val="8"/>
    </w:pPr>
    <w:rPr>
      <w:rFonts w:asciiTheme="majorHAnsi" w:hAnsiTheme="majorHAnsi" w:eastAsiaTheme="majorEastAsia" w:cstheme="majorBidi"/>
      <w:i/>
      <w:iCs/>
      <w:color w:val="404040" w:themeColor="text1" w:themeTint="BF"/>
      <w:sz w:val="20"/>
      <w:szCs w:val="20"/>
      <w14:textFill>
        <w14:solidFill>
          <w14:schemeClr w14:val="tx1">
            <w14:lumMod w14:val="75000"/>
            <w14:lumOff w14:val="25000"/>
          </w14:schemeClr>
        </w14:solidFill>
      </w14:textFill>
    </w:rPr>
  </w:style>
  <w:style w:type="character" w:default="1" w:styleId="21">
    <w:name w:val="Default Paragraph Font"/>
    <w:semiHidden/>
    <w:unhideWhenUsed/>
    <w:uiPriority w:val="1"/>
  </w:style>
  <w:style w:type="table" w:default="1" w:styleId="19">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11">
    <w:name w:val="caption"/>
    <w:basedOn w:val="1"/>
    <w:next w:val="1"/>
    <w:semiHidden/>
    <w:unhideWhenUsed/>
    <w:qFormat/>
    <w:uiPriority w:val="35"/>
    <w:pPr>
      <w:spacing w:after="200" w:line="240" w:lineRule="auto"/>
    </w:pPr>
    <w:rPr>
      <w:i/>
      <w:iCs/>
      <w:color w:val="44546A" w:themeColor="text2"/>
      <w:sz w:val="18"/>
      <w:szCs w:val="18"/>
      <w14:textFill>
        <w14:solidFill>
          <w14:schemeClr w14:val="tx2"/>
        </w14:solidFill>
      </w14:textFill>
    </w:rPr>
  </w:style>
  <w:style w:type="paragraph" w:styleId="12">
    <w:name w:val="Balloon Text"/>
    <w:basedOn w:val="1"/>
    <w:link w:val="57"/>
    <w:qFormat/>
    <w:uiPriority w:val="0"/>
    <w:pPr>
      <w:spacing w:after="0" w:line="240" w:lineRule="auto"/>
    </w:pPr>
    <w:rPr>
      <w:sz w:val="18"/>
      <w:szCs w:val="18"/>
    </w:rPr>
  </w:style>
  <w:style w:type="paragraph" w:styleId="13">
    <w:name w:val="footer"/>
    <w:basedOn w:val="1"/>
    <w:qFormat/>
    <w:uiPriority w:val="0"/>
    <w:pPr>
      <w:tabs>
        <w:tab w:val="center" w:pos="4153"/>
        <w:tab w:val="right" w:pos="8306"/>
      </w:tabs>
      <w:snapToGrid w:val="0"/>
    </w:pPr>
    <w:rPr>
      <w:sz w:val="18"/>
    </w:rPr>
  </w:style>
  <w:style w:type="paragraph" w:styleId="1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5">
    <w:name w:val="Subtitle"/>
    <w:basedOn w:val="1"/>
    <w:next w:val="1"/>
    <w:link w:val="41"/>
    <w:qFormat/>
    <w:uiPriority w:val="11"/>
    <w:rPr>
      <w:color w:val="595959" w:themeColor="text1" w:themeTint="A6"/>
      <w:spacing w:val="10"/>
      <w14:textFill>
        <w14:solidFill>
          <w14:schemeClr w14:val="tx1">
            <w14:lumMod w14:val="65000"/>
            <w14:lumOff w14:val="35000"/>
          </w14:schemeClr>
        </w14:solidFill>
      </w14:textFill>
    </w:rPr>
  </w:style>
  <w:style w:type="paragraph" w:styleId="16">
    <w:name w:val="footnote text"/>
    <w:basedOn w:val="1"/>
    <w:link w:val="54"/>
    <w:qFormat/>
    <w:uiPriority w:val="99"/>
    <w:pPr>
      <w:snapToGrid w:val="0"/>
    </w:pPr>
    <w:rPr>
      <w:sz w:val="18"/>
      <w:szCs w:val="18"/>
    </w:rPr>
  </w:style>
  <w:style w:type="paragraph" w:styleId="17">
    <w:name w:val="Normal (Web)"/>
    <w:basedOn w:val="1"/>
    <w:unhideWhenUsed/>
    <w:qFormat/>
    <w:uiPriority w:val="99"/>
    <w:pPr>
      <w:spacing w:before="100" w:beforeAutospacing="1" w:after="100" w:afterAutospacing="1" w:line="240" w:lineRule="auto"/>
    </w:pPr>
    <w:rPr>
      <w:rFonts w:ascii="宋体" w:hAnsi="宋体" w:eastAsia="宋体" w:cs="宋体"/>
      <w:sz w:val="24"/>
      <w:szCs w:val="24"/>
    </w:rPr>
  </w:style>
  <w:style w:type="paragraph" w:styleId="18">
    <w:name w:val="Title"/>
    <w:basedOn w:val="1"/>
    <w:next w:val="1"/>
    <w:link w:val="40"/>
    <w:qFormat/>
    <w:uiPriority w:val="10"/>
    <w:pPr>
      <w:spacing w:after="0" w:line="240" w:lineRule="auto"/>
      <w:contextualSpacing/>
    </w:pPr>
    <w:rPr>
      <w:rFonts w:asciiTheme="majorHAnsi" w:hAnsiTheme="majorHAnsi" w:eastAsiaTheme="majorEastAsia" w:cstheme="majorBidi"/>
      <w:color w:val="000000" w:themeColor="text1"/>
      <w:sz w:val="56"/>
      <w:szCs w:val="56"/>
      <w14:textFill>
        <w14:solidFill>
          <w14:schemeClr w14:val="tx1"/>
        </w14:solidFill>
      </w14:textFill>
    </w:rPr>
  </w:style>
  <w:style w:type="table" w:styleId="20">
    <w:name w:val="Table Grid"/>
    <w:basedOn w:val="1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2">
    <w:name w:val="Strong"/>
    <w:basedOn w:val="21"/>
    <w:qFormat/>
    <w:uiPriority w:val="22"/>
    <w:rPr>
      <w:b/>
      <w:bCs/>
      <w:color w:val="000000" w:themeColor="text1"/>
      <w14:textFill>
        <w14:solidFill>
          <w14:schemeClr w14:val="tx1"/>
        </w14:solidFill>
      </w14:textFill>
    </w:rPr>
  </w:style>
  <w:style w:type="character" w:styleId="23">
    <w:name w:val="Emphasis"/>
    <w:basedOn w:val="21"/>
    <w:qFormat/>
    <w:uiPriority w:val="20"/>
    <w:rPr>
      <w:i/>
      <w:iCs/>
      <w:color w:val="auto"/>
    </w:rPr>
  </w:style>
  <w:style w:type="character" w:styleId="24">
    <w:name w:val="Hyperlink"/>
    <w:basedOn w:val="21"/>
    <w:qFormat/>
    <w:uiPriority w:val="0"/>
    <w:rPr>
      <w:color w:val="0000FF"/>
      <w:u w:val="single"/>
    </w:rPr>
  </w:style>
  <w:style w:type="character" w:styleId="25">
    <w:name w:val="footnote reference"/>
    <w:basedOn w:val="21"/>
    <w:qFormat/>
    <w:uiPriority w:val="99"/>
    <w:rPr>
      <w:vertAlign w:val="superscript"/>
    </w:rPr>
  </w:style>
  <w:style w:type="paragraph" w:customStyle="1" w:styleId="26">
    <w:name w:val="EndNote Bibliography Title"/>
    <w:basedOn w:val="1"/>
    <w:link w:val="27"/>
    <w:qFormat/>
    <w:uiPriority w:val="0"/>
    <w:pPr>
      <w:jc w:val="center"/>
    </w:pPr>
    <w:rPr>
      <w:rFonts w:ascii="Calibri" w:hAnsi="Calibri" w:cs="Calibri"/>
      <w:sz w:val="20"/>
    </w:rPr>
  </w:style>
  <w:style w:type="character" w:customStyle="1" w:styleId="27">
    <w:name w:val="EndNote Bibliography Title 字符"/>
    <w:basedOn w:val="21"/>
    <w:link w:val="26"/>
    <w:qFormat/>
    <w:uiPriority w:val="0"/>
    <w:rPr>
      <w:rFonts w:ascii="Calibri" w:hAnsi="Calibri" w:cs="Calibri" w:eastAsiaTheme="minorEastAsia"/>
      <w:szCs w:val="22"/>
    </w:rPr>
  </w:style>
  <w:style w:type="paragraph" w:customStyle="1" w:styleId="28">
    <w:name w:val="EndNote Bibliography"/>
    <w:basedOn w:val="1"/>
    <w:link w:val="29"/>
    <w:qFormat/>
    <w:uiPriority w:val="0"/>
    <w:pPr>
      <w:spacing w:line="240" w:lineRule="auto"/>
    </w:pPr>
    <w:rPr>
      <w:rFonts w:ascii="Calibri" w:hAnsi="Calibri" w:cs="Calibri"/>
      <w:sz w:val="20"/>
    </w:rPr>
  </w:style>
  <w:style w:type="character" w:customStyle="1" w:styleId="29">
    <w:name w:val="EndNote Bibliography 字符"/>
    <w:basedOn w:val="21"/>
    <w:link w:val="28"/>
    <w:qFormat/>
    <w:uiPriority w:val="0"/>
    <w:rPr>
      <w:rFonts w:ascii="Calibri" w:hAnsi="Calibri" w:cs="Calibri" w:eastAsiaTheme="minorEastAsia"/>
      <w:szCs w:val="22"/>
    </w:rPr>
  </w:style>
  <w:style w:type="paragraph" w:customStyle="1" w:styleId="30">
    <w:name w:val="正文1"/>
    <w:qFormat/>
    <w:uiPriority w:val="0"/>
    <w:pPr>
      <w:spacing w:after="160" w:line="259" w:lineRule="auto"/>
      <w:jc w:val="both"/>
    </w:pPr>
    <w:rPr>
      <w:rFonts w:asciiTheme="minorHAnsi" w:hAnsiTheme="minorHAnsi" w:eastAsiaTheme="minorEastAsia" w:cstheme="minorBidi"/>
      <w:kern w:val="2"/>
      <w:sz w:val="21"/>
      <w:szCs w:val="21"/>
      <w:lang w:val="en-US" w:eastAsia="zh-CN" w:bidi="ar-SA"/>
    </w:rPr>
  </w:style>
  <w:style w:type="character" w:customStyle="1" w:styleId="31">
    <w:name w:val="标题 1 字符"/>
    <w:basedOn w:val="21"/>
    <w:link w:val="2"/>
    <w:qFormat/>
    <w:uiPriority w:val="9"/>
    <w:rPr>
      <w:rFonts w:asciiTheme="majorHAnsi" w:hAnsiTheme="majorHAnsi" w:eastAsiaTheme="majorEastAsia" w:cstheme="majorBidi"/>
      <w:b/>
      <w:bCs/>
      <w:smallCaps/>
      <w:color w:val="000000" w:themeColor="text1"/>
      <w:sz w:val="36"/>
      <w:szCs w:val="36"/>
      <w14:textFill>
        <w14:solidFill>
          <w14:schemeClr w14:val="tx1"/>
        </w14:solidFill>
      </w14:textFill>
    </w:rPr>
  </w:style>
  <w:style w:type="character" w:customStyle="1" w:styleId="32">
    <w:name w:val="标题 2 字符"/>
    <w:basedOn w:val="21"/>
    <w:link w:val="3"/>
    <w:qFormat/>
    <w:uiPriority w:val="9"/>
    <w:rPr>
      <w:rFonts w:asciiTheme="majorHAnsi" w:hAnsiTheme="majorHAnsi" w:eastAsiaTheme="majorEastAsia" w:cstheme="majorBidi"/>
      <w:b/>
      <w:bCs/>
      <w:smallCaps/>
      <w:color w:val="000000" w:themeColor="text1"/>
      <w:sz w:val="28"/>
      <w:szCs w:val="28"/>
      <w14:textFill>
        <w14:solidFill>
          <w14:schemeClr w14:val="tx1"/>
        </w14:solidFill>
      </w14:textFill>
    </w:rPr>
  </w:style>
  <w:style w:type="character" w:customStyle="1" w:styleId="33">
    <w:name w:val="标题 3 字符"/>
    <w:basedOn w:val="21"/>
    <w:link w:val="4"/>
    <w:qFormat/>
    <w:uiPriority w:val="9"/>
    <w:rPr>
      <w:rFonts w:asciiTheme="majorHAnsi" w:hAnsiTheme="majorHAnsi" w:eastAsiaTheme="majorEastAsia" w:cstheme="majorBidi"/>
      <w:b/>
      <w:bCs/>
      <w:color w:val="000000" w:themeColor="text1"/>
      <w14:textFill>
        <w14:solidFill>
          <w14:schemeClr w14:val="tx1"/>
        </w14:solidFill>
      </w14:textFill>
    </w:rPr>
  </w:style>
  <w:style w:type="character" w:customStyle="1" w:styleId="34">
    <w:name w:val="标题 4 字符"/>
    <w:basedOn w:val="21"/>
    <w:link w:val="5"/>
    <w:qFormat/>
    <w:uiPriority w:val="9"/>
    <w:rPr>
      <w:rFonts w:asciiTheme="majorHAnsi" w:hAnsiTheme="majorHAnsi" w:eastAsiaTheme="majorEastAsia" w:cstheme="majorBidi"/>
      <w:b/>
      <w:bCs/>
      <w:i/>
      <w:iCs/>
      <w:color w:val="000000" w:themeColor="text1"/>
      <w14:textFill>
        <w14:solidFill>
          <w14:schemeClr w14:val="tx1"/>
        </w14:solidFill>
      </w14:textFill>
    </w:rPr>
  </w:style>
  <w:style w:type="character" w:customStyle="1" w:styleId="35">
    <w:name w:val="标题 5 字符"/>
    <w:basedOn w:val="21"/>
    <w:link w:val="6"/>
    <w:semiHidden/>
    <w:qFormat/>
    <w:uiPriority w:val="9"/>
    <w:rPr>
      <w:rFonts w:asciiTheme="majorHAnsi" w:hAnsiTheme="majorHAnsi" w:eastAsiaTheme="majorEastAsia" w:cstheme="majorBidi"/>
      <w:color w:val="333F50" w:themeColor="text2" w:themeShade="BF"/>
    </w:rPr>
  </w:style>
  <w:style w:type="character" w:customStyle="1" w:styleId="36">
    <w:name w:val="标题 6 字符"/>
    <w:basedOn w:val="21"/>
    <w:link w:val="7"/>
    <w:semiHidden/>
    <w:qFormat/>
    <w:uiPriority w:val="9"/>
    <w:rPr>
      <w:rFonts w:asciiTheme="majorHAnsi" w:hAnsiTheme="majorHAnsi" w:eastAsiaTheme="majorEastAsia" w:cstheme="majorBidi"/>
      <w:i/>
      <w:iCs/>
      <w:color w:val="333F50" w:themeColor="text2" w:themeShade="BF"/>
    </w:rPr>
  </w:style>
  <w:style w:type="character" w:customStyle="1" w:styleId="37">
    <w:name w:val="标题 7 字符"/>
    <w:basedOn w:val="21"/>
    <w:link w:val="8"/>
    <w:semiHidden/>
    <w:qFormat/>
    <w:uiPriority w:val="9"/>
    <w:rPr>
      <w:rFonts w:asciiTheme="majorHAnsi" w:hAnsiTheme="majorHAnsi" w:eastAsiaTheme="majorEastAsia" w:cstheme="majorBidi"/>
      <w:i/>
      <w:iCs/>
      <w:color w:val="404040" w:themeColor="text1" w:themeTint="BF"/>
      <w14:textFill>
        <w14:solidFill>
          <w14:schemeClr w14:val="tx1">
            <w14:lumMod w14:val="75000"/>
            <w14:lumOff w14:val="25000"/>
          </w14:schemeClr>
        </w14:solidFill>
      </w14:textFill>
    </w:rPr>
  </w:style>
  <w:style w:type="character" w:customStyle="1" w:styleId="38">
    <w:name w:val="标题 8 字符"/>
    <w:basedOn w:val="21"/>
    <w:link w:val="9"/>
    <w:semiHidden/>
    <w:qFormat/>
    <w:uiPriority w:val="9"/>
    <w:rPr>
      <w:rFonts w:asciiTheme="majorHAnsi" w:hAnsiTheme="majorHAnsi" w:eastAsiaTheme="majorEastAsia" w:cstheme="majorBidi"/>
      <w:color w:val="404040" w:themeColor="text1" w:themeTint="BF"/>
      <w:sz w:val="20"/>
      <w:szCs w:val="20"/>
      <w14:textFill>
        <w14:solidFill>
          <w14:schemeClr w14:val="tx1">
            <w14:lumMod w14:val="75000"/>
            <w14:lumOff w14:val="25000"/>
          </w14:schemeClr>
        </w14:solidFill>
      </w14:textFill>
    </w:rPr>
  </w:style>
  <w:style w:type="character" w:customStyle="1" w:styleId="39">
    <w:name w:val="标题 9 字符"/>
    <w:basedOn w:val="21"/>
    <w:link w:val="10"/>
    <w:semiHidden/>
    <w:qFormat/>
    <w:uiPriority w:val="9"/>
    <w:rPr>
      <w:rFonts w:asciiTheme="majorHAnsi" w:hAnsiTheme="majorHAnsi" w:eastAsiaTheme="majorEastAsia" w:cstheme="majorBidi"/>
      <w:i/>
      <w:iCs/>
      <w:color w:val="404040" w:themeColor="text1" w:themeTint="BF"/>
      <w:sz w:val="20"/>
      <w:szCs w:val="20"/>
      <w14:textFill>
        <w14:solidFill>
          <w14:schemeClr w14:val="tx1">
            <w14:lumMod w14:val="75000"/>
            <w14:lumOff w14:val="25000"/>
          </w14:schemeClr>
        </w14:solidFill>
      </w14:textFill>
    </w:rPr>
  </w:style>
  <w:style w:type="character" w:customStyle="1" w:styleId="40">
    <w:name w:val="标题 字符"/>
    <w:basedOn w:val="21"/>
    <w:link w:val="18"/>
    <w:qFormat/>
    <w:uiPriority w:val="10"/>
    <w:rPr>
      <w:rFonts w:asciiTheme="majorHAnsi" w:hAnsiTheme="majorHAnsi" w:eastAsiaTheme="majorEastAsia" w:cstheme="majorBidi"/>
      <w:color w:val="000000" w:themeColor="text1"/>
      <w:sz w:val="56"/>
      <w:szCs w:val="56"/>
      <w14:textFill>
        <w14:solidFill>
          <w14:schemeClr w14:val="tx1"/>
        </w14:solidFill>
      </w14:textFill>
    </w:rPr>
  </w:style>
  <w:style w:type="character" w:customStyle="1" w:styleId="41">
    <w:name w:val="副标题 字符"/>
    <w:basedOn w:val="21"/>
    <w:link w:val="15"/>
    <w:qFormat/>
    <w:uiPriority w:val="11"/>
    <w:rPr>
      <w:color w:val="595959" w:themeColor="text1" w:themeTint="A6"/>
      <w:spacing w:val="10"/>
      <w14:textFill>
        <w14:solidFill>
          <w14:schemeClr w14:val="tx1">
            <w14:lumMod w14:val="65000"/>
            <w14:lumOff w14:val="35000"/>
          </w14:schemeClr>
        </w14:solidFill>
      </w14:textFill>
    </w:rPr>
  </w:style>
  <w:style w:type="paragraph" w:styleId="42">
    <w:name w:val="No Spacing"/>
    <w:qFormat/>
    <w:uiPriority w:val="1"/>
    <w:rPr>
      <w:rFonts w:asciiTheme="minorHAnsi" w:hAnsiTheme="minorHAnsi" w:eastAsiaTheme="minorEastAsia" w:cstheme="minorBidi"/>
      <w:sz w:val="22"/>
      <w:szCs w:val="22"/>
      <w:lang w:val="en-US" w:eastAsia="zh-CN" w:bidi="ar-SA"/>
    </w:rPr>
  </w:style>
  <w:style w:type="paragraph" w:styleId="43">
    <w:name w:val="Quote"/>
    <w:basedOn w:val="1"/>
    <w:next w:val="1"/>
    <w:link w:val="44"/>
    <w:qFormat/>
    <w:uiPriority w:val="29"/>
    <w:pPr>
      <w:spacing w:before="160"/>
      <w:ind w:left="720" w:right="720"/>
    </w:pPr>
    <w:rPr>
      <w:i/>
      <w:iCs/>
      <w:color w:val="000000" w:themeColor="text1"/>
      <w14:textFill>
        <w14:solidFill>
          <w14:schemeClr w14:val="tx1"/>
        </w14:solidFill>
      </w14:textFill>
    </w:rPr>
  </w:style>
  <w:style w:type="character" w:customStyle="1" w:styleId="44">
    <w:name w:val="引用 字符"/>
    <w:basedOn w:val="21"/>
    <w:link w:val="43"/>
    <w:qFormat/>
    <w:uiPriority w:val="29"/>
    <w:rPr>
      <w:i/>
      <w:iCs/>
      <w:color w:val="000000" w:themeColor="text1"/>
      <w14:textFill>
        <w14:solidFill>
          <w14:schemeClr w14:val="tx1"/>
        </w14:solidFill>
      </w14:textFill>
    </w:rPr>
  </w:style>
  <w:style w:type="paragraph" w:styleId="45">
    <w:name w:val="Intense Quote"/>
    <w:basedOn w:val="1"/>
    <w:next w:val="1"/>
    <w:link w:val="46"/>
    <w:qFormat/>
    <w:uiPriority w:val="30"/>
    <w:pPr>
      <w:pBdr>
        <w:top w:val="single" w:color="F1F1F1" w:themeColor="background1" w:themeShade="F2" w:sz="24" w:space="1"/>
        <w:bottom w:val="single" w:color="F1F1F1" w:themeColor="background1" w:themeShade="F2" w:sz="24" w:space="1"/>
      </w:pBdr>
      <w:shd w:val="clear" w:color="auto" w:fill="F1F1F1" w:themeFill="background1" w:themeFillShade="F2"/>
      <w:spacing w:before="240" w:after="240"/>
      <w:ind w:left="936" w:right="936"/>
      <w:jc w:val="center"/>
    </w:pPr>
    <w:rPr>
      <w:color w:val="000000" w:themeColor="text1"/>
      <w14:textFill>
        <w14:solidFill>
          <w14:schemeClr w14:val="tx1"/>
        </w14:solidFill>
      </w14:textFill>
    </w:rPr>
  </w:style>
  <w:style w:type="character" w:customStyle="1" w:styleId="46">
    <w:name w:val="明显引用 字符"/>
    <w:basedOn w:val="21"/>
    <w:link w:val="45"/>
    <w:qFormat/>
    <w:uiPriority w:val="30"/>
    <w:rPr>
      <w:color w:val="000000" w:themeColor="text1"/>
      <w:shd w:val="clear" w:color="auto" w:fill="F1F1F1" w:themeFill="background1" w:themeFillShade="F2"/>
      <w14:textFill>
        <w14:solidFill>
          <w14:schemeClr w14:val="tx1"/>
        </w14:solidFill>
      </w14:textFill>
    </w:rPr>
  </w:style>
  <w:style w:type="character" w:customStyle="1" w:styleId="47">
    <w:name w:val="不明显强调1"/>
    <w:basedOn w:val="21"/>
    <w:qFormat/>
    <w:uiPriority w:val="19"/>
    <w:rPr>
      <w:i/>
      <w:iCs/>
      <w:color w:val="404040" w:themeColor="text1" w:themeTint="BF"/>
      <w14:textFill>
        <w14:solidFill>
          <w14:schemeClr w14:val="tx1">
            <w14:lumMod w14:val="75000"/>
            <w14:lumOff w14:val="25000"/>
          </w14:schemeClr>
        </w14:solidFill>
      </w14:textFill>
    </w:rPr>
  </w:style>
  <w:style w:type="character" w:customStyle="1" w:styleId="48">
    <w:name w:val="明显强调1"/>
    <w:basedOn w:val="21"/>
    <w:qFormat/>
    <w:uiPriority w:val="21"/>
    <w:rPr>
      <w:b/>
      <w:bCs/>
      <w:i/>
      <w:iCs/>
      <w:caps/>
    </w:rPr>
  </w:style>
  <w:style w:type="character" w:customStyle="1" w:styleId="49">
    <w:name w:val="不明显参考1"/>
    <w:basedOn w:val="21"/>
    <w:qFormat/>
    <w:uiPriority w:val="31"/>
    <w:rPr>
      <w:smallCaps/>
      <w:color w:val="404040" w:themeColor="text1" w:themeTint="BF"/>
      <w:u w:val="single" w:color="7E7E7E" w:themeColor="text1" w:themeTint="80"/>
      <w14:textFill>
        <w14:solidFill>
          <w14:schemeClr w14:val="tx1">
            <w14:lumMod w14:val="75000"/>
            <w14:lumOff w14:val="25000"/>
          </w14:schemeClr>
        </w14:solidFill>
      </w14:textFill>
    </w:rPr>
  </w:style>
  <w:style w:type="character" w:customStyle="1" w:styleId="50">
    <w:name w:val="明显参考1"/>
    <w:basedOn w:val="21"/>
    <w:qFormat/>
    <w:uiPriority w:val="32"/>
    <w:rPr>
      <w:b/>
      <w:bCs/>
      <w:smallCaps/>
      <w:u w:val="single"/>
    </w:rPr>
  </w:style>
  <w:style w:type="character" w:customStyle="1" w:styleId="51">
    <w:name w:val="书籍标题1"/>
    <w:basedOn w:val="21"/>
    <w:qFormat/>
    <w:uiPriority w:val="33"/>
    <w:rPr>
      <w:smallCaps/>
      <w:spacing w:val="5"/>
    </w:rPr>
  </w:style>
  <w:style w:type="paragraph" w:customStyle="1" w:styleId="52">
    <w:name w:val="TOC 标题1"/>
    <w:basedOn w:val="2"/>
    <w:next w:val="1"/>
    <w:semiHidden/>
    <w:unhideWhenUsed/>
    <w:qFormat/>
    <w:uiPriority w:val="39"/>
    <w:pPr>
      <w:outlineLvl w:val="9"/>
    </w:pPr>
  </w:style>
  <w:style w:type="character" w:customStyle="1" w:styleId="53">
    <w:name w:val="16"/>
    <w:basedOn w:val="21"/>
    <w:qFormat/>
    <w:uiPriority w:val="0"/>
    <w:rPr>
      <w:rFonts w:hint="default" w:ascii="Arial" w:hAnsi="Arial" w:cs="Arial"/>
      <w:sz w:val="22"/>
      <w:szCs w:val="22"/>
    </w:rPr>
  </w:style>
  <w:style w:type="character" w:customStyle="1" w:styleId="54">
    <w:name w:val="脚注文本 字符"/>
    <w:basedOn w:val="21"/>
    <w:link w:val="16"/>
    <w:qFormat/>
    <w:uiPriority w:val="99"/>
    <w:rPr>
      <w:rFonts w:asciiTheme="minorHAnsi" w:hAnsiTheme="minorHAnsi" w:eastAsiaTheme="minorEastAsia" w:cstheme="minorBidi"/>
      <w:sz w:val="18"/>
      <w:szCs w:val="18"/>
    </w:rPr>
  </w:style>
  <w:style w:type="character" w:customStyle="1" w:styleId="55">
    <w:name w:val="tran"/>
    <w:basedOn w:val="21"/>
    <w:qFormat/>
    <w:uiPriority w:val="0"/>
  </w:style>
  <w:style w:type="character" w:customStyle="1" w:styleId="56">
    <w:name w:val="apple-converted-space"/>
    <w:basedOn w:val="21"/>
    <w:qFormat/>
    <w:uiPriority w:val="0"/>
  </w:style>
  <w:style w:type="character" w:customStyle="1" w:styleId="57">
    <w:name w:val="批注框文本 字符"/>
    <w:basedOn w:val="21"/>
    <w:link w:val="12"/>
    <w:qFormat/>
    <w:uiPriority w:val="0"/>
    <w:rPr>
      <w:rFonts w:asciiTheme="minorHAnsi" w:hAnsiTheme="minorHAnsi" w:eastAsiaTheme="minorEastAsia" w:cstheme="minorBidi"/>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12BAD6D-3E28-452F-A251-714EB0243000}">
  <ds:schemaRefs/>
</ds:datastoreItem>
</file>

<file path=docProps/app.xml><?xml version="1.0" encoding="utf-8"?>
<Properties xmlns="http://schemas.openxmlformats.org/officeDocument/2006/extended-properties" xmlns:vt="http://schemas.openxmlformats.org/officeDocument/2006/docPropsVTypes">
  <Template>Normal</Template>
  <Pages>11</Pages>
  <Words>1290</Words>
  <Characters>7359</Characters>
  <Lines>61</Lines>
  <Paragraphs>17</Paragraphs>
  <TotalTime>1</TotalTime>
  <ScaleCrop>false</ScaleCrop>
  <LinksUpToDate>false</LinksUpToDate>
  <CharactersWithSpaces>8632</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2020-08-30T11:34:00Z</dcterms:created>
  <dc:creator>yangzhihui</dc:creator>
  <cp:lastModifiedBy>杨之辉</cp:lastModifiedBy>
  <dcterms:modified xsi:type="dcterms:W3CDTF">2021-03-11T10:54:44Z</dcterms:modified>
  <cp:revision>135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