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12C67" w14:textId="42FEE844" w:rsidR="00C35E24" w:rsidRDefault="5487FA01" w:rsidP="195C33EB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195C33EB">
        <w:rPr>
          <w:rFonts w:ascii="Calibri" w:eastAsia="Calibri" w:hAnsi="Calibri" w:cs="Calibri"/>
          <w:b/>
          <w:bCs/>
          <w:color w:val="000000" w:themeColor="text1"/>
          <w:sz w:val="32"/>
          <w:szCs w:val="32"/>
          <w:u w:val="single"/>
          <w:lang w:val="en"/>
        </w:rPr>
        <w:t>Supplemental Material</w:t>
      </w:r>
    </w:p>
    <w:p w14:paraId="1750715D" w14:textId="7C37BD44" w:rsidR="00C35E24" w:rsidRDefault="5487FA01" w:rsidP="195C33E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195C33EB">
        <w:rPr>
          <w:rFonts w:ascii="Calibri" w:eastAsia="Calibri" w:hAnsi="Calibri" w:cs="Calibri"/>
          <w:color w:val="000000" w:themeColor="text1"/>
          <w:sz w:val="32"/>
          <w:szCs w:val="32"/>
        </w:rPr>
        <w:t xml:space="preserve">Industrial determinants of metal exposure among Gulf Coast residents </w:t>
      </w:r>
    </w:p>
    <w:p w14:paraId="66D29BDA" w14:textId="2ABC799F" w:rsidR="00C35E24" w:rsidRDefault="5487FA01" w:rsidP="195C33E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19"/>
          <w:szCs w:val="19"/>
        </w:rPr>
      </w:pPr>
      <w:r w:rsidRPr="195C33EB">
        <w:rPr>
          <w:rFonts w:ascii="Calibri" w:eastAsia="Calibri" w:hAnsi="Calibri" w:cs="Calibri"/>
          <w:color w:val="000000" w:themeColor="text1"/>
          <w:sz w:val="24"/>
          <w:szCs w:val="24"/>
        </w:rPr>
        <w:t>Joyce J.Y. Lin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  <w:vertAlign w:val="superscript"/>
        </w:rPr>
        <w:t>1*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</w:rPr>
        <w:t>, Emily Werder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  <w:vertAlign w:val="superscript"/>
        </w:rPr>
        <w:t>2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</w:rPr>
        <w:t>, Kaitlyn G. Lawrence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  <w:vertAlign w:val="superscript"/>
        </w:rPr>
        <w:t>2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</w:rPr>
        <w:t>, W. Braxton Jackson II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  <w:vertAlign w:val="superscript"/>
        </w:rPr>
        <w:t>3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</w:rPr>
        <w:t>, Dale P. Sandler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  <w:vertAlign w:val="superscript"/>
        </w:rPr>
        <w:t>2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</w:rPr>
        <w:t>, Aisha S. Dickerson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  <w:vertAlign w:val="superscript"/>
        </w:rPr>
        <w:t>4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</w:rPr>
        <w:t>, Lawrence S. Engel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  <w:vertAlign w:val="superscript"/>
        </w:rPr>
        <w:t>2,5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</w:rPr>
        <w:t>, Ana M. Rule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  <w:vertAlign w:val="superscript"/>
        </w:rPr>
        <w:t>1</w:t>
      </w:r>
    </w:p>
    <w:p w14:paraId="34D30675" w14:textId="5B327F61" w:rsidR="00C35E24" w:rsidRDefault="5487FA01" w:rsidP="195C33EB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95C33EB">
        <w:rPr>
          <w:rFonts w:ascii="Calibri" w:eastAsia="Calibri" w:hAnsi="Calibri" w:cs="Calibri"/>
          <w:color w:val="000000" w:themeColor="text1"/>
          <w:sz w:val="24"/>
          <w:szCs w:val="24"/>
          <w:vertAlign w:val="superscript"/>
        </w:rPr>
        <w:t>1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Department of Environmental Health and Engineering, Johns Hopkins Bloomberg School of Public Health, Baltimore, MD, USA. </w:t>
      </w:r>
    </w:p>
    <w:p w14:paraId="1C0633FB" w14:textId="0131BA8A" w:rsidR="00C35E24" w:rsidRDefault="5487FA01" w:rsidP="195C33EB">
      <w:pPr>
        <w:spacing w:after="0" w:line="240" w:lineRule="auto"/>
        <w:rPr>
          <w:rFonts w:ascii="Calibri" w:eastAsia="Calibri" w:hAnsi="Calibri" w:cs="Calibri"/>
          <w:color w:val="201F1E"/>
          <w:sz w:val="24"/>
          <w:szCs w:val="24"/>
        </w:rPr>
      </w:pPr>
      <w:r w:rsidRPr="195C33EB">
        <w:rPr>
          <w:rFonts w:ascii="Calibri" w:eastAsia="Calibri" w:hAnsi="Calibri" w:cs="Calibri"/>
          <w:color w:val="000000" w:themeColor="text1"/>
          <w:sz w:val="24"/>
          <w:szCs w:val="24"/>
          <w:vertAlign w:val="superscript"/>
        </w:rPr>
        <w:t>2</w:t>
      </w:r>
      <w:r w:rsidRPr="195C33EB">
        <w:rPr>
          <w:rFonts w:ascii="Calibri" w:eastAsia="Calibri" w:hAnsi="Calibri" w:cs="Calibri"/>
          <w:color w:val="201F1E"/>
          <w:sz w:val="24"/>
          <w:szCs w:val="24"/>
        </w:rPr>
        <w:t>Epidemiology Branch, National Institute of Environmental Health Sciences, National Institutes of Health, Research Triangle Park, NC, USA</w:t>
      </w:r>
    </w:p>
    <w:p w14:paraId="40E0A850" w14:textId="3B399259" w:rsidR="00C35E24" w:rsidRDefault="5487FA01" w:rsidP="195C33EB">
      <w:pPr>
        <w:spacing w:after="0" w:line="240" w:lineRule="auto"/>
        <w:rPr>
          <w:rFonts w:ascii="Calibri" w:eastAsia="Calibri" w:hAnsi="Calibri" w:cs="Calibri"/>
          <w:color w:val="201F1E"/>
          <w:sz w:val="24"/>
          <w:szCs w:val="24"/>
        </w:rPr>
      </w:pPr>
      <w:r w:rsidRPr="195C33EB">
        <w:rPr>
          <w:rFonts w:ascii="Calibri" w:eastAsia="Calibri" w:hAnsi="Calibri" w:cs="Calibri"/>
          <w:color w:val="201F1E"/>
          <w:sz w:val="24"/>
          <w:szCs w:val="24"/>
          <w:vertAlign w:val="superscript"/>
        </w:rPr>
        <w:t>3</w:t>
      </w:r>
      <w:r w:rsidRPr="195C33EB">
        <w:rPr>
          <w:rFonts w:ascii="Calibri" w:eastAsia="Calibri" w:hAnsi="Calibri" w:cs="Calibri"/>
          <w:color w:val="201F1E"/>
          <w:sz w:val="24"/>
          <w:szCs w:val="24"/>
        </w:rPr>
        <w:t>Social &amp; Scientific Systems, Inc., Durham, NC, USA.</w:t>
      </w:r>
    </w:p>
    <w:p w14:paraId="51FFC9D3" w14:textId="14D01DD2" w:rsidR="00C35E24" w:rsidRDefault="5487FA01" w:rsidP="195C33EB">
      <w:pPr>
        <w:spacing w:after="0" w:line="240" w:lineRule="auto"/>
        <w:rPr>
          <w:rFonts w:ascii="Calibri" w:eastAsia="Calibri" w:hAnsi="Calibri" w:cs="Calibri"/>
          <w:color w:val="201F1E"/>
          <w:sz w:val="24"/>
          <w:szCs w:val="24"/>
        </w:rPr>
      </w:pPr>
      <w:r w:rsidRPr="195C33EB">
        <w:rPr>
          <w:rFonts w:ascii="Calibri" w:eastAsia="Calibri" w:hAnsi="Calibri" w:cs="Calibri"/>
          <w:color w:val="201F1E"/>
          <w:sz w:val="24"/>
          <w:szCs w:val="24"/>
          <w:vertAlign w:val="superscript"/>
        </w:rPr>
        <w:t>4</w:t>
      </w:r>
      <w:r w:rsidRPr="195C33EB">
        <w:rPr>
          <w:rFonts w:ascii="Calibri" w:eastAsia="Calibri" w:hAnsi="Calibri" w:cs="Calibri"/>
          <w:color w:val="201F1E"/>
          <w:sz w:val="24"/>
          <w:szCs w:val="24"/>
        </w:rPr>
        <w:t>Department of Epidemiology, Johns Hopkins Bloomberg School of Public Health, Baltimore, MD, USA.</w:t>
      </w:r>
    </w:p>
    <w:p w14:paraId="71C33904" w14:textId="1E61E9D6" w:rsidR="00C35E24" w:rsidRDefault="5487FA01" w:rsidP="195C33EB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95C33EB">
        <w:rPr>
          <w:rFonts w:ascii="Calibri" w:eastAsia="Calibri" w:hAnsi="Calibri" w:cs="Calibri"/>
          <w:color w:val="000000" w:themeColor="text1"/>
          <w:sz w:val="24"/>
          <w:szCs w:val="24"/>
          <w:vertAlign w:val="superscript"/>
        </w:rPr>
        <w:t>5</w:t>
      </w:r>
      <w:r w:rsidRPr="195C33E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Department of Epidemiology, University of North Carolina </w:t>
      </w:r>
      <w:proofErr w:type="spellStart"/>
      <w:r w:rsidRPr="195C33EB">
        <w:rPr>
          <w:rFonts w:ascii="Calibri" w:eastAsia="Calibri" w:hAnsi="Calibri" w:cs="Calibri"/>
          <w:color w:val="000000" w:themeColor="text1"/>
          <w:sz w:val="24"/>
          <w:szCs w:val="24"/>
        </w:rPr>
        <w:t>Gillings</w:t>
      </w:r>
      <w:proofErr w:type="spellEnd"/>
      <w:r w:rsidRPr="195C33E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School of Global Public Health, Chapel Hill, NC, USA.</w:t>
      </w:r>
    </w:p>
    <w:p w14:paraId="6471A863" w14:textId="4EADE816" w:rsidR="00C35E24" w:rsidRDefault="00C35E24" w:rsidP="195C33EB">
      <w:pPr>
        <w:rPr>
          <w:b/>
          <w:bCs/>
        </w:rPr>
      </w:pPr>
    </w:p>
    <w:p w14:paraId="0A4AA426" w14:textId="4CA4D9BA" w:rsidR="00C35E24" w:rsidRDefault="5487FA01" w:rsidP="195C33EB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95C33E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Contents</w:t>
      </w:r>
    </w:p>
    <w:p w14:paraId="22692E00" w14:textId="70C858ED" w:rsidR="00C35E24" w:rsidRDefault="00C35E24" w:rsidP="195C33EB">
      <w:pPr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2C3764D4" w14:textId="106657D9" w:rsidR="00C35E24" w:rsidRDefault="5487FA01" w:rsidP="195C33EB">
      <w:pPr>
        <w:spacing w:after="0" w:line="240" w:lineRule="auto"/>
        <w:rPr>
          <w:sz w:val="24"/>
          <w:szCs w:val="24"/>
        </w:rPr>
      </w:pPr>
      <w:r w:rsidRPr="195C33EB">
        <w:rPr>
          <w:b/>
          <w:bCs/>
          <w:sz w:val="24"/>
          <w:szCs w:val="24"/>
        </w:rPr>
        <w:t>Supplemental Figure 1</w:t>
      </w:r>
      <w:r w:rsidRPr="195C33EB">
        <w:rPr>
          <w:sz w:val="24"/>
          <w:szCs w:val="24"/>
        </w:rPr>
        <w:t>. Distance from nearest NEI site by race and income category</w:t>
      </w:r>
    </w:p>
    <w:p w14:paraId="6D394FBD" w14:textId="7095025A" w:rsidR="00C35E24" w:rsidRDefault="5487FA01" w:rsidP="195C33EB">
      <w:pPr>
        <w:spacing w:after="0" w:line="240" w:lineRule="auto"/>
        <w:rPr>
          <w:sz w:val="24"/>
          <w:szCs w:val="24"/>
        </w:rPr>
      </w:pPr>
      <w:r w:rsidRPr="195C33EB">
        <w:rPr>
          <w:b/>
          <w:bCs/>
          <w:sz w:val="24"/>
          <w:szCs w:val="24"/>
        </w:rPr>
        <w:t>Supplemental Figure 2</w:t>
      </w:r>
      <w:r w:rsidRPr="195C33EB">
        <w:rPr>
          <w:sz w:val="24"/>
          <w:szCs w:val="24"/>
        </w:rPr>
        <w:t>. Stratified analysis by race</w:t>
      </w:r>
    </w:p>
    <w:p w14:paraId="4D2405B9" w14:textId="333E432F" w:rsidR="00C35E24" w:rsidRDefault="5487FA01" w:rsidP="195C33EB">
      <w:pPr>
        <w:spacing w:after="0" w:line="240" w:lineRule="auto"/>
        <w:rPr>
          <w:sz w:val="24"/>
          <w:szCs w:val="24"/>
        </w:rPr>
      </w:pPr>
      <w:r w:rsidRPr="195C33EB">
        <w:rPr>
          <w:b/>
          <w:bCs/>
          <w:sz w:val="24"/>
          <w:szCs w:val="24"/>
        </w:rPr>
        <w:t>Supplemental Figure 3</w:t>
      </w:r>
      <w:r w:rsidRPr="195C33EB">
        <w:rPr>
          <w:sz w:val="24"/>
          <w:szCs w:val="24"/>
        </w:rPr>
        <w:t xml:space="preserve">. Difference in blood elemental concentrations comparing Black participants to White participants in the </w:t>
      </w:r>
      <w:proofErr w:type="spellStart"/>
      <w:r w:rsidRPr="195C33EB">
        <w:rPr>
          <w:sz w:val="24"/>
          <w:szCs w:val="24"/>
        </w:rPr>
        <w:t>GuLF</w:t>
      </w:r>
      <w:proofErr w:type="spellEnd"/>
      <w:r w:rsidRPr="195C33EB">
        <w:rPr>
          <w:sz w:val="24"/>
          <w:szCs w:val="24"/>
        </w:rPr>
        <w:t xml:space="preserve"> BTEX sub-study</w:t>
      </w:r>
    </w:p>
    <w:p w14:paraId="247B7F57" w14:textId="631DABF4" w:rsidR="00C35E24" w:rsidRDefault="5487FA01" w:rsidP="195C33EB">
      <w:pPr>
        <w:spacing w:after="0" w:line="240" w:lineRule="auto"/>
        <w:rPr>
          <w:sz w:val="24"/>
          <w:szCs w:val="24"/>
        </w:rPr>
      </w:pPr>
      <w:r w:rsidRPr="195C33EB">
        <w:rPr>
          <w:b/>
          <w:bCs/>
          <w:sz w:val="24"/>
          <w:szCs w:val="24"/>
        </w:rPr>
        <w:t xml:space="preserve">Supplemental Figure 4. </w:t>
      </w:r>
      <w:r w:rsidRPr="195C33EB">
        <w:rPr>
          <w:sz w:val="24"/>
          <w:szCs w:val="24"/>
        </w:rPr>
        <w:t xml:space="preserve">Comparisons of blood elemental concentrations from </w:t>
      </w:r>
      <w:proofErr w:type="spellStart"/>
      <w:r w:rsidRPr="195C33EB">
        <w:rPr>
          <w:sz w:val="24"/>
          <w:szCs w:val="24"/>
        </w:rPr>
        <w:t>GuLF</w:t>
      </w:r>
      <w:proofErr w:type="spellEnd"/>
      <w:r w:rsidRPr="195C33EB">
        <w:rPr>
          <w:sz w:val="24"/>
          <w:szCs w:val="24"/>
        </w:rPr>
        <w:t xml:space="preserve"> BTEX sub-study to NHANES by race</w:t>
      </w:r>
    </w:p>
    <w:p w14:paraId="5B72A33A" w14:textId="0AEE2A57" w:rsidR="00C35E24" w:rsidRDefault="5487FA01" w:rsidP="195C33EB">
      <w:pPr>
        <w:spacing w:after="0" w:line="240" w:lineRule="auto"/>
        <w:rPr>
          <w:sz w:val="24"/>
          <w:szCs w:val="24"/>
        </w:rPr>
      </w:pPr>
      <w:r w:rsidRPr="195C33EB">
        <w:rPr>
          <w:b/>
          <w:bCs/>
          <w:sz w:val="24"/>
          <w:szCs w:val="24"/>
        </w:rPr>
        <w:t>Supplemental Figure 5.</w:t>
      </w:r>
      <w:r w:rsidRPr="195C33EB">
        <w:rPr>
          <w:sz w:val="24"/>
          <w:szCs w:val="24"/>
        </w:rPr>
        <w:t xml:space="preserve"> Toenail elemental concentrations by income category</w:t>
      </w:r>
    </w:p>
    <w:p w14:paraId="5DF5FA67" w14:textId="1BCAE05A" w:rsidR="00C35E24" w:rsidRDefault="5487FA01" w:rsidP="195C33EB">
      <w:pPr>
        <w:spacing w:after="0" w:line="240" w:lineRule="auto"/>
        <w:rPr>
          <w:sz w:val="24"/>
          <w:szCs w:val="24"/>
        </w:rPr>
      </w:pPr>
      <w:r w:rsidRPr="195C33EB">
        <w:rPr>
          <w:b/>
          <w:bCs/>
          <w:sz w:val="24"/>
          <w:szCs w:val="24"/>
        </w:rPr>
        <w:t>Supplemental Figure 6</w:t>
      </w:r>
      <w:r w:rsidRPr="195C33EB">
        <w:rPr>
          <w:sz w:val="24"/>
          <w:szCs w:val="24"/>
        </w:rPr>
        <w:t>. Racial differences in neighborhood poverty by state and income category</w:t>
      </w:r>
    </w:p>
    <w:p w14:paraId="035DE860" w14:textId="10B21BB0" w:rsidR="00C35E24" w:rsidRDefault="5487FA01" w:rsidP="195C33EB">
      <w:pPr>
        <w:spacing w:after="0" w:line="240" w:lineRule="auto"/>
        <w:rPr>
          <w:b/>
          <w:bCs/>
          <w:sz w:val="24"/>
          <w:szCs w:val="24"/>
        </w:rPr>
      </w:pPr>
      <w:r w:rsidRPr="195C33EB">
        <w:rPr>
          <w:b/>
          <w:bCs/>
          <w:sz w:val="24"/>
          <w:szCs w:val="24"/>
        </w:rPr>
        <w:t>Supplemental Table 1.</w:t>
      </w:r>
      <w:r w:rsidRPr="195C33EB">
        <w:rPr>
          <w:sz w:val="24"/>
          <w:szCs w:val="24"/>
        </w:rPr>
        <w:t xml:space="preserve"> Covariates associated with toenail Pb and Hg concentrations</w:t>
      </w:r>
    </w:p>
    <w:p w14:paraId="43C897A7" w14:textId="11842F6A" w:rsidR="00C35E24" w:rsidRDefault="00C35E24" w:rsidP="195C33EB">
      <w:pPr>
        <w:spacing w:after="0" w:line="240" w:lineRule="auto"/>
        <w:rPr>
          <w:sz w:val="24"/>
          <w:szCs w:val="24"/>
        </w:rPr>
      </w:pPr>
    </w:p>
    <w:p w14:paraId="54D8F084" w14:textId="276D14CE" w:rsidR="00C35E24" w:rsidRDefault="00C35E24" w:rsidP="254AFD48"/>
    <w:p w14:paraId="7749C897" w14:textId="7B09E4D9" w:rsidR="00C35E24" w:rsidRDefault="08A263F1" w:rsidP="254AFD48">
      <w:r>
        <w:rPr>
          <w:noProof/>
        </w:rPr>
        <w:lastRenderedPageBreak/>
        <w:drawing>
          <wp:inline distT="0" distB="0" distL="0" distR="0" wp14:anchorId="3CBE994E" wp14:editId="29437321">
            <wp:extent cx="5542130" cy="5114926"/>
            <wp:effectExtent l="0" t="0" r="0" b="0"/>
            <wp:docPr id="2071006775" name="Picture 207100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130" cy="511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AB87" w14:textId="77F5FAFC" w:rsidR="4CAB3DDF" w:rsidRDefault="4CAB3DDF" w:rsidP="29437321">
      <w:pPr>
        <w:rPr>
          <w:sz w:val="24"/>
          <w:szCs w:val="24"/>
        </w:rPr>
      </w:pPr>
      <w:r w:rsidRPr="29437321">
        <w:rPr>
          <w:b/>
          <w:bCs/>
          <w:sz w:val="24"/>
          <w:szCs w:val="24"/>
        </w:rPr>
        <w:t>Supplemental Figure 1</w:t>
      </w:r>
      <w:r w:rsidRPr="29437321">
        <w:rPr>
          <w:sz w:val="24"/>
          <w:szCs w:val="24"/>
        </w:rPr>
        <w:t>. Distance from nearest NEI site by race and income category</w:t>
      </w:r>
    </w:p>
    <w:p w14:paraId="21754820" w14:textId="1999BE94" w:rsidR="29437321" w:rsidRDefault="29437321" w:rsidP="29437321">
      <w:pPr>
        <w:rPr>
          <w:b/>
          <w:bCs/>
          <w:sz w:val="24"/>
          <w:szCs w:val="24"/>
        </w:rPr>
      </w:pPr>
    </w:p>
    <w:p w14:paraId="7C588EE3" w14:textId="5C1BED5E" w:rsidR="4000E4F0" w:rsidRDefault="4000E4F0" w:rsidP="31DF6B47">
      <w:r>
        <w:rPr>
          <w:noProof/>
        </w:rPr>
        <w:lastRenderedPageBreak/>
        <w:drawing>
          <wp:inline distT="0" distB="0" distL="0" distR="0" wp14:anchorId="079CD4A6" wp14:editId="10B0C8C0">
            <wp:extent cx="5160352" cy="3354229"/>
            <wp:effectExtent l="0" t="0" r="0" b="0"/>
            <wp:docPr id="482233202" name="Picture 48223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352" cy="335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B612" w14:textId="50F8FF46" w:rsidR="76675E2D" w:rsidRDefault="76675E2D" w:rsidP="29437321">
      <w:pPr>
        <w:rPr>
          <w:sz w:val="24"/>
          <w:szCs w:val="24"/>
        </w:rPr>
      </w:pPr>
      <w:r w:rsidRPr="29437321">
        <w:rPr>
          <w:b/>
          <w:bCs/>
          <w:sz w:val="24"/>
          <w:szCs w:val="24"/>
        </w:rPr>
        <w:t>Supplemental Figure 2</w:t>
      </w:r>
      <w:r w:rsidRPr="29437321">
        <w:rPr>
          <w:sz w:val="24"/>
          <w:szCs w:val="24"/>
        </w:rPr>
        <w:t>. Stratified analysis by race</w:t>
      </w:r>
    </w:p>
    <w:p w14:paraId="79245056" w14:textId="3B39C5C6" w:rsidR="00C35E24" w:rsidRDefault="00C35E24" w:rsidP="254AFD48"/>
    <w:p w14:paraId="499A2246" w14:textId="7F47FC82" w:rsidR="00C35E24" w:rsidRDefault="377D29A8" w:rsidP="254AFD48">
      <w:r>
        <w:rPr>
          <w:noProof/>
        </w:rPr>
        <w:drawing>
          <wp:inline distT="0" distB="0" distL="0" distR="0" wp14:anchorId="3FF673B8" wp14:editId="1CD10BF8">
            <wp:extent cx="3289727" cy="3262313"/>
            <wp:effectExtent l="0" t="0" r="0" b="0"/>
            <wp:docPr id="1649566619" name="Picture 164956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727" cy="326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9857" w14:textId="04B22425" w:rsidR="47FA3B94" w:rsidRDefault="47FA3B94" w:rsidP="29437321">
      <w:pPr>
        <w:rPr>
          <w:sz w:val="24"/>
          <w:szCs w:val="24"/>
        </w:rPr>
      </w:pPr>
      <w:r w:rsidRPr="29437321">
        <w:rPr>
          <w:b/>
          <w:bCs/>
          <w:sz w:val="24"/>
          <w:szCs w:val="24"/>
        </w:rPr>
        <w:t>Supplemental Figure 3</w:t>
      </w:r>
      <w:r w:rsidRPr="29437321">
        <w:rPr>
          <w:sz w:val="24"/>
          <w:szCs w:val="24"/>
        </w:rPr>
        <w:t xml:space="preserve">. Difference in blood elemental concentrations comparing Black participants to White participants in the </w:t>
      </w:r>
      <w:proofErr w:type="spellStart"/>
      <w:r w:rsidRPr="29437321">
        <w:rPr>
          <w:sz w:val="24"/>
          <w:szCs w:val="24"/>
        </w:rPr>
        <w:t>GuLF</w:t>
      </w:r>
      <w:proofErr w:type="spellEnd"/>
      <w:r w:rsidRPr="29437321">
        <w:rPr>
          <w:sz w:val="24"/>
          <w:szCs w:val="24"/>
        </w:rPr>
        <w:t xml:space="preserve"> BTEX sub-study (n = 723)</w:t>
      </w:r>
    </w:p>
    <w:p w14:paraId="4DE53F34" w14:textId="08B51C07" w:rsidR="29437321" w:rsidRDefault="29437321" w:rsidP="29437321"/>
    <w:p w14:paraId="7AAA0B6A" w14:textId="11FBB7DE" w:rsidR="00C35E24" w:rsidRDefault="00C35E24" w:rsidP="254AFD48"/>
    <w:p w14:paraId="596BE150" w14:textId="54BF7ADB" w:rsidR="00C35E24" w:rsidRDefault="1635C37A" w:rsidP="2943732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DB8CDB" wp14:editId="4CBEEB70">
            <wp:extent cx="5134928" cy="5705476"/>
            <wp:effectExtent l="0" t="0" r="0" b="0"/>
            <wp:docPr id="118739793" name="Picture 118739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928" cy="570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10EC4B" w:rsidRPr="29437321">
        <w:rPr>
          <w:b/>
          <w:bCs/>
          <w:sz w:val="24"/>
          <w:szCs w:val="24"/>
        </w:rPr>
        <w:t xml:space="preserve">Supplemental Figure 4. </w:t>
      </w:r>
      <w:r w:rsidR="3010EC4B" w:rsidRPr="29437321">
        <w:rPr>
          <w:sz w:val="24"/>
          <w:szCs w:val="24"/>
        </w:rPr>
        <w:t xml:space="preserve">Comparisons of blood elemental concentrations from </w:t>
      </w:r>
      <w:proofErr w:type="spellStart"/>
      <w:r w:rsidR="3010EC4B" w:rsidRPr="29437321">
        <w:rPr>
          <w:sz w:val="24"/>
          <w:szCs w:val="24"/>
        </w:rPr>
        <w:t>GuLF</w:t>
      </w:r>
      <w:proofErr w:type="spellEnd"/>
      <w:r w:rsidR="3010EC4B" w:rsidRPr="29437321">
        <w:rPr>
          <w:sz w:val="24"/>
          <w:szCs w:val="24"/>
        </w:rPr>
        <w:t xml:space="preserve"> BTEX sub-study to NHANES by race</w:t>
      </w:r>
    </w:p>
    <w:p w14:paraId="196E9C21" w14:textId="7BD293BA" w:rsidR="00C35E24" w:rsidRDefault="00C35E24" w:rsidP="254AFD48"/>
    <w:p w14:paraId="7A638461" w14:textId="2C8FE4FA" w:rsidR="29E86977" w:rsidRDefault="29E86977" w:rsidP="2943732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2E3776" wp14:editId="7796CFEA">
            <wp:extent cx="3343275" cy="3421688"/>
            <wp:effectExtent l="0" t="0" r="0" b="0"/>
            <wp:docPr id="1417779542" name="Picture 141777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4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BF58" w14:textId="2A036246" w:rsidR="2EA5ACFB" w:rsidRDefault="2EA5ACFB" w:rsidP="29437321">
      <w:pPr>
        <w:rPr>
          <w:sz w:val="24"/>
          <w:szCs w:val="24"/>
        </w:rPr>
      </w:pPr>
      <w:r w:rsidRPr="29437321">
        <w:rPr>
          <w:b/>
          <w:bCs/>
          <w:sz w:val="24"/>
          <w:szCs w:val="24"/>
        </w:rPr>
        <w:t>Supplemental Figure 5.</w:t>
      </w:r>
      <w:r w:rsidRPr="29437321">
        <w:rPr>
          <w:sz w:val="24"/>
          <w:szCs w:val="24"/>
        </w:rPr>
        <w:t xml:space="preserve"> Toenail elemental concentrations by income category</w:t>
      </w:r>
    </w:p>
    <w:p w14:paraId="146CEAC3" w14:textId="08C95E03" w:rsidR="29437321" w:rsidRDefault="29437321" w:rsidP="29437321"/>
    <w:p w14:paraId="6C711C96" w14:textId="2747239A" w:rsidR="00C35E24" w:rsidRDefault="00C35E24" w:rsidP="195C33EB">
      <w:pPr>
        <w:rPr>
          <w:b/>
          <w:bCs/>
        </w:rPr>
      </w:pPr>
    </w:p>
    <w:p w14:paraId="40E385E0" w14:textId="000743D7" w:rsidR="00C35E24" w:rsidRDefault="7579FCF8" w:rsidP="254AFD48">
      <w:r>
        <w:rPr>
          <w:noProof/>
        </w:rPr>
        <w:drawing>
          <wp:inline distT="0" distB="0" distL="0" distR="0" wp14:anchorId="30574838" wp14:editId="37F4A729">
            <wp:extent cx="5196407" cy="3280231"/>
            <wp:effectExtent l="0" t="0" r="0" b="0"/>
            <wp:docPr id="626181329" name="Picture 62618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407" cy="328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A6A89" w14:textId="116634FD" w:rsidR="22042081" w:rsidRDefault="22042081" w:rsidP="29437321">
      <w:pPr>
        <w:rPr>
          <w:sz w:val="24"/>
          <w:szCs w:val="24"/>
        </w:rPr>
      </w:pPr>
      <w:r w:rsidRPr="29437321">
        <w:rPr>
          <w:b/>
          <w:bCs/>
          <w:sz w:val="24"/>
          <w:szCs w:val="24"/>
        </w:rPr>
        <w:t>Supplemental Figure 6</w:t>
      </w:r>
      <w:r w:rsidRPr="29437321">
        <w:rPr>
          <w:sz w:val="24"/>
          <w:szCs w:val="24"/>
        </w:rPr>
        <w:t>. Racial differences in neighborhood poverty by state and income category</w:t>
      </w:r>
    </w:p>
    <w:p w14:paraId="5D8125B9" w14:textId="3090AC1E" w:rsidR="29437321" w:rsidRDefault="29437321" w:rsidP="29437321"/>
    <w:p w14:paraId="4B6E8894" w14:textId="08E1A885" w:rsidR="00C35E24" w:rsidRDefault="00C35E24" w:rsidP="254AFD48"/>
    <w:p w14:paraId="579CE5EB" w14:textId="10B21BB0" w:rsidR="00C35E24" w:rsidRDefault="1867C6F5" w:rsidP="195C33EB">
      <w:pPr>
        <w:rPr>
          <w:b/>
          <w:bCs/>
          <w:sz w:val="24"/>
          <w:szCs w:val="24"/>
        </w:rPr>
      </w:pPr>
      <w:r w:rsidRPr="195C33EB">
        <w:rPr>
          <w:b/>
          <w:bCs/>
          <w:sz w:val="24"/>
          <w:szCs w:val="24"/>
        </w:rPr>
        <w:t>Supplemental Table 1.</w:t>
      </w:r>
      <w:r w:rsidRPr="195C33EB">
        <w:rPr>
          <w:sz w:val="24"/>
          <w:szCs w:val="24"/>
        </w:rPr>
        <w:t xml:space="preserve"> Covariates associated with toenail Pb and Hg concentrations</w:t>
      </w:r>
    </w:p>
    <w:tbl>
      <w:tblPr>
        <w:tblStyle w:val="TableGrid"/>
        <w:tblW w:w="0" w:type="auto"/>
        <w:tblBorders>
          <w:top w:val="none" w:sz="6" w:space="0" w:color="000000" w:themeColor="text1"/>
          <w:left w:val="none" w:sz="6" w:space="0" w:color="000000" w:themeColor="text1"/>
          <w:bottom w:val="none" w:sz="6" w:space="0" w:color="000000" w:themeColor="text1"/>
          <w:right w:val="none" w:sz="6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3495"/>
        <w:gridCol w:w="2910"/>
        <w:gridCol w:w="2790"/>
      </w:tblGrid>
      <w:tr w:rsidR="195C33EB" w14:paraId="730319A0" w14:textId="77777777" w:rsidTr="195C33EB">
        <w:trPr>
          <w:trHeight w:val="300"/>
        </w:trPr>
        <w:tc>
          <w:tcPr>
            <w:tcW w:w="3495" w:type="dxa"/>
            <w:tcBorders>
              <w:top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A7CDF92" w14:textId="140709B9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C3A5C1B" w14:textId="5901A987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b/>
                <w:bCs/>
                <w:color w:val="000000" w:themeColor="text1"/>
              </w:rPr>
              <w:t>Pb</w:t>
            </w:r>
          </w:p>
        </w:tc>
        <w:tc>
          <w:tcPr>
            <w:tcW w:w="2790" w:type="dxa"/>
            <w:tcBorders>
              <w:top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0BDCB73" w14:textId="7D0CEDEA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b/>
                <w:bCs/>
                <w:color w:val="000000" w:themeColor="text1"/>
              </w:rPr>
              <w:t>Hg</w:t>
            </w:r>
          </w:p>
        </w:tc>
      </w:tr>
      <w:tr w:rsidR="195C33EB" w14:paraId="613E393A" w14:textId="77777777" w:rsidTr="195C33EB">
        <w:trPr>
          <w:trHeight w:val="300"/>
        </w:trPr>
        <w:tc>
          <w:tcPr>
            <w:tcW w:w="3495" w:type="dxa"/>
            <w:tcBorders>
              <w:bottom w:val="single" w:sz="2" w:space="0" w:color="000000" w:themeColor="text1"/>
            </w:tcBorders>
            <w:tcMar>
              <w:left w:w="105" w:type="dxa"/>
              <w:right w:w="105" w:type="dxa"/>
            </w:tcMar>
          </w:tcPr>
          <w:p w14:paraId="1EDA0F2E" w14:textId="0024ABCD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910" w:type="dxa"/>
            <w:tcBorders>
              <w:bottom w:val="single" w:sz="2" w:space="0" w:color="000000" w:themeColor="text1"/>
            </w:tcBorders>
            <w:tcMar>
              <w:left w:w="105" w:type="dxa"/>
              <w:right w:w="105" w:type="dxa"/>
            </w:tcMar>
          </w:tcPr>
          <w:p w14:paraId="6B3B27F5" w14:textId="4268EBA6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Beta Coefficient (p-value)</w:t>
            </w:r>
          </w:p>
        </w:tc>
        <w:tc>
          <w:tcPr>
            <w:tcW w:w="2790" w:type="dxa"/>
            <w:tcBorders>
              <w:bottom w:val="single" w:sz="2" w:space="0" w:color="000000" w:themeColor="text1"/>
            </w:tcBorders>
            <w:tcMar>
              <w:left w:w="105" w:type="dxa"/>
              <w:right w:w="105" w:type="dxa"/>
            </w:tcMar>
          </w:tcPr>
          <w:p w14:paraId="21C6F83C" w14:textId="7E04ED0A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Beta Coefficient (p-value)</w:t>
            </w:r>
          </w:p>
        </w:tc>
      </w:tr>
      <w:tr w:rsidR="195C33EB" w14:paraId="5673AA2D" w14:textId="77777777" w:rsidTr="195C33EB">
        <w:trPr>
          <w:trHeight w:val="300"/>
        </w:trPr>
        <w:tc>
          <w:tcPr>
            <w:tcW w:w="3495" w:type="dxa"/>
            <w:tcBorders>
              <w:top w:val="single" w:sz="2" w:space="0" w:color="000000" w:themeColor="text1"/>
            </w:tcBorders>
            <w:tcMar>
              <w:left w:w="105" w:type="dxa"/>
              <w:right w:w="105" w:type="dxa"/>
            </w:tcMar>
          </w:tcPr>
          <w:p w14:paraId="0ABBD638" w14:textId="1E85F8DC" w:rsidR="195C33EB" w:rsidRDefault="195C33EB" w:rsidP="195C33EB">
            <w:pPr>
              <w:spacing w:line="259" w:lineRule="auto"/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Age</w:t>
            </w:r>
          </w:p>
        </w:tc>
        <w:tc>
          <w:tcPr>
            <w:tcW w:w="2910" w:type="dxa"/>
            <w:tcBorders>
              <w:top w:val="single" w:sz="2" w:space="0" w:color="000000" w:themeColor="text1"/>
            </w:tcBorders>
            <w:tcMar>
              <w:left w:w="105" w:type="dxa"/>
              <w:right w:w="105" w:type="dxa"/>
            </w:tcMar>
          </w:tcPr>
          <w:p w14:paraId="2876C96A" w14:textId="1ADD8478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790" w:type="dxa"/>
            <w:tcBorders>
              <w:top w:val="single" w:sz="2" w:space="0" w:color="000000" w:themeColor="text1"/>
            </w:tcBorders>
            <w:tcMar>
              <w:left w:w="105" w:type="dxa"/>
              <w:right w:w="105" w:type="dxa"/>
            </w:tcMar>
          </w:tcPr>
          <w:p w14:paraId="31E9B1F4" w14:textId="31A642DC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0.0090 (0.0052)</w:t>
            </w:r>
          </w:p>
        </w:tc>
      </w:tr>
      <w:tr w:rsidR="195C33EB" w14:paraId="371D167F" w14:textId="77777777" w:rsidTr="195C33EB">
        <w:trPr>
          <w:trHeight w:val="300"/>
        </w:trPr>
        <w:tc>
          <w:tcPr>
            <w:tcW w:w="3495" w:type="dxa"/>
            <w:tcMar>
              <w:left w:w="105" w:type="dxa"/>
              <w:right w:w="105" w:type="dxa"/>
            </w:tcMar>
          </w:tcPr>
          <w:p w14:paraId="07DFB4A1" w14:textId="05285BCE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Race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</w:tcPr>
          <w:p w14:paraId="5E97294F" w14:textId="0ABF858D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790" w:type="dxa"/>
            <w:tcMar>
              <w:left w:w="105" w:type="dxa"/>
              <w:right w:w="105" w:type="dxa"/>
            </w:tcMar>
          </w:tcPr>
          <w:p w14:paraId="5672D567" w14:textId="571F3216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-0.40 (5.5e-7)</w:t>
            </w:r>
          </w:p>
        </w:tc>
      </w:tr>
      <w:tr w:rsidR="195C33EB" w14:paraId="17AC7DA0" w14:textId="77777777" w:rsidTr="195C33EB">
        <w:trPr>
          <w:trHeight w:val="300"/>
        </w:trPr>
        <w:tc>
          <w:tcPr>
            <w:tcW w:w="3495" w:type="dxa"/>
            <w:tcMar>
              <w:left w:w="105" w:type="dxa"/>
              <w:right w:w="105" w:type="dxa"/>
            </w:tcMar>
          </w:tcPr>
          <w:p w14:paraId="272E63E5" w14:textId="2E241488" w:rsidR="195C33EB" w:rsidRDefault="195C33EB" w:rsidP="195C33EB">
            <w:pPr>
              <w:spacing w:line="259" w:lineRule="auto"/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Education (years)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</w:tcPr>
          <w:p w14:paraId="79574EB6" w14:textId="2294606D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-0.03 (0.017)</w:t>
            </w:r>
          </w:p>
        </w:tc>
        <w:tc>
          <w:tcPr>
            <w:tcW w:w="2790" w:type="dxa"/>
            <w:tcMar>
              <w:left w:w="105" w:type="dxa"/>
              <w:right w:w="105" w:type="dxa"/>
            </w:tcMar>
          </w:tcPr>
          <w:p w14:paraId="0CFC3AE0" w14:textId="74FC76E0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0.032 (0.015)</w:t>
            </w:r>
          </w:p>
        </w:tc>
      </w:tr>
      <w:tr w:rsidR="195C33EB" w14:paraId="56CBBBB8" w14:textId="77777777" w:rsidTr="195C33EB">
        <w:trPr>
          <w:trHeight w:val="300"/>
        </w:trPr>
        <w:tc>
          <w:tcPr>
            <w:tcW w:w="3495" w:type="dxa"/>
            <w:tcMar>
              <w:left w:w="105" w:type="dxa"/>
              <w:right w:w="105" w:type="dxa"/>
            </w:tcMar>
          </w:tcPr>
          <w:p w14:paraId="456ABB3F" w14:textId="7E54935B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Passive smoke exposure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</w:tcPr>
          <w:p w14:paraId="512ECB5D" w14:textId="17564198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790" w:type="dxa"/>
            <w:tcMar>
              <w:left w:w="105" w:type="dxa"/>
              <w:right w:w="105" w:type="dxa"/>
            </w:tcMar>
          </w:tcPr>
          <w:p w14:paraId="6DCCE4E9" w14:textId="7AC07E7F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-0.21 (0.029)</w:t>
            </w:r>
          </w:p>
        </w:tc>
      </w:tr>
      <w:tr w:rsidR="195C33EB" w14:paraId="464ACC8E" w14:textId="77777777" w:rsidTr="195C33EB">
        <w:trPr>
          <w:trHeight w:val="300"/>
        </w:trPr>
        <w:tc>
          <w:tcPr>
            <w:tcW w:w="3495" w:type="dxa"/>
            <w:tcMar>
              <w:left w:w="105" w:type="dxa"/>
              <w:right w:w="105" w:type="dxa"/>
            </w:tcMar>
          </w:tcPr>
          <w:p w14:paraId="7A66F6C6" w14:textId="3547BCF0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Percent below poverty level</w:t>
            </w:r>
            <w:r w:rsidRPr="195C33EB">
              <w:rPr>
                <w:rFonts w:ascii="Calibri" w:eastAsia="Calibri" w:hAnsi="Calibri" w:cs="Calibri"/>
                <w:color w:val="000000" w:themeColor="text1"/>
                <w:vertAlign w:val="superscript"/>
              </w:rPr>
              <w:t>*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</w:tcPr>
          <w:p w14:paraId="2461301C" w14:textId="023DFCC3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0.0093 (0.0049)</w:t>
            </w:r>
          </w:p>
        </w:tc>
        <w:tc>
          <w:tcPr>
            <w:tcW w:w="2790" w:type="dxa"/>
            <w:tcMar>
              <w:left w:w="105" w:type="dxa"/>
              <w:right w:w="105" w:type="dxa"/>
            </w:tcMar>
          </w:tcPr>
          <w:p w14:paraId="3C2696BC" w14:textId="52261808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-0.0080 (0.0031)</w:t>
            </w:r>
          </w:p>
        </w:tc>
      </w:tr>
      <w:tr w:rsidR="195C33EB" w14:paraId="625EEDC5" w14:textId="77777777" w:rsidTr="195C33EB">
        <w:trPr>
          <w:trHeight w:val="300"/>
        </w:trPr>
        <w:tc>
          <w:tcPr>
            <w:tcW w:w="3495" w:type="dxa"/>
            <w:tcBorders>
              <w:bottom w:val="single" w:sz="2" w:space="0" w:color="000000" w:themeColor="text1"/>
            </w:tcBorders>
            <w:tcMar>
              <w:left w:w="105" w:type="dxa"/>
              <w:right w:w="105" w:type="dxa"/>
            </w:tcMar>
          </w:tcPr>
          <w:p w14:paraId="309E7F4C" w14:textId="2F3B1D94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Median year structures built</w:t>
            </w:r>
            <w:r w:rsidRPr="195C33EB">
              <w:rPr>
                <w:rFonts w:ascii="Calibri" w:eastAsia="Calibri" w:hAnsi="Calibri" w:cs="Calibri"/>
                <w:color w:val="000000" w:themeColor="text1"/>
                <w:vertAlign w:val="superscript"/>
              </w:rPr>
              <w:t>*</w:t>
            </w:r>
          </w:p>
        </w:tc>
        <w:tc>
          <w:tcPr>
            <w:tcW w:w="2910" w:type="dxa"/>
            <w:tcBorders>
              <w:bottom w:val="single" w:sz="2" w:space="0" w:color="000000" w:themeColor="text1"/>
            </w:tcBorders>
            <w:tcMar>
              <w:left w:w="105" w:type="dxa"/>
              <w:right w:w="105" w:type="dxa"/>
            </w:tcMar>
          </w:tcPr>
          <w:p w14:paraId="0A0C5EE6" w14:textId="6135E827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-0.0096 (0.0017)</w:t>
            </w:r>
          </w:p>
        </w:tc>
        <w:tc>
          <w:tcPr>
            <w:tcW w:w="2790" w:type="dxa"/>
            <w:tcBorders>
              <w:bottom w:val="single" w:sz="2" w:space="0" w:color="000000" w:themeColor="text1"/>
            </w:tcBorders>
            <w:tcMar>
              <w:left w:w="105" w:type="dxa"/>
              <w:right w:w="105" w:type="dxa"/>
            </w:tcMar>
          </w:tcPr>
          <w:p w14:paraId="73695D19" w14:textId="3E087426" w:rsidR="195C33EB" w:rsidRDefault="195C33EB" w:rsidP="195C33E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95C33EB">
              <w:rPr>
                <w:rFonts w:ascii="Calibri" w:eastAsia="Calibri" w:hAnsi="Calibri" w:cs="Calibri"/>
                <w:color w:val="000000" w:themeColor="text1"/>
              </w:rPr>
              <w:t>0.011 (7.74e-6)</w:t>
            </w:r>
          </w:p>
        </w:tc>
      </w:tr>
    </w:tbl>
    <w:p w14:paraId="23E4DA51" w14:textId="6BBF2F9B" w:rsidR="00C35E24" w:rsidRDefault="1867C6F5" w:rsidP="195C33EB">
      <w:r w:rsidRPr="195C33EB">
        <w:rPr>
          <w:vertAlign w:val="superscript"/>
        </w:rPr>
        <w:t xml:space="preserve">* </w:t>
      </w:r>
      <w:r>
        <w:t>Census block group level, included in separate models</w:t>
      </w:r>
    </w:p>
    <w:p w14:paraId="2C078E63" w14:textId="1DC910B3" w:rsidR="00C35E24" w:rsidRDefault="00000000" w:rsidP="254AFD48">
      <w:r>
        <w:br/>
      </w:r>
    </w:p>
    <w:p w14:paraId="2CCB3362" w14:textId="5783908E" w:rsidR="76EA1CAE" w:rsidRDefault="76EA1CAE" w:rsidP="195C33EB">
      <w:r>
        <w:br/>
      </w:r>
    </w:p>
    <w:p w14:paraId="50B71F77" w14:textId="401B9E8B" w:rsidR="254AFD48" w:rsidRDefault="254AFD48" w:rsidP="254AFD48"/>
    <w:p w14:paraId="4AD891B7" w14:textId="37977292" w:rsidR="208E76B3" w:rsidRDefault="208E76B3" w:rsidP="254AFD48"/>
    <w:p w14:paraId="47F37BD4" w14:textId="31143B7D" w:rsidR="4326755E" w:rsidRDefault="4326755E" w:rsidP="195C33EB">
      <w:r>
        <w:br/>
      </w:r>
      <w:r>
        <w:br/>
      </w:r>
    </w:p>
    <w:sectPr w:rsidR="4326755E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48FC6" w14:textId="77777777" w:rsidR="008533B3" w:rsidRDefault="008533B3">
      <w:pPr>
        <w:spacing w:after="0" w:line="240" w:lineRule="auto"/>
      </w:pPr>
      <w:r>
        <w:separator/>
      </w:r>
    </w:p>
  </w:endnote>
  <w:endnote w:type="continuationSeparator" w:id="0">
    <w:p w14:paraId="7448D965" w14:textId="77777777" w:rsidR="008533B3" w:rsidRDefault="00853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9437321" w14:paraId="469E2437" w14:textId="77777777" w:rsidTr="29437321">
      <w:trPr>
        <w:trHeight w:val="300"/>
      </w:trPr>
      <w:tc>
        <w:tcPr>
          <w:tcW w:w="3120" w:type="dxa"/>
        </w:tcPr>
        <w:p w14:paraId="02A2B63B" w14:textId="1A0756BD" w:rsidR="29437321" w:rsidRDefault="29437321" w:rsidP="29437321">
          <w:pPr>
            <w:pStyle w:val="Header"/>
            <w:ind w:left="-115"/>
          </w:pPr>
        </w:p>
      </w:tc>
      <w:tc>
        <w:tcPr>
          <w:tcW w:w="3120" w:type="dxa"/>
        </w:tcPr>
        <w:p w14:paraId="2726C204" w14:textId="2DB7656B" w:rsidR="29437321" w:rsidRDefault="29437321" w:rsidP="29437321">
          <w:pPr>
            <w:pStyle w:val="Header"/>
            <w:jc w:val="center"/>
          </w:pPr>
        </w:p>
      </w:tc>
      <w:tc>
        <w:tcPr>
          <w:tcW w:w="3120" w:type="dxa"/>
        </w:tcPr>
        <w:p w14:paraId="7FB68246" w14:textId="0228BB72" w:rsidR="29437321" w:rsidRDefault="29437321" w:rsidP="29437321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 w:rsidR="00000000">
            <w:fldChar w:fldCharType="separate"/>
          </w:r>
          <w:r w:rsidR="00461075">
            <w:rPr>
              <w:noProof/>
            </w:rPr>
            <w:t>1</w:t>
          </w:r>
          <w:r>
            <w:fldChar w:fldCharType="end"/>
          </w:r>
        </w:p>
      </w:tc>
    </w:tr>
  </w:tbl>
  <w:p w14:paraId="5BE9FEE3" w14:textId="5C8D1747" w:rsidR="29437321" w:rsidRDefault="29437321" w:rsidP="294373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48C1F" w14:textId="77777777" w:rsidR="008533B3" w:rsidRDefault="008533B3">
      <w:pPr>
        <w:spacing w:after="0" w:line="240" w:lineRule="auto"/>
      </w:pPr>
      <w:r>
        <w:separator/>
      </w:r>
    </w:p>
  </w:footnote>
  <w:footnote w:type="continuationSeparator" w:id="0">
    <w:p w14:paraId="47465B45" w14:textId="77777777" w:rsidR="008533B3" w:rsidRDefault="00853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9437321" w14:paraId="48A70DF7" w14:textId="77777777" w:rsidTr="29437321">
      <w:trPr>
        <w:trHeight w:val="300"/>
      </w:trPr>
      <w:tc>
        <w:tcPr>
          <w:tcW w:w="3120" w:type="dxa"/>
        </w:tcPr>
        <w:p w14:paraId="16136F97" w14:textId="455BA138" w:rsidR="29437321" w:rsidRDefault="29437321" w:rsidP="29437321">
          <w:pPr>
            <w:pStyle w:val="Header"/>
            <w:ind w:left="-115"/>
          </w:pPr>
        </w:p>
      </w:tc>
      <w:tc>
        <w:tcPr>
          <w:tcW w:w="3120" w:type="dxa"/>
        </w:tcPr>
        <w:p w14:paraId="58083C54" w14:textId="4954DB4C" w:rsidR="29437321" w:rsidRDefault="29437321" w:rsidP="29437321">
          <w:pPr>
            <w:pStyle w:val="Header"/>
            <w:jc w:val="center"/>
          </w:pPr>
        </w:p>
      </w:tc>
      <w:tc>
        <w:tcPr>
          <w:tcW w:w="3120" w:type="dxa"/>
        </w:tcPr>
        <w:p w14:paraId="0F5001A6" w14:textId="36D3C35B" w:rsidR="29437321" w:rsidRDefault="29437321" w:rsidP="29437321">
          <w:pPr>
            <w:pStyle w:val="Header"/>
            <w:ind w:right="-115"/>
            <w:jc w:val="right"/>
          </w:pPr>
        </w:p>
      </w:tc>
    </w:tr>
  </w:tbl>
  <w:p w14:paraId="09CF4A92" w14:textId="049503F7" w:rsidR="29437321" w:rsidRDefault="29437321" w:rsidP="294373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67DD43"/>
    <w:multiLevelType w:val="hybridMultilevel"/>
    <w:tmpl w:val="5E1AA7D2"/>
    <w:lvl w:ilvl="0" w:tplc="9F923C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EC0F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5CD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6A2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E890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3A8F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50C1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486D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442C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6631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51C2EF0"/>
    <w:rsid w:val="00461075"/>
    <w:rsid w:val="008533B3"/>
    <w:rsid w:val="00C35E24"/>
    <w:rsid w:val="00E7C039"/>
    <w:rsid w:val="032D2A9B"/>
    <w:rsid w:val="03C007E4"/>
    <w:rsid w:val="04EBCAFC"/>
    <w:rsid w:val="051C2EF0"/>
    <w:rsid w:val="0525B6B0"/>
    <w:rsid w:val="06F68C8D"/>
    <w:rsid w:val="06F90284"/>
    <w:rsid w:val="08A263F1"/>
    <w:rsid w:val="08ABC605"/>
    <w:rsid w:val="0AFE1C24"/>
    <w:rsid w:val="0B3F4684"/>
    <w:rsid w:val="0C33BCC4"/>
    <w:rsid w:val="0C99EC85"/>
    <w:rsid w:val="0E35BCE6"/>
    <w:rsid w:val="0F01DF2C"/>
    <w:rsid w:val="0F1690EE"/>
    <w:rsid w:val="0F48EB45"/>
    <w:rsid w:val="10E4BBA6"/>
    <w:rsid w:val="112883A5"/>
    <w:rsid w:val="1176B248"/>
    <w:rsid w:val="1193A7BD"/>
    <w:rsid w:val="13E52FB9"/>
    <w:rsid w:val="143707C5"/>
    <w:rsid w:val="1488C2C8"/>
    <w:rsid w:val="152C9896"/>
    <w:rsid w:val="1635C37A"/>
    <w:rsid w:val="1648BC51"/>
    <w:rsid w:val="17A4BFC7"/>
    <w:rsid w:val="1867C6F5"/>
    <w:rsid w:val="195C33EB"/>
    <w:rsid w:val="19F61BB8"/>
    <w:rsid w:val="1B1C2D74"/>
    <w:rsid w:val="1CB7FDD5"/>
    <w:rsid w:val="1D289858"/>
    <w:rsid w:val="1D544D57"/>
    <w:rsid w:val="1DA3D342"/>
    <w:rsid w:val="1F6A116F"/>
    <w:rsid w:val="208E76B3"/>
    <w:rsid w:val="20DB7404"/>
    <w:rsid w:val="22042081"/>
    <w:rsid w:val="22A00A4A"/>
    <w:rsid w:val="254AFD48"/>
    <w:rsid w:val="26376A3B"/>
    <w:rsid w:val="29437321"/>
    <w:rsid w:val="29E86977"/>
    <w:rsid w:val="2A5521E4"/>
    <w:rsid w:val="2C0CEBD4"/>
    <w:rsid w:val="2EA5ACFB"/>
    <w:rsid w:val="2F9C94B5"/>
    <w:rsid w:val="3010EC4B"/>
    <w:rsid w:val="31386516"/>
    <w:rsid w:val="31DF6B47"/>
    <w:rsid w:val="33492AFD"/>
    <w:rsid w:val="33F52269"/>
    <w:rsid w:val="34B51D82"/>
    <w:rsid w:val="377D29A8"/>
    <w:rsid w:val="37EBEDFD"/>
    <w:rsid w:val="38D2467F"/>
    <w:rsid w:val="3987BE5E"/>
    <w:rsid w:val="4000E4F0"/>
    <w:rsid w:val="40E2C089"/>
    <w:rsid w:val="428D2A9F"/>
    <w:rsid w:val="42B665FA"/>
    <w:rsid w:val="4326755E"/>
    <w:rsid w:val="442E2183"/>
    <w:rsid w:val="44FDE9D6"/>
    <w:rsid w:val="45733F77"/>
    <w:rsid w:val="45F2B7C9"/>
    <w:rsid w:val="46C3F7E6"/>
    <w:rsid w:val="474AD47B"/>
    <w:rsid w:val="47FA3B94"/>
    <w:rsid w:val="4897A0A8"/>
    <w:rsid w:val="48B63892"/>
    <w:rsid w:val="4CAB3DDF"/>
    <w:rsid w:val="50DF38AA"/>
    <w:rsid w:val="51179106"/>
    <w:rsid w:val="539C37DF"/>
    <w:rsid w:val="544C2ADA"/>
    <w:rsid w:val="544F31C8"/>
    <w:rsid w:val="5487FA01"/>
    <w:rsid w:val="54DD3FA2"/>
    <w:rsid w:val="55380840"/>
    <w:rsid w:val="557B16E2"/>
    <w:rsid w:val="55F9A721"/>
    <w:rsid w:val="5790DE48"/>
    <w:rsid w:val="579E259B"/>
    <w:rsid w:val="585680A5"/>
    <w:rsid w:val="590A55ED"/>
    <w:rsid w:val="5922A2EB"/>
    <w:rsid w:val="5FAD3E71"/>
    <w:rsid w:val="6068576E"/>
    <w:rsid w:val="60F551DC"/>
    <w:rsid w:val="61F9A2E1"/>
    <w:rsid w:val="62D8E64B"/>
    <w:rsid w:val="6363CF4D"/>
    <w:rsid w:val="65422565"/>
    <w:rsid w:val="65591885"/>
    <w:rsid w:val="658EDAA5"/>
    <w:rsid w:val="674A3A7E"/>
    <w:rsid w:val="687790EA"/>
    <w:rsid w:val="69D310D1"/>
    <w:rsid w:val="6D92FE45"/>
    <w:rsid w:val="6DC982EF"/>
    <w:rsid w:val="6E90C5BD"/>
    <w:rsid w:val="6F42AE11"/>
    <w:rsid w:val="72443A20"/>
    <w:rsid w:val="72623B2F"/>
    <w:rsid w:val="735A9702"/>
    <w:rsid w:val="7451F187"/>
    <w:rsid w:val="7489F1AC"/>
    <w:rsid w:val="74A9948C"/>
    <w:rsid w:val="7579FCF8"/>
    <w:rsid w:val="75BBC5D6"/>
    <w:rsid w:val="76675E2D"/>
    <w:rsid w:val="76EA1CAE"/>
    <w:rsid w:val="77C97FF4"/>
    <w:rsid w:val="793E621E"/>
    <w:rsid w:val="79655055"/>
    <w:rsid w:val="7A31729B"/>
    <w:rsid w:val="7B092BC2"/>
    <w:rsid w:val="7D28C2E3"/>
    <w:rsid w:val="7E59AE27"/>
    <w:rsid w:val="7E96C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C2EF0"/>
  <w15:chartTrackingRefBased/>
  <w15:docId w15:val="{4C6DA078-C011-4C5A-8EFD-C2934404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Lin</dc:creator>
  <cp:keywords/>
  <dc:description/>
  <cp:lastModifiedBy>Joyce Lin</cp:lastModifiedBy>
  <cp:revision>2</cp:revision>
  <dcterms:created xsi:type="dcterms:W3CDTF">2023-07-09T17:50:00Z</dcterms:created>
  <dcterms:modified xsi:type="dcterms:W3CDTF">2023-07-09T17:50:00Z</dcterms:modified>
</cp:coreProperties>
</file>