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88CB" w14:textId="7722FDB8" w:rsidR="003E0D44" w:rsidRDefault="003E14B5" w:rsidP="006B6705">
      <w:pPr>
        <w:pStyle w:val="Caption"/>
        <w:rPr>
          <w:b/>
          <w:bCs/>
          <w:color w:val="auto"/>
        </w:rPr>
      </w:pPr>
      <w:r>
        <w:rPr>
          <w:b/>
          <w:bCs/>
          <w:noProof/>
          <w:color w:val="auto"/>
        </w:rPr>
        <w:drawing>
          <wp:inline distT="0" distB="0" distL="0" distR="0" wp14:anchorId="146C6618" wp14:editId="0AD089CA">
            <wp:extent cx="6858000" cy="3857625"/>
            <wp:effectExtent l="0" t="0" r="0" b="9525"/>
            <wp:docPr id="6506675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67542" name="Imagen 6506675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58000" cy="3857625"/>
                    </a:xfrm>
                    <a:prstGeom prst="rect">
                      <a:avLst/>
                    </a:prstGeom>
                  </pic:spPr>
                </pic:pic>
              </a:graphicData>
            </a:graphic>
          </wp:inline>
        </w:drawing>
      </w:r>
    </w:p>
    <w:p w14:paraId="021604CD" w14:textId="5A2587D2" w:rsidR="005616EC" w:rsidRDefault="006B6705" w:rsidP="0004057F">
      <w:pPr>
        <w:keepNext/>
      </w:pPr>
      <w:r>
        <w:rPr>
          <w:b/>
          <w:bCs/>
        </w:rPr>
        <w:t>Supplementary figure 1</w:t>
      </w:r>
      <w:r w:rsidRPr="00B53371">
        <w:rPr>
          <w:b/>
          <w:bCs/>
        </w:rPr>
        <w:t xml:space="preserve">: </w:t>
      </w:r>
      <w:r w:rsidR="0004057F">
        <w:t>Flow chart of sclerostin meta-analysis and instrument selection.</w:t>
      </w:r>
    </w:p>
    <w:p w14:paraId="6CD878D9" w14:textId="77777777" w:rsidR="005616EC" w:rsidRDefault="005616EC">
      <w:r>
        <w:br w:type="page"/>
      </w:r>
    </w:p>
    <w:p w14:paraId="5C12581B" w14:textId="77777777" w:rsidR="00903CF2" w:rsidRDefault="00903CF2"/>
    <w:p w14:paraId="73718F43" w14:textId="131E4E0E" w:rsidR="00903CF2" w:rsidRDefault="00584133" w:rsidP="00B34AB9">
      <w:pPr>
        <w:jc w:val="center"/>
      </w:pPr>
      <w:r w:rsidRPr="00B34AB9">
        <w:rPr>
          <w:noProof/>
          <w:color w:val="2B579A"/>
          <w:shd w:val="clear" w:color="auto" w:fill="E6E6E6"/>
        </w:rPr>
        <w:drawing>
          <wp:inline distT="0" distB="0" distL="0" distR="0" wp14:anchorId="0CA51D78" wp14:editId="7363C608">
            <wp:extent cx="4800343" cy="3600000"/>
            <wp:effectExtent l="0" t="0" r="635" b="635"/>
            <wp:docPr id="1001734311" name="Imagen 100173431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4311" name="Imagen 1" descr="Gráfico&#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0343" cy="3600000"/>
                    </a:xfrm>
                    <a:prstGeom prst="rect">
                      <a:avLst/>
                    </a:prstGeom>
                  </pic:spPr>
                </pic:pic>
              </a:graphicData>
            </a:graphic>
          </wp:inline>
        </w:drawing>
      </w:r>
    </w:p>
    <w:p w14:paraId="4AF02D68" w14:textId="54422F9C" w:rsidR="00B34AB9" w:rsidRDefault="00B34AB9" w:rsidP="00B34AB9">
      <w:pPr>
        <w:jc w:val="center"/>
      </w:pPr>
      <w:r>
        <w:rPr>
          <w:rFonts w:eastAsia="Times New Roman" w:cs="Times New Roman"/>
          <w:noProof/>
          <w:sz w:val="16"/>
          <w:szCs w:val="16"/>
        </w:rPr>
        <w:drawing>
          <wp:inline distT="0" distB="0" distL="0" distR="0" wp14:anchorId="0A2956BB" wp14:editId="3B49EB91">
            <wp:extent cx="4800343" cy="3600000"/>
            <wp:effectExtent l="0" t="0" r="635" b="635"/>
            <wp:docPr id="263563536" name="Imagen 26356353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63536" name="Imagen 2" descr="Gráfic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00343" cy="3600000"/>
                    </a:xfrm>
                    <a:prstGeom prst="rect">
                      <a:avLst/>
                    </a:prstGeom>
                  </pic:spPr>
                </pic:pic>
              </a:graphicData>
            </a:graphic>
          </wp:inline>
        </w:drawing>
      </w:r>
    </w:p>
    <w:p w14:paraId="6E426AE0" w14:textId="02CDEC2D" w:rsidR="003B714B" w:rsidRPr="002D227E" w:rsidRDefault="00AA769F" w:rsidP="00A70629">
      <w:pPr>
        <w:keepNext/>
        <w:rPr>
          <w:b/>
          <w:bCs/>
        </w:rPr>
      </w:pPr>
      <w:r>
        <w:rPr>
          <w:b/>
          <w:bCs/>
        </w:rPr>
        <w:t>Supplementary figure</w:t>
      </w:r>
      <w:r w:rsidR="003B714B" w:rsidRPr="00751108">
        <w:rPr>
          <w:b/>
          <w:bCs/>
        </w:rPr>
        <w:t xml:space="preserve"> 2: </w:t>
      </w:r>
      <w:r w:rsidR="003B714B" w:rsidRPr="00751108">
        <w:t xml:space="preserve">SNP effects on the outcomes are plotted against SNP effects on the exposure (all SNPs with negative effects on the exposure are shown to be positive, with the sign of the effect on the outcome flipped). The slope of the line represents the causal association (MR estimate) </w:t>
      </w:r>
      <w:r w:rsidR="003B714B">
        <w:t xml:space="preserve">obtained </w:t>
      </w:r>
      <w:r w:rsidR="003B714B" w:rsidRPr="00751108">
        <w:t xml:space="preserve">using a generalized IVW regression. </w:t>
      </w:r>
      <w:r w:rsidR="003B714B" w:rsidRPr="00751108">
        <w:rPr>
          <w:b/>
          <w:bCs/>
        </w:rPr>
        <w:t xml:space="preserve">(A) </w:t>
      </w:r>
      <w:r w:rsidR="003B714B" w:rsidRPr="00751108">
        <w:t xml:space="preserve">The vertical axis is the SNP effect size per 1-SD change in </w:t>
      </w:r>
      <w:proofErr w:type="spellStart"/>
      <w:r w:rsidR="003B714B" w:rsidRPr="00751108">
        <w:t>eBMD</w:t>
      </w:r>
      <w:proofErr w:type="spellEnd"/>
      <w:r w:rsidR="003B714B" w:rsidRPr="00751108">
        <w:t xml:space="preserve"> and, </w:t>
      </w:r>
      <w:r w:rsidR="003B714B" w:rsidRPr="00751108">
        <w:rPr>
          <w:b/>
          <w:bCs/>
        </w:rPr>
        <w:t xml:space="preserve">(B) </w:t>
      </w:r>
      <w:r w:rsidR="003B714B" w:rsidRPr="00751108">
        <w:t>the vertical axis is the SNP effect size for hip fracture.</w:t>
      </w:r>
    </w:p>
    <w:p w14:paraId="07E12475" w14:textId="77777777" w:rsidR="00903CF2" w:rsidRDefault="00903CF2"/>
    <w:p w14:paraId="19A5589D" w14:textId="15824976" w:rsidR="006B6705" w:rsidRDefault="000D2A9F" w:rsidP="00AA00FC">
      <w:pPr>
        <w:keepNext/>
        <w:jc w:val="center"/>
      </w:pPr>
      <w:r>
        <w:rPr>
          <w:noProof/>
        </w:rPr>
        <w:lastRenderedPageBreak/>
        <w:drawing>
          <wp:inline distT="0" distB="0" distL="0" distR="0" wp14:anchorId="4248E28C" wp14:editId="24850329">
            <wp:extent cx="5938335" cy="4348716"/>
            <wp:effectExtent l="0" t="0" r="5715" b="0"/>
            <wp:docPr id="1219157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57041" name="Imagen 1219157041"/>
                    <pic:cNvPicPr/>
                  </pic:nvPicPr>
                  <pic:blipFill rotWithShape="1">
                    <a:blip r:embed="rId7" cstate="print">
                      <a:extLst>
                        <a:ext uri="{28A0092B-C50C-407E-A947-70E740481C1C}">
                          <a14:useLocalDpi xmlns:a14="http://schemas.microsoft.com/office/drawing/2010/main" val="0"/>
                        </a:ext>
                      </a:extLst>
                    </a:blip>
                    <a:srcRect l="30387" r="14567" b="28338"/>
                    <a:stretch/>
                  </pic:blipFill>
                  <pic:spPr bwMode="auto">
                    <a:xfrm>
                      <a:off x="0" y="0"/>
                      <a:ext cx="5944167" cy="4352987"/>
                    </a:xfrm>
                    <a:prstGeom prst="rect">
                      <a:avLst/>
                    </a:prstGeom>
                    <a:ln>
                      <a:noFill/>
                    </a:ln>
                    <a:extLst>
                      <a:ext uri="{53640926-AAD7-44D8-BBD7-CCE9431645EC}">
                        <a14:shadowObscured xmlns:a14="http://schemas.microsoft.com/office/drawing/2010/main"/>
                      </a:ext>
                    </a:extLst>
                  </pic:spPr>
                </pic:pic>
              </a:graphicData>
            </a:graphic>
          </wp:inline>
        </w:drawing>
      </w:r>
    </w:p>
    <w:p w14:paraId="5EF6FBBB" w14:textId="585916A4" w:rsidR="006B6705" w:rsidRPr="00DD6F76" w:rsidRDefault="006B6705" w:rsidP="006B6705">
      <w:pPr>
        <w:pStyle w:val="Caption"/>
        <w:rPr>
          <w:i w:val="0"/>
          <w:iCs w:val="0"/>
          <w:color w:val="000000" w:themeColor="text1"/>
          <w:sz w:val="22"/>
          <w:szCs w:val="22"/>
        </w:rPr>
      </w:pPr>
      <w:r w:rsidRPr="00DD6F76">
        <w:rPr>
          <w:b/>
          <w:bCs/>
          <w:i w:val="0"/>
          <w:iCs w:val="0"/>
          <w:color w:val="000000" w:themeColor="text1"/>
          <w:sz w:val="22"/>
          <w:szCs w:val="22"/>
        </w:rPr>
        <w:t xml:space="preserve">Supplementary figure </w:t>
      </w:r>
      <w:r w:rsidR="004A437F">
        <w:rPr>
          <w:b/>
          <w:bCs/>
          <w:i w:val="0"/>
          <w:iCs w:val="0"/>
          <w:color w:val="000000" w:themeColor="text1"/>
          <w:sz w:val="22"/>
          <w:szCs w:val="22"/>
        </w:rPr>
        <w:t>3</w:t>
      </w:r>
      <w:r w:rsidRPr="00DD6F76">
        <w:rPr>
          <w:b/>
          <w:bCs/>
          <w:i w:val="0"/>
          <w:iCs w:val="0"/>
          <w:color w:val="000000" w:themeColor="text1"/>
          <w:sz w:val="22"/>
          <w:szCs w:val="22"/>
        </w:rPr>
        <w:t>:</w:t>
      </w:r>
      <w:r w:rsidR="00AA00FC">
        <w:rPr>
          <w:b/>
          <w:bCs/>
          <w:i w:val="0"/>
          <w:iCs w:val="0"/>
          <w:color w:val="000000" w:themeColor="text1"/>
          <w:sz w:val="22"/>
          <w:szCs w:val="22"/>
        </w:rPr>
        <w:t xml:space="preserve"> </w:t>
      </w:r>
      <w:r w:rsidR="00D11AE7">
        <w:rPr>
          <w:i w:val="0"/>
          <w:iCs w:val="0"/>
          <w:color w:val="000000" w:themeColor="text1"/>
          <w:sz w:val="22"/>
          <w:szCs w:val="22"/>
        </w:rPr>
        <w:t xml:space="preserve">Flow chart of the </w:t>
      </w:r>
      <w:r w:rsidR="00596C51">
        <w:rPr>
          <w:i w:val="0"/>
          <w:iCs w:val="0"/>
          <w:color w:val="000000" w:themeColor="text1"/>
          <w:sz w:val="22"/>
          <w:szCs w:val="22"/>
        </w:rPr>
        <w:t>s</w:t>
      </w:r>
      <w:r w:rsidR="00AA00FC">
        <w:rPr>
          <w:i w:val="0"/>
          <w:iCs w:val="0"/>
          <w:color w:val="000000" w:themeColor="text1"/>
          <w:sz w:val="22"/>
          <w:szCs w:val="22"/>
        </w:rPr>
        <w:t xml:space="preserve">election process of participants in UK Biobank. </w:t>
      </w:r>
      <w:r w:rsidRPr="00DD6F76">
        <w:rPr>
          <w:b/>
          <w:bCs/>
          <w:i w:val="0"/>
          <w:iCs w:val="0"/>
          <w:color w:val="000000" w:themeColor="text1"/>
          <w:sz w:val="22"/>
          <w:szCs w:val="22"/>
        </w:rPr>
        <w:t xml:space="preserve"> </w:t>
      </w:r>
    </w:p>
    <w:p w14:paraId="5FD0F755" w14:textId="77777777" w:rsidR="000C0E6F" w:rsidRDefault="000C0E6F">
      <w:pPr>
        <w:rPr>
          <w:rFonts w:eastAsia="Times New Roman" w:cs="Times New Roman"/>
          <w:i/>
          <w:iCs/>
          <w:sz w:val="18"/>
          <w:szCs w:val="18"/>
        </w:rPr>
      </w:pPr>
      <w:r>
        <w:br w:type="page"/>
      </w:r>
    </w:p>
    <w:p w14:paraId="2D4F4DF0" w14:textId="483721FF" w:rsidR="0022783B" w:rsidRPr="0022783B" w:rsidRDefault="0004351F" w:rsidP="0022783B">
      <w:pPr>
        <w:jc w:val="center"/>
      </w:pPr>
      <w:r>
        <w:rPr>
          <w:noProof/>
        </w:rPr>
        <w:lastRenderedPageBreak/>
        <w:drawing>
          <wp:inline distT="0" distB="0" distL="0" distR="0" wp14:anchorId="06200D2E" wp14:editId="1440FB54">
            <wp:extent cx="5334392" cy="8038735"/>
            <wp:effectExtent l="0" t="0" r="0" b="635"/>
            <wp:docPr id="1342689652" name="Imagen 1" descr="Gráfico, 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89652" name="Imagen 1" descr="Gráfico, Diagrama&#10;&#10;Descripción generada automáticamente con confianza me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392" cy="8038735"/>
                    </a:xfrm>
                    <a:prstGeom prst="rect">
                      <a:avLst/>
                    </a:prstGeom>
                  </pic:spPr>
                </pic:pic>
              </a:graphicData>
            </a:graphic>
          </wp:inline>
        </w:drawing>
      </w:r>
    </w:p>
    <w:p w14:paraId="32498AE7" w14:textId="4A58D7B5" w:rsidR="0022783B" w:rsidRPr="00FF4DA0" w:rsidRDefault="0022783B" w:rsidP="0022783B">
      <w:pPr>
        <w:pStyle w:val="Caption"/>
        <w:rPr>
          <w:i w:val="0"/>
          <w:iCs w:val="0"/>
          <w:color w:val="auto"/>
          <w:sz w:val="22"/>
          <w:szCs w:val="22"/>
        </w:rPr>
      </w:pPr>
      <w:r w:rsidRPr="00FF4DA0">
        <w:rPr>
          <w:b/>
          <w:bCs/>
          <w:i w:val="0"/>
          <w:iCs w:val="0"/>
          <w:color w:val="auto"/>
          <w:sz w:val="22"/>
          <w:szCs w:val="22"/>
        </w:rPr>
        <w:t xml:space="preserve">Supplementary figure </w:t>
      </w:r>
      <w:r w:rsidR="007E47D7">
        <w:rPr>
          <w:b/>
          <w:bCs/>
          <w:i w:val="0"/>
          <w:iCs w:val="0"/>
          <w:color w:val="auto"/>
          <w:sz w:val="22"/>
          <w:szCs w:val="22"/>
        </w:rPr>
        <w:t>4</w:t>
      </w:r>
      <w:r w:rsidRPr="00FF4DA0">
        <w:rPr>
          <w:b/>
          <w:bCs/>
          <w:i w:val="0"/>
          <w:iCs w:val="0"/>
          <w:color w:val="auto"/>
          <w:sz w:val="22"/>
          <w:szCs w:val="22"/>
        </w:rPr>
        <w:t>:</w:t>
      </w:r>
      <w:r w:rsidR="00402442" w:rsidRPr="00FF4DA0">
        <w:rPr>
          <w:b/>
          <w:bCs/>
          <w:i w:val="0"/>
          <w:iCs w:val="0"/>
          <w:color w:val="auto"/>
          <w:sz w:val="22"/>
          <w:szCs w:val="22"/>
        </w:rPr>
        <w:t xml:space="preserve"> </w:t>
      </w:r>
      <w:r w:rsidR="00402442" w:rsidRPr="00FF4DA0">
        <w:rPr>
          <w:i w:val="0"/>
          <w:iCs w:val="0"/>
          <w:color w:val="auto"/>
          <w:sz w:val="22"/>
          <w:szCs w:val="22"/>
        </w:rPr>
        <w:t xml:space="preserve">Forest plot of the results obtained using a cox regression to calculate the effect size from birth date (in orange) and from UK Biobank first assessment (in yellow). </w:t>
      </w:r>
      <w:r w:rsidRPr="00FF4DA0">
        <w:rPr>
          <w:b/>
          <w:bCs/>
          <w:i w:val="0"/>
          <w:iCs w:val="0"/>
          <w:color w:val="auto"/>
          <w:sz w:val="22"/>
          <w:szCs w:val="22"/>
        </w:rPr>
        <w:t>Note</w:t>
      </w:r>
      <w:r w:rsidRPr="00FF4DA0">
        <w:rPr>
          <w:i w:val="0"/>
          <w:iCs w:val="0"/>
          <w:color w:val="auto"/>
          <w:sz w:val="22"/>
          <w:szCs w:val="22"/>
        </w:rPr>
        <w:t>: SA = Survival analysis, UKB = UK Biobank.</w:t>
      </w:r>
    </w:p>
    <w:p w14:paraId="04152A98" w14:textId="0FE285E1" w:rsidR="003E5734" w:rsidRDefault="003E5734" w:rsidP="004F54E9"/>
    <w:p w14:paraId="0036AFDB" w14:textId="77777777" w:rsidR="003E5734" w:rsidRDefault="003E5734">
      <w:r>
        <w:br w:type="page"/>
      </w:r>
    </w:p>
    <w:p w14:paraId="1F99C50B" w14:textId="77777777" w:rsidR="0004351F" w:rsidRDefault="0004351F" w:rsidP="003E5734">
      <w:pPr>
        <w:sectPr w:rsidR="0004351F" w:rsidSect="0004351F">
          <w:type w:val="continuous"/>
          <w:pgSz w:w="12240" w:h="15840"/>
          <w:pgMar w:top="720" w:right="720" w:bottom="720" w:left="720" w:header="720" w:footer="720" w:gutter="0"/>
          <w:cols w:space="720"/>
          <w:docGrid w:linePitch="299"/>
        </w:sectPr>
      </w:pPr>
    </w:p>
    <w:p w14:paraId="2B6FF234" w14:textId="6B0103F7" w:rsidR="003E5734" w:rsidRDefault="003E5734" w:rsidP="0004351F">
      <w:pPr>
        <w:jc w:val="center"/>
      </w:pPr>
      <w:r>
        <w:rPr>
          <w:noProof/>
        </w:rPr>
        <w:lastRenderedPageBreak/>
        <w:drawing>
          <wp:inline distT="0" distB="0" distL="0" distR="0" wp14:anchorId="2101FCBD" wp14:editId="156DC5A8">
            <wp:extent cx="9123528" cy="5122129"/>
            <wp:effectExtent l="0" t="0" r="1905" b="2540"/>
            <wp:docPr id="2" name="Picture 2"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0893" cy="5131878"/>
                    </a:xfrm>
                    <a:prstGeom prst="rect">
                      <a:avLst/>
                    </a:prstGeom>
                  </pic:spPr>
                </pic:pic>
              </a:graphicData>
            </a:graphic>
          </wp:inline>
        </w:drawing>
      </w:r>
    </w:p>
    <w:p w14:paraId="5CB264D6" w14:textId="53DC38BC" w:rsidR="004F54E9" w:rsidRPr="003E5734" w:rsidRDefault="004F54E9" w:rsidP="003E5734">
      <w:r>
        <w:rPr>
          <w:b/>
          <w:bCs/>
        </w:rPr>
        <w:t>Supplementary figure</w:t>
      </w:r>
      <w:r w:rsidR="00652FBA">
        <w:rPr>
          <w:b/>
          <w:bCs/>
        </w:rPr>
        <w:t xml:space="preserve"> 5</w:t>
      </w:r>
      <w:r>
        <w:rPr>
          <w:b/>
          <w:bCs/>
        </w:rPr>
        <w:t xml:space="preserve">: </w:t>
      </w:r>
      <w:r>
        <w:t xml:space="preserve">Colocalization </w:t>
      </w:r>
      <w:r w:rsidRPr="00D34431">
        <w:t>analysis within</w:t>
      </w:r>
      <w:r w:rsidRPr="00D34431">
        <w:rPr>
          <w:rFonts w:ascii="Calibri" w:hAnsi="Calibri" w:cs="Calibri"/>
        </w:rPr>
        <w:t xml:space="preserve"> </w:t>
      </w:r>
      <w:r w:rsidRPr="00D34431">
        <w:rPr>
          <w:rFonts w:ascii="Calibri" w:hAnsi="Calibri" w:cs="Calibri"/>
          <w:shd w:val="clear" w:color="auto" w:fill="FFFFFF"/>
        </w:rPr>
        <w:t>±20kb</w:t>
      </w:r>
      <w:r w:rsidRPr="00D34431">
        <w:rPr>
          <w:rFonts w:ascii="Calibri" w:hAnsi="Calibri" w:cs="Calibri"/>
          <w:sz w:val="21"/>
          <w:szCs w:val="21"/>
          <w:shd w:val="clear" w:color="auto" w:fill="FFFFFF"/>
        </w:rPr>
        <w:t xml:space="preserve"> </w:t>
      </w:r>
      <w:r w:rsidRPr="00D34431">
        <w:rPr>
          <w:rFonts w:ascii="Calibri" w:hAnsi="Calibri" w:cs="Calibri"/>
          <w:shd w:val="clear" w:color="auto" w:fill="FFFFFF"/>
        </w:rPr>
        <w:t>SOST gene.</w:t>
      </w:r>
      <w:r w:rsidRPr="0087608A">
        <w:rPr>
          <w:rFonts w:ascii="Calibri" w:hAnsi="Calibri" w:cs="Calibri"/>
          <w:i/>
          <w:iCs/>
          <w:sz w:val="21"/>
          <w:szCs w:val="21"/>
          <w:shd w:val="clear" w:color="auto" w:fill="FFFFFF"/>
        </w:rPr>
        <w:t xml:space="preserve"> </w:t>
      </w:r>
      <w:r>
        <w:t xml:space="preserve">In dark yellow is the SOST gene. In light yellow is the area </w:t>
      </w:r>
      <w:r>
        <w:rPr>
          <w:rFonts w:cs="Calibri"/>
        </w:rPr>
        <w:t xml:space="preserve">±20kbp from the beginning and end of the SOST gene. </w:t>
      </w:r>
      <w:r>
        <w:rPr>
          <w:rFonts w:cs="Calibri"/>
          <w:b/>
          <w:bCs/>
        </w:rPr>
        <w:t>(A)</w:t>
      </w:r>
      <w:r>
        <w:rPr>
          <w:rFonts w:cs="Calibri"/>
        </w:rPr>
        <w:t xml:space="preserve"> Regional plot for hip fracture, </w:t>
      </w:r>
      <w:r>
        <w:rPr>
          <w:rFonts w:cs="Calibri"/>
          <w:b/>
          <w:bCs/>
        </w:rPr>
        <w:t xml:space="preserve">(B) </w:t>
      </w:r>
      <w:r>
        <w:rPr>
          <w:rFonts w:cs="Calibri"/>
        </w:rPr>
        <w:t xml:space="preserve">Regional plot for coronary artery disease. </w:t>
      </w:r>
      <w:r>
        <w:rPr>
          <w:rFonts w:cs="Calibri"/>
          <w:b/>
          <w:bCs/>
        </w:rPr>
        <w:t xml:space="preserve">(C) </w:t>
      </w:r>
      <w:r>
        <w:rPr>
          <w:rFonts w:cs="Calibri"/>
        </w:rPr>
        <w:t xml:space="preserve">Regional plot for myocardial infarction. </w:t>
      </w:r>
      <w:r>
        <w:rPr>
          <w:rFonts w:cs="Calibri"/>
          <w:b/>
          <w:bCs/>
        </w:rPr>
        <w:t>(D)</w:t>
      </w:r>
      <w:r>
        <w:rPr>
          <w:rFonts w:cs="Calibri"/>
        </w:rPr>
        <w:t xml:space="preserve"> Regional plot for ischaemic stroke. </w:t>
      </w:r>
      <w:r>
        <w:rPr>
          <w:rFonts w:cs="Calibri"/>
          <w:b/>
          <w:bCs/>
        </w:rPr>
        <w:t xml:space="preserve">(E) </w:t>
      </w:r>
      <w:r>
        <w:rPr>
          <w:rFonts w:cs="Calibri"/>
        </w:rPr>
        <w:t xml:space="preserve">Regional plot for hypertension. </w:t>
      </w:r>
      <w:r>
        <w:rPr>
          <w:rFonts w:cs="Calibri"/>
          <w:b/>
          <w:bCs/>
        </w:rPr>
        <w:t xml:space="preserve">(F) </w:t>
      </w:r>
      <w:r>
        <w:rPr>
          <w:rFonts w:cs="Calibri"/>
        </w:rPr>
        <w:t xml:space="preserve">Regional plot for type II diabetes mellitus. </w:t>
      </w:r>
      <w:r>
        <w:rPr>
          <w:rFonts w:cs="Calibri"/>
          <w:b/>
          <w:bCs/>
        </w:rPr>
        <w:t xml:space="preserve">(G) </w:t>
      </w:r>
      <w:r>
        <w:rPr>
          <w:rFonts w:cs="Calibri"/>
        </w:rPr>
        <w:t>Regional plot for estimated heel bone mineral density (</w:t>
      </w:r>
      <w:proofErr w:type="spellStart"/>
      <w:r>
        <w:rPr>
          <w:rFonts w:cs="Calibri"/>
        </w:rPr>
        <w:t>eBMD</w:t>
      </w:r>
      <w:proofErr w:type="spellEnd"/>
      <w:r>
        <w:rPr>
          <w:rFonts w:cs="Calibri"/>
        </w:rPr>
        <w:t>).</w:t>
      </w:r>
    </w:p>
    <w:p w14:paraId="6928E84C" w14:textId="77777777" w:rsidR="0004351F" w:rsidRDefault="0004351F">
      <w:pPr>
        <w:sectPr w:rsidR="0004351F" w:rsidSect="0004351F">
          <w:type w:val="continuous"/>
          <w:pgSz w:w="15840" w:h="12240" w:orient="landscape"/>
          <w:pgMar w:top="720" w:right="720" w:bottom="720" w:left="720" w:header="720" w:footer="720" w:gutter="0"/>
          <w:cols w:space="720"/>
          <w:docGrid w:linePitch="299"/>
        </w:sectPr>
      </w:pPr>
    </w:p>
    <w:p w14:paraId="522275DF" w14:textId="6A7BB6A1" w:rsidR="00892FFD" w:rsidRDefault="00CF0BB0">
      <w:r>
        <w:rPr>
          <w:noProof/>
        </w:rPr>
        <w:lastRenderedPageBreak/>
        <w:drawing>
          <wp:inline distT="0" distB="0" distL="0" distR="0" wp14:anchorId="121DB5A0" wp14:editId="6415F7C4">
            <wp:extent cx="9144000" cy="5135245"/>
            <wp:effectExtent l="0" t="0" r="0" b="8255"/>
            <wp:docPr id="328951990" name="Imagen 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51990" name="Imagen 1" descr="Calendari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0" cy="5135245"/>
                    </a:xfrm>
                    <a:prstGeom prst="rect">
                      <a:avLst/>
                    </a:prstGeom>
                    <a:noFill/>
                    <a:ln>
                      <a:noFill/>
                    </a:ln>
                  </pic:spPr>
                </pic:pic>
              </a:graphicData>
            </a:graphic>
          </wp:inline>
        </w:drawing>
      </w:r>
    </w:p>
    <w:p w14:paraId="2F4468AB" w14:textId="6F5AE2C1" w:rsidR="0018691D" w:rsidRPr="007800CD" w:rsidRDefault="0085602E" w:rsidP="00F85FC3">
      <w:pPr>
        <w:pStyle w:val="Caption"/>
        <w:keepNext/>
        <w:rPr>
          <w:i w:val="0"/>
          <w:iCs w:val="0"/>
          <w:color w:val="auto"/>
          <w:sz w:val="22"/>
          <w:szCs w:val="22"/>
        </w:rPr>
        <w:sectPr w:rsidR="0018691D" w:rsidRPr="007800CD" w:rsidSect="0018691D">
          <w:pgSz w:w="15840" w:h="12240" w:orient="landscape"/>
          <w:pgMar w:top="720" w:right="720" w:bottom="720" w:left="720" w:header="720" w:footer="720" w:gutter="0"/>
          <w:cols w:space="720"/>
          <w:docGrid w:linePitch="299"/>
        </w:sectPr>
      </w:pPr>
      <w:r w:rsidRPr="0018691D">
        <w:rPr>
          <w:b/>
          <w:bCs/>
          <w:i w:val="0"/>
          <w:iCs w:val="0"/>
          <w:color w:val="auto"/>
          <w:sz w:val="22"/>
          <w:szCs w:val="22"/>
        </w:rPr>
        <w:t xml:space="preserve">Supplementary figure </w:t>
      </w:r>
      <w:r w:rsidR="0007558C">
        <w:rPr>
          <w:b/>
          <w:bCs/>
          <w:i w:val="0"/>
          <w:iCs w:val="0"/>
          <w:color w:val="auto"/>
          <w:sz w:val="22"/>
          <w:szCs w:val="22"/>
        </w:rPr>
        <w:t>6</w:t>
      </w:r>
      <w:r w:rsidRPr="0018691D">
        <w:rPr>
          <w:b/>
          <w:bCs/>
          <w:i w:val="0"/>
          <w:iCs w:val="0"/>
          <w:color w:val="auto"/>
          <w:sz w:val="22"/>
          <w:szCs w:val="22"/>
        </w:rPr>
        <w:t xml:space="preserve">: </w:t>
      </w:r>
      <w:r w:rsidR="0018691D">
        <w:rPr>
          <w:i w:val="0"/>
          <w:iCs w:val="0"/>
          <w:color w:val="auto"/>
          <w:sz w:val="22"/>
          <w:szCs w:val="22"/>
        </w:rPr>
        <w:t>Forest plot of the sensitivity analysis “Leave one out”</w:t>
      </w:r>
      <w:r w:rsidR="00005C91">
        <w:rPr>
          <w:i w:val="0"/>
          <w:iCs w:val="0"/>
          <w:color w:val="auto"/>
          <w:sz w:val="22"/>
          <w:szCs w:val="22"/>
        </w:rPr>
        <w:t xml:space="preserve"> using GWAS summary statistics (in blue) and a linear regression to calculate the effect size of the</w:t>
      </w:r>
      <w:r w:rsidR="007800CD">
        <w:rPr>
          <w:i w:val="0"/>
          <w:iCs w:val="0"/>
          <w:color w:val="auto"/>
          <w:sz w:val="22"/>
          <w:szCs w:val="22"/>
        </w:rPr>
        <w:t xml:space="preserve"> SNPs on the outcomes (in maroon)</w:t>
      </w:r>
      <w:r w:rsidR="0018691D">
        <w:rPr>
          <w:i w:val="0"/>
          <w:iCs w:val="0"/>
          <w:color w:val="auto"/>
          <w:sz w:val="22"/>
          <w:szCs w:val="22"/>
        </w:rPr>
        <w:t xml:space="preserve">. </w:t>
      </w:r>
      <w:r w:rsidR="003202ED">
        <w:rPr>
          <w:i w:val="0"/>
          <w:iCs w:val="0"/>
          <w:color w:val="auto"/>
          <w:sz w:val="22"/>
          <w:szCs w:val="22"/>
        </w:rPr>
        <w:t xml:space="preserve">Only continuous outcomes are included. </w:t>
      </w:r>
      <w:r w:rsidR="002E262B">
        <w:rPr>
          <w:i w:val="0"/>
          <w:iCs w:val="0"/>
          <w:color w:val="auto"/>
          <w:sz w:val="22"/>
          <w:szCs w:val="22"/>
        </w:rPr>
        <w:t xml:space="preserve">Each row for each outcome </w:t>
      </w:r>
      <w:r w:rsidR="00CC2B04">
        <w:rPr>
          <w:i w:val="0"/>
          <w:iCs w:val="0"/>
          <w:color w:val="auto"/>
          <w:sz w:val="22"/>
          <w:szCs w:val="22"/>
        </w:rPr>
        <w:t>corresponds</w:t>
      </w:r>
      <w:r w:rsidR="002E262B">
        <w:rPr>
          <w:i w:val="0"/>
          <w:iCs w:val="0"/>
          <w:color w:val="auto"/>
          <w:sz w:val="22"/>
          <w:szCs w:val="22"/>
        </w:rPr>
        <w:t xml:space="preserve"> to</w:t>
      </w:r>
      <w:r w:rsidR="00F85FC3">
        <w:rPr>
          <w:i w:val="0"/>
          <w:iCs w:val="0"/>
          <w:color w:val="auto"/>
          <w:sz w:val="22"/>
          <w:szCs w:val="22"/>
        </w:rPr>
        <w:t xml:space="preserve"> conducting the MR analysis using all the instruments (All) and removing one SNP (the one appearing in the vertical axis) as an instrument. The horizontal axis is the MR effect size (beta) per 1-SD decrease in sclerostin levels. </w:t>
      </w:r>
      <w:r w:rsidR="007800CD">
        <w:rPr>
          <w:i w:val="0"/>
          <w:iCs w:val="0"/>
          <w:color w:val="auto"/>
          <w:sz w:val="22"/>
          <w:szCs w:val="22"/>
        </w:rPr>
        <w:t xml:space="preserve"> </w:t>
      </w:r>
      <w:r w:rsidR="007800CD">
        <w:rPr>
          <w:b/>
          <w:bCs/>
          <w:i w:val="0"/>
          <w:iCs w:val="0"/>
          <w:color w:val="auto"/>
          <w:sz w:val="22"/>
          <w:szCs w:val="22"/>
        </w:rPr>
        <w:t xml:space="preserve">Note: </w:t>
      </w:r>
      <w:r w:rsidR="007800CD">
        <w:rPr>
          <w:i w:val="0"/>
          <w:iCs w:val="0"/>
          <w:color w:val="auto"/>
          <w:sz w:val="22"/>
          <w:szCs w:val="22"/>
        </w:rPr>
        <w:t>UKB = UK Biobank, SD = Standard deviation, MR = Mendelian randomization, BMD = Bone mineral density, LDL = L</w:t>
      </w:r>
      <w:r w:rsidR="003202ED">
        <w:rPr>
          <w:i w:val="0"/>
          <w:iCs w:val="0"/>
          <w:color w:val="auto"/>
          <w:sz w:val="22"/>
          <w:szCs w:val="22"/>
        </w:rPr>
        <w:t>ow density lipoprotein, HDL = High density lipoprotein.</w:t>
      </w:r>
    </w:p>
    <w:p w14:paraId="2EDB1592" w14:textId="511DA1B9" w:rsidR="000E25F8" w:rsidRDefault="000E25F8" w:rsidP="004B6A71">
      <w:pPr>
        <w:pStyle w:val="Caption"/>
        <w:rPr>
          <w:b/>
          <w:bCs/>
          <w:i w:val="0"/>
          <w:iCs w:val="0"/>
          <w:color w:val="auto"/>
          <w:sz w:val="22"/>
          <w:szCs w:val="22"/>
        </w:rPr>
      </w:pPr>
      <w:r>
        <w:rPr>
          <w:b/>
          <w:bCs/>
          <w:i w:val="0"/>
          <w:iCs w:val="0"/>
          <w:noProof/>
          <w:color w:val="auto"/>
          <w:sz w:val="22"/>
          <w:szCs w:val="22"/>
        </w:rPr>
        <w:lastRenderedPageBreak/>
        <w:drawing>
          <wp:inline distT="0" distB="0" distL="0" distR="0" wp14:anchorId="78D20567" wp14:editId="44606F0B">
            <wp:extent cx="9144000" cy="5133340"/>
            <wp:effectExtent l="0" t="0" r="0" b="0"/>
            <wp:docPr id="1087661663" name="Imagen 3" descr="Imagen de la pantalla de un computador&#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61663" name="Imagen 3" descr="Imagen de la pantalla de un computador&#10;&#10;Descripción generada automáticamente con confianza baj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0" cy="5133340"/>
                    </a:xfrm>
                    <a:prstGeom prst="rect">
                      <a:avLst/>
                    </a:prstGeom>
                  </pic:spPr>
                </pic:pic>
              </a:graphicData>
            </a:graphic>
          </wp:inline>
        </w:drawing>
      </w:r>
    </w:p>
    <w:p w14:paraId="42759177" w14:textId="65CA7E05" w:rsidR="000E25F8" w:rsidRPr="00D4136A" w:rsidRDefault="004B6A71" w:rsidP="004D52B7">
      <w:pPr>
        <w:pStyle w:val="Caption"/>
        <w:rPr>
          <w:i w:val="0"/>
          <w:iCs w:val="0"/>
          <w:color w:val="auto"/>
          <w:sz w:val="22"/>
          <w:szCs w:val="22"/>
        </w:rPr>
        <w:sectPr w:rsidR="000E25F8" w:rsidRPr="00D4136A" w:rsidSect="000E25F8">
          <w:pgSz w:w="15840" w:h="12240" w:orient="landscape"/>
          <w:pgMar w:top="720" w:right="720" w:bottom="720" w:left="720" w:header="720" w:footer="720" w:gutter="0"/>
          <w:cols w:space="720"/>
          <w:docGrid w:linePitch="299"/>
        </w:sectPr>
      </w:pPr>
      <w:r w:rsidRPr="000E25F8">
        <w:rPr>
          <w:b/>
          <w:bCs/>
          <w:i w:val="0"/>
          <w:iCs w:val="0"/>
          <w:color w:val="auto"/>
          <w:sz w:val="22"/>
          <w:szCs w:val="22"/>
        </w:rPr>
        <w:t xml:space="preserve">Supplementary figure </w:t>
      </w:r>
      <w:r w:rsidR="0007558C">
        <w:rPr>
          <w:b/>
          <w:bCs/>
          <w:i w:val="0"/>
          <w:iCs w:val="0"/>
          <w:color w:val="auto"/>
          <w:sz w:val="22"/>
          <w:szCs w:val="22"/>
        </w:rPr>
        <w:t>7</w:t>
      </w:r>
      <w:r w:rsidRPr="000E25F8">
        <w:rPr>
          <w:b/>
          <w:bCs/>
          <w:i w:val="0"/>
          <w:iCs w:val="0"/>
          <w:color w:val="auto"/>
          <w:sz w:val="22"/>
          <w:szCs w:val="22"/>
        </w:rPr>
        <w:t xml:space="preserve">: </w:t>
      </w:r>
      <w:r w:rsidR="000E25F8">
        <w:rPr>
          <w:i w:val="0"/>
          <w:iCs w:val="0"/>
          <w:color w:val="auto"/>
          <w:sz w:val="22"/>
          <w:szCs w:val="22"/>
        </w:rPr>
        <w:t xml:space="preserve">Forest plot of the sensitivity analysis “Leave one out” using </w:t>
      </w:r>
      <w:r w:rsidR="0096583E">
        <w:rPr>
          <w:i w:val="0"/>
          <w:iCs w:val="0"/>
          <w:color w:val="auto"/>
          <w:sz w:val="22"/>
          <w:szCs w:val="22"/>
        </w:rPr>
        <w:t>GWAS summary statistics of the outcomes (blue</w:t>
      </w:r>
      <w:r w:rsidR="00847E5D">
        <w:rPr>
          <w:i w:val="0"/>
          <w:iCs w:val="0"/>
          <w:color w:val="auto"/>
          <w:sz w:val="22"/>
          <w:szCs w:val="22"/>
        </w:rPr>
        <w:t>) and</w:t>
      </w:r>
      <w:r w:rsidR="0096583E">
        <w:rPr>
          <w:i w:val="0"/>
          <w:iCs w:val="0"/>
          <w:color w:val="auto"/>
          <w:sz w:val="22"/>
          <w:szCs w:val="22"/>
        </w:rPr>
        <w:t xml:space="preserve"> using both</w:t>
      </w:r>
      <w:r w:rsidR="00847E5D">
        <w:rPr>
          <w:i w:val="0"/>
          <w:iCs w:val="0"/>
          <w:color w:val="auto"/>
          <w:sz w:val="22"/>
          <w:szCs w:val="22"/>
        </w:rPr>
        <w:t>,</w:t>
      </w:r>
      <w:r w:rsidR="0096583E">
        <w:rPr>
          <w:i w:val="0"/>
          <w:iCs w:val="0"/>
          <w:color w:val="auto"/>
          <w:sz w:val="22"/>
          <w:szCs w:val="22"/>
        </w:rPr>
        <w:t xml:space="preserve"> logistic regression (in maroon) and </w:t>
      </w:r>
      <w:r w:rsidR="007B11F7">
        <w:rPr>
          <w:i w:val="0"/>
          <w:iCs w:val="0"/>
          <w:color w:val="auto"/>
          <w:sz w:val="22"/>
          <w:szCs w:val="22"/>
        </w:rPr>
        <w:t>cox regression (in orange) to calculate the effect of the SNPs on the UK Biobank outcomes</w:t>
      </w:r>
      <w:r w:rsidR="00CF35E9">
        <w:rPr>
          <w:i w:val="0"/>
          <w:iCs w:val="0"/>
          <w:color w:val="auto"/>
          <w:sz w:val="22"/>
          <w:szCs w:val="22"/>
        </w:rPr>
        <w:t>.</w:t>
      </w:r>
      <w:r w:rsidR="003202ED">
        <w:rPr>
          <w:i w:val="0"/>
          <w:iCs w:val="0"/>
          <w:color w:val="auto"/>
          <w:sz w:val="22"/>
          <w:szCs w:val="22"/>
        </w:rPr>
        <w:t xml:space="preserve"> Only categorical outcomes are included. Each row for each outcome </w:t>
      </w:r>
      <w:r w:rsidR="006D1873">
        <w:rPr>
          <w:i w:val="0"/>
          <w:iCs w:val="0"/>
          <w:color w:val="auto"/>
          <w:sz w:val="22"/>
          <w:szCs w:val="22"/>
        </w:rPr>
        <w:t>corresponds</w:t>
      </w:r>
      <w:r w:rsidR="003202ED">
        <w:rPr>
          <w:i w:val="0"/>
          <w:iCs w:val="0"/>
          <w:color w:val="auto"/>
          <w:sz w:val="22"/>
          <w:szCs w:val="22"/>
        </w:rPr>
        <w:t xml:space="preserve"> to conducting the MR analysis using all the instruments (All) and removing one SNP (the one appearing in the vertical axis) as an instrument. The horizontal axis is the MR effect size (beta) per 1-SD decrease in sclerostin levels.</w:t>
      </w:r>
      <w:r w:rsidR="00CF35E9">
        <w:rPr>
          <w:i w:val="0"/>
          <w:iCs w:val="0"/>
          <w:color w:val="auto"/>
          <w:sz w:val="22"/>
          <w:szCs w:val="22"/>
        </w:rPr>
        <w:t xml:space="preserve"> </w:t>
      </w:r>
      <w:r w:rsidRPr="000E25F8">
        <w:rPr>
          <w:i w:val="0"/>
          <w:iCs w:val="0"/>
          <w:color w:val="auto"/>
          <w:sz w:val="22"/>
          <w:szCs w:val="22"/>
        </w:rPr>
        <w:t xml:space="preserve">*: GWAS of fracture only includes hip fracture, whereas fracture phenotype in UK Biobank is fracture risk. </w:t>
      </w:r>
      <w:r w:rsidRPr="000E25F8">
        <w:rPr>
          <w:b/>
          <w:bCs/>
          <w:i w:val="0"/>
          <w:iCs w:val="0"/>
          <w:color w:val="auto"/>
          <w:sz w:val="22"/>
          <w:szCs w:val="22"/>
        </w:rPr>
        <w:t>N</w:t>
      </w:r>
      <w:r w:rsidR="00D31B7E">
        <w:rPr>
          <w:b/>
          <w:bCs/>
          <w:i w:val="0"/>
          <w:iCs w:val="0"/>
          <w:color w:val="auto"/>
          <w:sz w:val="22"/>
          <w:szCs w:val="22"/>
        </w:rPr>
        <w:t>ote</w:t>
      </w:r>
      <w:r w:rsidRPr="000E25F8">
        <w:rPr>
          <w:b/>
          <w:bCs/>
          <w:i w:val="0"/>
          <w:iCs w:val="0"/>
          <w:color w:val="auto"/>
          <w:sz w:val="22"/>
          <w:szCs w:val="22"/>
        </w:rPr>
        <w:t xml:space="preserve">: </w:t>
      </w:r>
      <w:r w:rsidRPr="000E25F8">
        <w:rPr>
          <w:i w:val="0"/>
          <w:iCs w:val="0"/>
          <w:color w:val="auto"/>
          <w:sz w:val="22"/>
          <w:szCs w:val="22"/>
        </w:rPr>
        <w:t>UKB-LR = UK Biobank logistic regression adjustment, UKB-SA = UK Biobank survival analysis</w:t>
      </w:r>
      <w:r w:rsidR="00D4136A">
        <w:rPr>
          <w:i w:val="0"/>
          <w:iCs w:val="0"/>
          <w:color w:val="auto"/>
          <w:sz w:val="22"/>
          <w:szCs w:val="22"/>
        </w:rPr>
        <w:t xml:space="preserve"> SD = Standard deviation</w:t>
      </w:r>
      <w:r w:rsidR="00157561">
        <w:rPr>
          <w:i w:val="0"/>
          <w:iCs w:val="0"/>
          <w:color w:val="auto"/>
          <w:sz w:val="22"/>
          <w:szCs w:val="22"/>
        </w:rPr>
        <w:t>.</w:t>
      </w:r>
    </w:p>
    <w:p w14:paraId="0D5DA898" w14:textId="77777777" w:rsidR="00E14C6F" w:rsidRPr="00E14C6F" w:rsidRDefault="00E14C6F" w:rsidP="004D52B7">
      <w:pPr>
        <w:pStyle w:val="Caption"/>
        <w:rPr>
          <w:b/>
          <w:bCs/>
          <w:i w:val="0"/>
          <w:iCs w:val="0"/>
          <w:color w:val="auto"/>
          <w:sz w:val="22"/>
          <w:szCs w:val="22"/>
        </w:rPr>
      </w:pPr>
    </w:p>
    <w:p w14:paraId="759B4F8F" w14:textId="5DB04713" w:rsidR="00E14C6F" w:rsidRDefault="00E14C6F" w:rsidP="00E14C6F">
      <w:pPr>
        <w:pStyle w:val="Caption"/>
        <w:jc w:val="center"/>
        <w:rPr>
          <w:b/>
          <w:bCs/>
          <w:i w:val="0"/>
          <w:iCs w:val="0"/>
          <w:color w:val="auto"/>
          <w:sz w:val="22"/>
          <w:szCs w:val="22"/>
        </w:rPr>
      </w:pPr>
      <w:r>
        <w:rPr>
          <w:b/>
          <w:bCs/>
          <w:i w:val="0"/>
          <w:iCs w:val="0"/>
          <w:noProof/>
          <w:color w:val="auto"/>
          <w:sz w:val="22"/>
          <w:szCs w:val="22"/>
        </w:rPr>
        <w:drawing>
          <wp:inline distT="0" distB="0" distL="0" distR="0" wp14:anchorId="2FD28C1A" wp14:editId="51DFE853">
            <wp:extent cx="3105267" cy="4680000"/>
            <wp:effectExtent l="0" t="0" r="0" b="6350"/>
            <wp:docPr id="494127136" name="Imagen 4" descr="Gráfico, Diagrama,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27136" name="Imagen 4" descr="Gráfico, Diagrama, Gráfico de cajas y bigotes&#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5267" cy="4680000"/>
                    </a:xfrm>
                    <a:prstGeom prst="rect">
                      <a:avLst/>
                    </a:prstGeom>
                  </pic:spPr>
                </pic:pic>
              </a:graphicData>
            </a:graphic>
          </wp:inline>
        </w:drawing>
      </w:r>
      <w:r>
        <w:rPr>
          <w:b/>
          <w:bCs/>
          <w:i w:val="0"/>
          <w:iCs w:val="0"/>
          <w:noProof/>
          <w:color w:val="auto"/>
          <w:sz w:val="22"/>
          <w:szCs w:val="22"/>
        </w:rPr>
        <w:drawing>
          <wp:inline distT="0" distB="0" distL="0" distR="0" wp14:anchorId="4EA38C34" wp14:editId="2D0859A5">
            <wp:extent cx="3105267" cy="4680000"/>
            <wp:effectExtent l="0" t="0" r="0" b="6350"/>
            <wp:docPr id="1030072198" name="Imagen 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72198" name="Imagen 5" descr="Gráfico&#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5267" cy="4680000"/>
                    </a:xfrm>
                    <a:prstGeom prst="rect">
                      <a:avLst/>
                    </a:prstGeom>
                  </pic:spPr>
                </pic:pic>
              </a:graphicData>
            </a:graphic>
          </wp:inline>
        </w:drawing>
      </w:r>
    </w:p>
    <w:p w14:paraId="562748C1" w14:textId="1BE3C11F" w:rsidR="00347F34" w:rsidRPr="00D27D75" w:rsidRDefault="004D52B7" w:rsidP="00347F34">
      <w:pPr>
        <w:pStyle w:val="Caption"/>
        <w:jc w:val="center"/>
        <w:rPr>
          <w:i w:val="0"/>
          <w:color w:val="auto"/>
          <w:sz w:val="22"/>
          <w:szCs w:val="22"/>
          <w:shd w:val="clear" w:color="auto" w:fill="E6E6E6"/>
        </w:rPr>
      </w:pPr>
      <w:r w:rsidRPr="00E14C6F">
        <w:rPr>
          <w:b/>
          <w:bCs/>
          <w:i w:val="0"/>
          <w:iCs w:val="0"/>
          <w:color w:val="auto"/>
          <w:sz w:val="22"/>
          <w:szCs w:val="22"/>
        </w:rPr>
        <w:t xml:space="preserve">Supplementary figure </w:t>
      </w:r>
      <w:r w:rsidR="00CC24F7">
        <w:rPr>
          <w:b/>
          <w:bCs/>
          <w:i w:val="0"/>
          <w:iCs w:val="0"/>
          <w:color w:val="auto"/>
          <w:sz w:val="22"/>
          <w:szCs w:val="22"/>
        </w:rPr>
        <w:t>8</w:t>
      </w:r>
      <w:r w:rsidRPr="00E14C6F">
        <w:rPr>
          <w:b/>
          <w:bCs/>
          <w:i w:val="0"/>
          <w:iCs w:val="0"/>
          <w:color w:val="auto"/>
          <w:sz w:val="22"/>
          <w:szCs w:val="22"/>
        </w:rPr>
        <w:t xml:space="preserve">: </w:t>
      </w:r>
      <w:r w:rsidR="006852BC">
        <w:rPr>
          <w:i w:val="0"/>
          <w:iCs w:val="0"/>
          <w:color w:val="auto"/>
          <w:sz w:val="22"/>
          <w:szCs w:val="22"/>
        </w:rPr>
        <w:t xml:space="preserve">Forest plot of the results from the sensitivity analysis using one SNP as an instrument: </w:t>
      </w:r>
      <w:r w:rsidR="006852BC" w:rsidRPr="00E14C6F">
        <w:rPr>
          <w:i w:val="0"/>
          <w:iCs w:val="0"/>
          <w:color w:val="auto"/>
          <w:sz w:val="22"/>
          <w:szCs w:val="22"/>
        </w:rPr>
        <w:t>rs7220711</w:t>
      </w:r>
      <w:r w:rsidR="006852BC">
        <w:rPr>
          <w:i w:val="0"/>
          <w:iCs w:val="0"/>
          <w:color w:val="auto"/>
          <w:sz w:val="22"/>
          <w:szCs w:val="22"/>
        </w:rPr>
        <w:t>.</w:t>
      </w:r>
      <w:r w:rsidR="00347F34">
        <w:rPr>
          <w:i w:val="0"/>
          <w:iCs w:val="0"/>
          <w:color w:val="auto"/>
          <w:sz w:val="22"/>
          <w:szCs w:val="22"/>
        </w:rPr>
        <w:t xml:space="preserve"> In blue there are the results using GWAS summary statistics to compute the effect between SNPs and the outcome, in maroon the results obtained using a linear regression (for continuous outcomes) and logistic regression (for categorical outcomes) to calculate the effect of the SNP on the UK Biobank outcomes, and in yellow the results using cox regression (for UK Biobank categorical outcomes). </w:t>
      </w:r>
      <w:r w:rsidR="00347F34">
        <w:rPr>
          <w:b/>
          <w:bCs/>
          <w:i w:val="0"/>
          <w:iCs w:val="0"/>
          <w:color w:val="auto"/>
          <w:sz w:val="22"/>
          <w:szCs w:val="22"/>
        </w:rPr>
        <w:t xml:space="preserve">(A) </w:t>
      </w:r>
      <w:r w:rsidR="00347F34">
        <w:rPr>
          <w:i w:val="0"/>
          <w:iCs w:val="0"/>
          <w:color w:val="auto"/>
          <w:sz w:val="22"/>
          <w:szCs w:val="22"/>
        </w:rPr>
        <w:t xml:space="preserve">The horizontal axis is the 1-SD increase (95% CI) per 1SD decrease in sclerostin levels. </w:t>
      </w:r>
      <w:r w:rsidR="00347F34">
        <w:rPr>
          <w:b/>
          <w:bCs/>
          <w:i w:val="0"/>
          <w:iCs w:val="0"/>
          <w:color w:val="auto"/>
          <w:sz w:val="22"/>
          <w:szCs w:val="22"/>
        </w:rPr>
        <w:t xml:space="preserve">(B) </w:t>
      </w:r>
      <w:r w:rsidR="00347F34">
        <w:rPr>
          <w:i w:val="0"/>
          <w:iCs w:val="0"/>
          <w:color w:val="auto"/>
          <w:sz w:val="22"/>
          <w:szCs w:val="22"/>
        </w:rPr>
        <w:t xml:space="preserve">The horizontal axis is the odds ratio (95% CI) per 1SD decrease in sclerostin levels. *: GWAS of fracture only includes hip fracture, whereas fracture phenotype in UK Biobank is fracture risk. </w:t>
      </w:r>
      <w:r w:rsidR="00347F34">
        <w:rPr>
          <w:b/>
          <w:bCs/>
          <w:i w:val="0"/>
          <w:iCs w:val="0"/>
          <w:color w:val="auto"/>
          <w:sz w:val="22"/>
          <w:szCs w:val="22"/>
        </w:rPr>
        <w:t xml:space="preserve">Note: </w:t>
      </w:r>
      <w:r w:rsidR="00347F34">
        <w:rPr>
          <w:i w:val="0"/>
          <w:iCs w:val="0"/>
          <w:color w:val="auto"/>
          <w:sz w:val="22"/>
          <w:szCs w:val="22"/>
        </w:rPr>
        <w:t xml:space="preserve">UKB-LR = UK Biobank linear regression, UKB-SA = UK Biobank survival analysis, </w:t>
      </w:r>
      <w:proofErr w:type="spellStart"/>
      <w:r w:rsidR="00347F34">
        <w:rPr>
          <w:i w:val="0"/>
          <w:iCs w:val="0"/>
          <w:color w:val="auto"/>
          <w:sz w:val="22"/>
          <w:szCs w:val="22"/>
        </w:rPr>
        <w:t>eBMD</w:t>
      </w:r>
      <w:proofErr w:type="spellEnd"/>
      <w:r w:rsidR="00347F34">
        <w:rPr>
          <w:i w:val="0"/>
          <w:iCs w:val="0"/>
          <w:color w:val="auto"/>
          <w:sz w:val="22"/>
          <w:szCs w:val="22"/>
        </w:rPr>
        <w:t xml:space="preserve"> = heel estimated bone mineral density, LDL = low density lipoprotein, HDL = high density lipoprotein, </w:t>
      </w:r>
      <w:r w:rsidR="00235BDE">
        <w:rPr>
          <w:i w:val="0"/>
          <w:iCs w:val="0"/>
          <w:color w:val="auto"/>
          <w:sz w:val="22"/>
          <w:szCs w:val="22"/>
        </w:rPr>
        <w:t>CAD = coronary artery disease, MI = Myocardial infarction, IS = ischaemic stroke, T2DM = type II diabetes mellitus.</w:t>
      </w:r>
    </w:p>
    <w:p w14:paraId="4BA5633A" w14:textId="3C1F0794" w:rsidR="00082DD7" w:rsidRDefault="00082DD7" w:rsidP="004D52B7">
      <w:pPr>
        <w:pStyle w:val="Caption"/>
        <w:rPr>
          <w:i w:val="0"/>
          <w:iCs w:val="0"/>
          <w:color w:val="auto"/>
          <w:sz w:val="22"/>
          <w:szCs w:val="22"/>
        </w:rPr>
      </w:pPr>
    </w:p>
    <w:p w14:paraId="5D199593" w14:textId="77777777" w:rsidR="00E14C6F" w:rsidRDefault="00E14C6F">
      <w:pPr>
        <w:sectPr w:rsidR="00E14C6F" w:rsidSect="00E14C6F">
          <w:pgSz w:w="15840" w:h="12240" w:orient="landscape"/>
          <w:pgMar w:top="720" w:right="720" w:bottom="720" w:left="720" w:header="720" w:footer="720" w:gutter="0"/>
          <w:cols w:space="720"/>
          <w:docGrid w:linePitch="299"/>
        </w:sectPr>
      </w:pPr>
    </w:p>
    <w:p w14:paraId="2773A4EE" w14:textId="77777777" w:rsidR="0085602E" w:rsidRDefault="0085602E"/>
    <w:sectPr w:rsidR="0085602E" w:rsidSect="0004351F">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46"/>
    <w:rsid w:val="00005C91"/>
    <w:rsid w:val="0004057F"/>
    <w:rsid w:val="0004351F"/>
    <w:rsid w:val="000570CF"/>
    <w:rsid w:val="0007558C"/>
    <w:rsid w:val="00082DD7"/>
    <w:rsid w:val="000C0E6F"/>
    <w:rsid w:val="000D2A9F"/>
    <w:rsid w:val="000E25F8"/>
    <w:rsid w:val="000E4CBE"/>
    <w:rsid w:val="00101246"/>
    <w:rsid w:val="00157561"/>
    <w:rsid w:val="00166045"/>
    <w:rsid w:val="0018691D"/>
    <w:rsid w:val="00215A06"/>
    <w:rsid w:val="0022783B"/>
    <w:rsid w:val="00235BDE"/>
    <w:rsid w:val="0029270E"/>
    <w:rsid w:val="002C5BC0"/>
    <w:rsid w:val="002E262B"/>
    <w:rsid w:val="003202ED"/>
    <w:rsid w:val="00347F34"/>
    <w:rsid w:val="003B714B"/>
    <w:rsid w:val="003E0D44"/>
    <w:rsid w:val="003E14B5"/>
    <w:rsid w:val="003E5734"/>
    <w:rsid w:val="00402442"/>
    <w:rsid w:val="004A437F"/>
    <w:rsid w:val="004B6A71"/>
    <w:rsid w:val="004D52B7"/>
    <w:rsid w:val="004F54E9"/>
    <w:rsid w:val="005616EC"/>
    <w:rsid w:val="00584133"/>
    <w:rsid w:val="00596C51"/>
    <w:rsid w:val="00652FBA"/>
    <w:rsid w:val="006852BC"/>
    <w:rsid w:val="006B6705"/>
    <w:rsid w:val="006D1873"/>
    <w:rsid w:val="007800CD"/>
    <w:rsid w:val="007B11F7"/>
    <w:rsid w:val="007B4629"/>
    <w:rsid w:val="007E47D7"/>
    <w:rsid w:val="00847E5D"/>
    <w:rsid w:val="0085602E"/>
    <w:rsid w:val="00892FFD"/>
    <w:rsid w:val="008F3ACA"/>
    <w:rsid w:val="00903744"/>
    <w:rsid w:val="00903CF2"/>
    <w:rsid w:val="0096583E"/>
    <w:rsid w:val="009E10BE"/>
    <w:rsid w:val="00A70629"/>
    <w:rsid w:val="00AA00FC"/>
    <w:rsid w:val="00AA769F"/>
    <w:rsid w:val="00B34AB9"/>
    <w:rsid w:val="00B42DA4"/>
    <w:rsid w:val="00CC24F7"/>
    <w:rsid w:val="00CC2B04"/>
    <w:rsid w:val="00CF0BB0"/>
    <w:rsid w:val="00CF35E9"/>
    <w:rsid w:val="00D10577"/>
    <w:rsid w:val="00D11AE7"/>
    <w:rsid w:val="00D31B7E"/>
    <w:rsid w:val="00D4136A"/>
    <w:rsid w:val="00DC1921"/>
    <w:rsid w:val="00DD6F76"/>
    <w:rsid w:val="00E14C6F"/>
    <w:rsid w:val="00E57139"/>
    <w:rsid w:val="00EB35B2"/>
    <w:rsid w:val="00F85FC3"/>
    <w:rsid w:val="00FF4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9C0C5"/>
  <w15:chartTrackingRefBased/>
  <w15:docId w15:val="{0F2693AB-8857-4702-8066-B1986DE8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B6705"/>
    <w:pPr>
      <w:spacing w:after="200" w:line="240" w:lineRule="auto"/>
    </w:pPr>
    <w:rPr>
      <w:rFonts w:eastAsia="Times New Roman" w:cs="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Alcalde Herraiz</dc:creator>
  <cp:keywords/>
  <dc:description/>
  <cp:lastModifiedBy>Francesca Walker</cp:lastModifiedBy>
  <cp:revision>2</cp:revision>
  <dcterms:created xsi:type="dcterms:W3CDTF">2023-07-27T08:35:00Z</dcterms:created>
  <dcterms:modified xsi:type="dcterms:W3CDTF">2023-07-27T08:35:00Z</dcterms:modified>
</cp:coreProperties>
</file>