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2C8F7" w14:textId="77777777" w:rsidR="00624DAC" w:rsidRPr="002B2C99" w:rsidRDefault="00624DAC" w:rsidP="00A731D9">
      <w:pPr>
        <w:spacing w:after="0" w:line="240" w:lineRule="auto"/>
        <w:jc w:val="both"/>
        <w:rPr>
          <w:rFonts w:ascii="Arial" w:eastAsia="Times New Roman" w:hAnsi="Arial" w:cs="Arial"/>
          <w:sz w:val="20"/>
          <w:szCs w:val="20"/>
        </w:rPr>
      </w:pPr>
      <w:r w:rsidRPr="002B2C99">
        <w:rPr>
          <w:rFonts w:ascii="Arial" w:eastAsia="Times New Roman" w:hAnsi="Arial" w:cs="Arial"/>
          <w:sz w:val="20"/>
          <w:szCs w:val="20"/>
        </w:rPr>
        <w:t>Supplementary Table 1: Definitions of each dimension of Levesque‘s framework as per their original definitions and application to abortion access</w:t>
      </w:r>
    </w:p>
    <w:tbl>
      <w:tblPr>
        <w:tblW w:w="0" w:type="auto"/>
        <w:tblLook w:val="04A0" w:firstRow="1" w:lastRow="0" w:firstColumn="1" w:lastColumn="0" w:noHBand="0" w:noVBand="1"/>
      </w:tblPr>
      <w:tblGrid>
        <w:gridCol w:w="1265"/>
        <w:gridCol w:w="2269"/>
        <w:gridCol w:w="1985"/>
        <w:gridCol w:w="3260"/>
        <w:gridCol w:w="2693"/>
        <w:gridCol w:w="2466"/>
      </w:tblGrid>
      <w:tr w:rsidR="00624DAC" w:rsidRPr="002B2C99" w14:paraId="68A0EBB3" w14:textId="77777777" w:rsidTr="00A731D9">
        <w:trPr>
          <w:trHeight w:val="20"/>
          <w:tblHeader/>
        </w:trPr>
        <w:tc>
          <w:tcPr>
            <w:tcW w:w="1265" w:type="dxa"/>
            <w:vMerge w:val="restar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7484A988"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Dimension</w:t>
            </w:r>
          </w:p>
        </w:tc>
        <w:tc>
          <w:tcPr>
            <w:tcW w:w="22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068C5B6"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1</w:t>
            </w:r>
          </w:p>
        </w:tc>
        <w:tc>
          <w:tcPr>
            <w:tcW w:w="19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6E75A1F8"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2</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31D3928B"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3</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1CA9A442"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4</w:t>
            </w:r>
          </w:p>
        </w:tc>
        <w:tc>
          <w:tcPr>
            <w:tcW w:w="24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330F2F93"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5</w:t>
            </w:r>
          </w:p>
        </w:tc>
      </w:tr>
      <w:tr w:rsidR="00624DAC" w:rsidRPr="002B2C99" w14:paraId="2BEDA368" w14:textId="77777777" w:rsidTr="00A731D9">
        <w:trPr>
          <w:trHeight w:val="227"/>
          <w:tblHeader/>
        </w:trPr>
        <w:tc>
          <w:tcPr>
            <w:tcW w:w="1265" w:type="dxa"/>
            <w:vMerge/>
            <w:tcBorders>
              <w:top w:val="single" w:sz="8" w:space="0" w:color="A3A3A3"/>
              <w:left w:val="single" w:sz="8" w:space="0" w:color="A3A3A3"/>
              <w:bottom w:val="single" w:sz="8" w:space="0" w:color="A3A3A3"/>
              <w:right w:val="single" w:sz="8" w:space="0" w:color="A3A3A3"/>
            </w:tcBorders>
            <w:vAlign w:val="center"/>
            <w:hideMark/>
          </w:tcPr>
          <w:p w14:paraId="007F0EF1" w14:textId="77777777" w:rsidR="00624DAC" w:rsidRPr="002B2C99" w:rsidRDefault="00624DAC" w:rsidP="00A731D9">
            <w:pPr>
              <w:spacing w:after="0" w:line="240" w:lineRule="auto"/>
              <w:jc w:val="center"/>
              <w:rPr>
                <w:rFonts w:ascii="Arial" w:eastAsia="Times New Roman" w:hAnsi="Arial" w:cs="Arial"/>
                <w:sz w:val="20"/>
                <w:szCs w:val="20"/>
                <w:lang w:eastAsia="en-AU"/>
              </w:rPr>
            </w:pPr>
          </w:p>
        </w:tc>
        <w:tc>
          <w:tcPr>
            <w:tcW w:w="22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256CF005"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Approachability</w:t>
            </w:r>
          </w:p>
        </w:tc>
        <w:tc>
          <w:tcPr>
            <w:tcW w:w="19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5F40B9B2"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Acceptability</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5120CAC0"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Availability and Accommodation</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720F0B41"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Affordability</w:t>
            </w:r>
          </w:p>
        </w:tc>
        <w:tc>
          <w:tcPr>
            <w:tcW w:w="24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462F9ED8" w14:textId="77777777"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Appropriateness</w:t>
            </w:r>
          </w:p>
        </w:tc>
      </w:tr>
      <w:tr w:rsidR="00624DAC" w:rsidRPr="002B2C99" w14:paraId="06F279BC" w14:textId="77777777" w:rsidTr="00A731D9">
        <w:tc>
          <w:tcPr>
            <w:tcW w:w="12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hideMark/>
          </w:tcPr>
          <w:p w14:paraId="56A28593" w14:textId="0B57B34E" w:rsidR="00624DAC" w:rsidRPr="002B2C99" w:rsidRDefault="00624DAC" w:rsidP="00A731D9">
            <w:pPr>
              <w:spacing w:after="0" w:line="240" w:lineRule="auto"/>
              <w:jc w:val="center"/>
              <w:rPr>
                <w:rFonts w:ascii="Arial" w:eastAsia="Times New Roman" w:hAnsi="Arial" w:cs="Arial"/>
                <w:sz w:val="20"/>
                <w:szCs w:val="20"/>
                <w:lang w:eastAsia="en-AU"/>
              </w:rPr>
            </w:pPr>
            <w:r w:rsidRPr="002B2C99">
              <w:rPr>
                <w:rFonts w:ascii="Arial" w:eastAsia="Times New Roman" w:hAnsi="Arial" w:cs="Arial"/>
                <w:b/>
                <w:bCs/>
                <w:sz w:val="20"/>
                <w:szCs w:val="20"/>
                <w:lang w:eastAsia="en-AU"/>
              </w:rPr>
              <w:t xml:space="preserve">Definition for any healthcare service (per Levesque et al.) </w:t>
            </w:r>
            <w:r w:rsidRPr="002B2C99">
              <w:rPr>
                <w:rFonts w:ascii="Arial" w:eastAsia="Times New Roman" w:hAnsi="Arial" w:cs="Arial"/>
                <w:b/>
                <w:bCs/>
                <w:sz w:val="20"/>
                <w:szCs w:val="20"/>
                <w:lang w:eastAsia="en-AU"/>
              </w:rPr>
              <w:fldChar w:fldCharType="begin"/>
            </w:r>
            <w:r w:rsidR="00BD23D5">
              <w:rPr>
                <w:rFonts w:ascii="Arial" w:eastAsia="Times New Roman" w:hAnsi="Arial" w:cs="Arial"/>
                <w:b/>
                <w:bCs/>
                <w:sz w:val="20"/>
                <w:szCs w:val="20"/>
                <w:lang w:eastAsia="en-AU"/>
              </w:rPr>
              <w:instrText xml:space="preserve"> ADDIN EN.CITE &lt;EndNote&gt;&lt;Cite ExcludeAuth="1" ExcludeYear="1"&gt;&lt;RecNum&gt;313&lt;/RecNum&gt;&lt;DisplayText&gt;(1)&lt;/DisplayText&gt;&lt;record&gt;&lt;rec-number&gt;313&lt;/rec-number&gt;&lt;foreign-keys&gt;&lt;key app="EN" db-id="0ser5a02xfsve3eft9355vwhw2x0f9x50stt" timestamp="1649138609" guid="d040e2e6-75e3-4f5f-a1d7-2a077c4d54cd"&gt;313&lt;/key&gt;&lt;/foreign-keys&gt;&lt;ref-type name="Journal Article"&gt;17&lt;/ref-type&gt;&lt;contributors&gt;&lt;/contributors&gt;&lt;titles&gt;&lt;title&gt;Levesque J-F, Harris MF, Russell G. Patient-centred access to health care: conceptualising access at the interface of health systems and populations. Int J Equity Health. 2013;12(1):1-9&lt;/title&gt;&lt;/titles&gt;&lt;dates&gt;&lt;/dates&gt;&lt;urls&gt;&lt;/urls&gt;&lt;/record&gt;&lt;/Cite&gt;&lt;/EndNote&gt;</w:instrText>
            </w:r>
            <w:r w:rsidRPr="002B2C99">
              <w:rPr>
                <w:rFonts w:ascii="Arial" w:eastAsia="Times New Roman" w:hAnsi="Arial" w:cs="Arial"/>
                <w:b/>
                <w:bCs/>
                <w:sz w:val="20"/>
                <w:szCs w:val="20"/>
                <w:lang w:eastAsia="en-AU"/>
              </w:rPr>
              <w:fldChar w:fldCharType="separate"/>
            </w:r>
            <w:r w:rsidR="00BD23D5">
              <w:rPr>
                <w:rFonts w:ascii="Arial" w:eastAsia="Times New Roman" w:hAnsi="Arial" w:cs="Arial"/>
                <w:b/>
                <w:bCs/>
                <w:noProof/>
                <w:sz w:val="20"/>
                <w:szCs w:val="20"/>
                <w:lang w:eastAsia="en-AU"/>
              </w:rPr>
              <w:t>(1)</w:t>
            </w:r>
            <w:r w:rsidRPr="002B2C99">
              <w:rPr>
                <w:rFonts w:ascii="Arial" w:eastAsia="Times New Roman" w:hAnsi="Arial" w:cs="Arial"/>
                <w:b/>
                <w:bCs/>
                <w:sz w:val="20"/>
                <w:szCs w:val="20"/>
                <w:lang w:eastAsia="en-AU"/>
              </w:rPr>
              <w:fldChar w:fldCharType="end"/>
            </w:r>
            <w:r w:rsidRPr="002B2C99">
              <w:rPr>
                <w:rFonts w:ascii="Arial" w:eastAsia="Times New Roman" w:hAnsi="Arial" w:cs="Arial"/>
                <w:sz w:val="20"/>
                <w:szCs w:val="20"/>
                <w:lang w:eastAsia="en-AU"/>
              </w:rPr>
              <w:t xml:space="preserve"> </w:t>
            </w:r>
          </w:p>
        </w:tc>
        <w:tc>
          <w:tcPr>
            <w:tcW w:w="22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EB4C78" w14:textId="77777777" w:rsidR="00624DAC" w:rsidRPr="002B2C99" w:rsidRDefault="00624DAC" w:rsidP="00A731D9">
            <w:pPr>
              <w:spacing w:after="0" w:line="240" w:lineRule="auto"/>
              <w:rPr>
                <w:rFonts w:ascii="Arial" w:eastAsia="Times New Roman" w:hAnsi="Arial" w:cs="Arial"/>
                <w:sz w:val="20"/>
                <w:szCs w:val="20"/>
                <w:lang w:eastAsia="en-AU"/>
              </w:rPr>
            </w:pPr>
            <w:r w:rsidRPr="002B2C99">
              <w:rPr>
                <w:rFonts w:ascii="Arial" w:eastAsia="Times New Roman" w:hAnsi="Arial" w:cs="Arial"/>
                <w:sz w:val="20"/>
                <w:szCs w:val="20"/>
                <w:lang w:eastAsia="en-AU"/>
              </w:rPr>
              <w:t xml:space="preserve">The </w:t>
            </w:r>
            <w:r w:rsidRPr="002B2C99">
              <w:rPr>
                <w:rFonts w:ascii="Arial" w:eastAsia="Times New Roman" w:hAnsi="Arial" w:cs="Arial"/>
                <w:b/>
                <w:bCs/>
                <w:sz w:val="20"/>
                <w:szCs w:val="20"/>
                <w:lang w:eastAsia="en-AU"/>
              </w:rPr>
              <w:t>identification of available services</w:t>
            </w:r>
            <w:r w:rsidRPr="002B2C99">
              <w:rPr>
                <w:rFonts w:ascii="Arial" w:eastAsia="Times New Roman" w:hAnsi="Arial" w:cs="Arial"/>
                <w:sz w:val="20"/>
                <w:szCs w:val="20"/>
                <w:lang w:eastAsia="en-AU"/>
              </w:rPr>
              <w:t xml:space="preserve"> and their ability to be reached by the target demographic. Addresses the availability of </w:t>
            </w:r>
            <w:r w:rsidRPr="002B2C99">
              <w:rPr>
                <w:rFonts w:ascii="Arial" w:eastAsia="Times New Roman" w:hAnsi="Arial" w:cs="Arial"/>
                <w:b/>
                <w:bCs/>
                <w:sz w:val="20"/>
                <w:szCs w:val="20"/>
                <w:lang w:eastAsia="en-AU"/>
              </w:rPr>
              <w:t>accurate and transparent information</w:t>
            </w:r>
            <w:r w:rsidRPr="002B2C99">
              <w:rPr>
                <w:rFonts w:ascii="Arial" w:eastAsia="Times New Roman" w:hAnsi="Arial" w:cs="Arial"/>
                <w:sz w:val="20"/>
                <w:szCs w:val="20"/>
                <w:lang w:eastAsia="en-AU"/>
              </w:rPr>
              <w:t xml:space="preserve"> tailored to different demographics of users.</w:t>
            </w:r>
          </w:p>
        </w:tc>
        <w:tc>
          <w:tcPr>
            <w:tcW w:w="19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E158EE" w14:textId="0F627300" w:rsidR="00624DAC" w:rsidRPr="002B2C99" w:rsidRDefault="00964C60" w:rsidP="00A731D9">
            <w:pPr>
              <w:spacing w:after="0" w:line="240" w:lineRule="auto"/>
              <w:rPr>
                <w:rFonts w:ascii="Arial" w:eastAsia="Times New Roman" w:hAnsi="Arial" w:cs="Arial"/>
                <w:sz w:val="20"/>
                <w:szCs w:val="20"/>
                <w:lang w:eastAsia="en-AU"/>
              </w:rPr>
            </w:pPr>
            <w:r w:rsidRPr="002B2C99">
              <w:rPr>
                <w:rFonts w:ascii="Arial" w:eastAsia="Times New Roman" w:hAnsi="Arial" w:cs="Arial"/>
                <w:sz w:val="20"/>
                <w:szCs w:val="20"/>
                <w:lang w:eastAsia="en-AU"/>
              </w:rPr>
              <w:t>Accounting for th</w:t>
            </w:r>
            <w:r w:rsidR="00624DAC" w:rsidRPr="002B2C99">
              <w:rPr>
                <w:rFonts w:ascii="Arial" w:eastAsia="Times New Roman" w:hAnsi="Arial" w:cs="Arial"/>
                <w:sz w:val="20"/>
                <w:szCs w:val="20"/>
                <w:lang w:eastAsia="en-AU"/>
              </w:rPr>
              <w:t xml:space="preserve">e </w:t>
            </w:r>
            <w:r w:rsidR="00624DAC" w:rsidRPr="002B2C99">
              <w:rPr>
                <w:rFonts w:ascii="Arial" w:eastAsia="Times New Roman" w:hAnsi="Arial" w:cs="Arial"/>
                <w:b/>
                <w:bCs/>
                <w:sz w:val="20"/>
                <w:szCs w:val="20"/>
                <w:lang w:eastAsia="en-AU"/>
              </w:rPr>
              <w:t>social and cultural differences</w:t>
            </w:r>
            <w:r w:rsidR="00624DAC" w:rsidRPr="002B2C99">
              <w:rPr>
                <w:rFonts w:ascii="Arial" w:eastAsia="Times New Roman" w:hAnsi="Arial" w:cs="Arial"/>
                <w:sz w:val="20"/>
                <w:szCs w:val="20"/>
                <w:lang w:eastAsia="en-AU"/>
              </w:rPr>
              <w:t xml:space="preserve"> that may impact an individual’s ability to access what they deem to be quality healthcare services. Addresses the ability to choose to access healthcare.</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1D8B49" w14:textId="77777777" w:rsidR="00624DAC" w:rsidRPr="002B2C99" w:rsidRDefault="00624DAC" w:rsidP="00A731D9">
            <w:pPr>
              <w:spacing w:after="0" w:line="240" w:lineRule="auto"/>
              <w:rPr>
                <w:rFonts w:ascii="Arial" w:eastAsia="Times New Roman" w:hAnsi="Arial" w:cs="Arial"/>
                <w:sz w:val="20"/>
                <w:szCs w:val="20"/>
                <w:lang w:eastAsia="en-AU"/>
              </w:rPr>
            </w:pPr>
            <w:r w:rsidRPr="002B2C99">
              <w:rPr>
                <w:rFonts w:ascii="Arial" w:eastAsia="Times New Roman" w:hAnsi="Arial" w:cs="Arial"/>
                <w:sz w:val="20"/>
                <w:szCs w:val="20"/>
                <w:lang w:eastAsia="en-AU"/>
              </w:rPr>
              <w:t xml:space="preserve">Includes the </w:t>
            </w:r>
            <w:r w:rsidRPr="002B2C99">
              <w:rPr>
                <w:rFonts w:ascii="Arial" w:eastAsia="Times New Roman" w:hAnsi="Arial" w:cs="Arial"/>
                <w:b/>
                <w:bCs/>
                <w:sz w:val="20"/>
                <w:szCs w:val="20"/>
                <w:lang w:eastAsia="en-AU"/>
              </w:rPr>
              <w:t xml:space="preserve">physical availability </w:t>
            </w:r>
            <w:r w:rsidRPr="002B2C99">
              <w:rPr>
                <w:rFonts w:ascii="Arial" w:eastAsia="Times New Roman" w:hAnsi="Arial" w:cs="Arial"/>
                <w:sz w:val="20"/>
                <w:szCs w:val="20"/>
                <w:lang w:eastAsia="en-AU"/>
              </w:rPr>
              <w:t>of healthcare services and their ability to be accessed in a</w:t>
            </w:r>
            <w:r w:rsidRPr="002B2C99">
              <w:rPr>
                <w:rFonts w:ascii="Arial" w:eastAsia="Times New Roman" w:hAnsi="Arial" w:cs="Arial"/>
                <w:b/>
                <w:bCs/>
                <w:sz w:val="20"/>
                <w:szCs w:val="20"/>
                <w:lang w:eastAsia="en-AU"/>
              </w:rPr>
              <w:t xml:space="preserve"> timely nature</w:t>
            </w:r>
            <w:r w:rsidRPr="002B2C99">
              <w:rPr>
                <w:rFonts w:ascii="Arial" w:eastAsia="Times New Roman" w:hAnsi="Arial" w:cs="Arial"/>
                <w:sz w:val="20"/>
                <w:szCs w:val="20"/>
                <w:lang w:eastAsia="en-AU"/>
              </w:rPr>
              <w:t xml:space="preserve"> by </w:t>
            </w:r>
            <w:r w:rsidRPr="002B2C99">
              <w:rPr>
                <w:rFonts w:ascii="Arial" w:eastAsia="Times New Roman" w:hAnsi="Arial" w:cs="Arial"/>
                <w:b/>
                <w:bCs/>
                <w:sz w:val="20"/>
                <w:szCs w:val="20"/>
                <w:lang w:eastAsia="en-AU"/>
              </w:rPr>
              <w:t>all people</w:t>
            </w:r>
            <w:r w:rsidRPr="002B2C99">
              <w:rPr>
                <w:rFonts w:ascii="Arial" w:eastAsia="Times New Roman" w:hAnsi="Arial" w:cs="Arial"/>
                <w:sz w:val="20"/>
                <w:szCs w:val="20"/>
                <w:lang w:eastAsia="en-AU"/>
              </w:rPr>
              <w:t xml:space="preserve">. Ensures that these services are able to </w:t>
            </w:r>
            <w:r w:rsidRPr="002B2C99">
              <w:rPr>
                <w:rFonts w:ascii="Arial" w:eastAsia="Times New Roman" w:hAnsi="Arial" w:cs="Arial"/>
                <w:b/>
                <w:bCs/>
                <w:sz w:val="20"/>
                <w:szCs w:val="20"/>
                <w:lang w:eastAsia="en-AU"/>
              </w:rPr>
              <w:t>meet the demand</w:t>
            </w:r>
            <w:r w:rsidRPr="002B2C99">
              <w:rPr>
                <w:rFonts w:ascii="Arial" w:eastAsia="Times New Roman" w:hAnsi="Arial" w:cs="Arial"/>
                <w:sz w:val="20"/>
                <w:szCs w:val="20"/>
                <w:lang w:eastAsia="en-AU"/>
              </w:rPr>
              <w:t xml:space="preserve"> of the people in the area with an ability to maintain service provision if demand increases . This dimension also involves the availability of the required </w:t>
            </w:r>
            <w:r w:rsidRPr="002B2C99">
              <w:rPr>
                <w:rFonts w:ascii="Arial" w:eastAsia="Times New Roman" w:hAnsi="Arial" w:cs="Arial"/>
                <w:b/>
                <w:bCs/>
                <w:sz w:val="20"/>
                <w:szCs w:val="20"/>
                <w:lang w:eastAsia="en-AU"/>
              </w:rPr>
              <w:t>healthcare providers in all areas</w:t>
            </w:r>
            <w:r w:rsidRPr="002B2C99">
              <w:rPr>
                <w:rFonts w:ascii="Arial" w:eastAsia="Times New Roman" w:hAnsi="Arial" w:cs="Arial"/>
                <w:sz w:val="20"/>
                <w:szCs w:val="20"/>
                <w:lang w:eastAsia="en-AU"/>
              </w:rPr>
              <w:t>.</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754DC7" w14:textId="35FDC6F9" w:rsidR="00624DAC" w:rsidRPr="002B2C99" w:rsidRDefault="00624DAC" w:rsidP="00A731D9">
            <w:pPr>
              <w:spacing w:after="0" w:line="240" w:lineRule="auto"/>
              <w:rPr>
                <w:rFonts w:ascii="Arial" w:eastAsia="Times New Roman" w:hAnsi="Arial" w:cs="Arial"/>
                <w:sz w:val="20"/>
                <w:szCs w:val="20"/>
                <w:lang w:eastAsia="en-AU"/>
              </w:rPr>
            </w:pPr>
            <w:r w:rsidRPr="002B2C99">
              <w:rPr>
                <w:rFonts w:ascii="Arial" w:eastAsia="Times New Roman" w:hAnsi="Arial" w:cs="Arial"/>
                <w:sz w:val="20"/>
                <w:szCs w:val="20"/>
                <w:lang w:eastAsia="en-AU"/>
              </w:rPr>
              <w:t xml:space="preserve">Consideration of individuals’ </w:t>
            </w:r>
            <w:r w:rsidRPr="002B2C99">
              <w:rPr>
                <w:rFonts w:ascii="Arial" w:eastAsia="Times New Roman" w:hAnsi="Arial" w:cs="Arial"/>
                <w:b/>
                <w:bCs/>
                <w:sz w:val="20"/>
                <w:szCs w:val="20"/>
                <w:lang w:eastAsia="en-AU"/>
              </w:rPr>
              <w:t>understanding of the costs</w:t>
            </w:r>
            <w:r w:rsidRPr="002B2C99">
              <w:rPr>
                <w:rFonts w:ascii="Arial" w:eastAsia="Times New Roman" w:hAnsi="Arial" w:cs="Arial"/>
                <w:sz w:val="20"/>
                <w:szCs w:val="20"/>
                <w:lang w:eastAsia="en-AU"/>
              </w:rPr>
              <w:t xml:space="preserve"> related to procedures and their </w:t>
            </w:r>
            <w:r w:rsidRPr="002B2C99">
              <w:rPr>
                <w:rFonts w:ascii="Arial" w:eastAsia="Times New Roman" w:hAnsi="Arial" w:cs="Arial"/>
                <w:b/>
                <w:bCs/>
                <w:sz w:val="20"/>
                <w:szCs w:val="20"/>
                <w:lang w:eastAsia="en-AU"/>
              </w:rPr>
              <w:t>ability to afford them</w:t>
            </w:r>
            <w:r w:rsidRPr="002B2C99">
              <w:rPr>
                <w:rFonts w:ascii="Arial" w:eastAsia="Times New Roman" w:hAnsi="Arial" w:cs="Arial"/>
                <w:sz w:val="20"/>
                <w:szCs w:val="20"/>
                <w:lang w:eastAsia="en-AU"/>
              </w:rPr>
              <w:t xml:space="preserve">.  This dimension also </w:t>
            </w:r>
            <w:r w:rsidR="00431E8E" w:rsidRPr="002B2C99">
              <w:rPr>
                <w:rFonts w:ascii="Arial" w:eastAsia="Times New Roman" w:hAnsi="Arial" w:cs="Arial"/>
                <w:sz w:val="20"/>
                <w:szCs w:val="20"/>
                <w:lang w:eastAsia="en-AU"/>
              </w:rPr>
              <w:t>addresses</w:t>
            </w:r>
            <w:r w:rsidRPr="002B2C99">
              <w:rPr>
                <w:rFonts w:ascii="Arial" w:eastAsia="Times New Roman" w:hAnsi="Arial" w:cs="Arial"/>
                <w:sz w:val="20"/>
                <w:szCs w:val="20"/>
                <w:lang w:eastAsia="en-AU"/>
              </w:rPr>
              <w:t xml:space="preserve"> </w:t>
            </w:r>
            <w:r w:rsidRPr="002B2C99">
              <w:rPr>
                <w:rFonts w:ascii="Arial" w:eastAsia="Times New Roman" w:hAnsi="Arial" w:cs="Arial"/>
                <w:b/>
                <w:bCs/>
                <w:sz w:val="20"/>
                <w:szCs w:val="20"/>
                <w:lang w:eastAsia="en-AU"/>
              </w:rPr>
              <w:t>additional associated costs</w:t>
            </w:r>
            <w:r w:rsidRPr="002B2C99">
              <w:rPr>
                <w:rFonts w:ascii="Arial" w:eastAsia="Times New Roman" w:hAnsi="Arial" w:cs="Arial"/>
                <w:sz w:val="20"/>
                <w:szCs w:val="20"/>
                <w:lang w:eastAsia="en-AU"/>
              </w:rPr>
              <w:t>, such as consequential loss of income and travel costs.</w:t>
            </w:r>
          </w:p>
        </w:tc>
        <w:tc>
          <w:tcPr>
            <w:tcW w:w="24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35B876" w14:textId="77777777" w:rsidR="00624DAC" w:rsidRPr="002B2C99" w:rsidRDefault="00624DAC" w:rsidP="00A731D9">
            <w:pPr>
              <w:spacing w:after="0" w:line="240" w:lineRule="auto"/>
              <w:rPr>
                <w:rFonts w:ascii="Arial" w:eastAsia="Times New Roman" w:hAnsi="Arial" w:cs="Arial"/>
                <w:sz w:val="20"/>
                <w:szCs w:val="20"/>
                <w:lang w:eastAsia="en-AU"/>
              </w:rPr>
            </w:pPr>
            <w:r w:rsidRPr="002B2C99">
              <w:rPr>
                <w:rFonts w:ascii="Arial" w:eastAsia="Times New Roman" w:hAnsi="Arial" w:cs="Arial"/>
                <w:sz w:val="20"/>
                <w:szCs w:val="20"/>
                <w:lang w:eastAsia="en-AU"/>
              </w:rPr>
              <w:t xml:space="preserve">Ensuring that an </w:t>
            </w:r>
            <w:r w:rsidRPr="002B2C99">
              <w:rPr>
                <w:rFonts w:ascii="Arial" w:eastAsia="Times New Roman" w:hAnsi="Arial" w:cs="Arial"/>
                <w:b/>
                <w:bCs/>
                <w:sz w:val="20"/>
                <w:szCs w:val="20"/>
                <w:lang w:eastAsia="en-AU"/>
              </w:rPr>
              <w:t>appropriate level of care and attentiveness</w:t>
            </w:r>
            <w:r w:rsidRPr="002B2C99">
              <w:rPr>
                <w:rFonts w:ascii="Arial" w:eastAsia="Times New Roman" w:hAnsi="Arial" w:cs="Arial"/>
                <w:sz w:val="20"/>
                <w:szCs w:val="20"/>
                <w:lang w:eastAsia="en-AU"/>
              </w:rPr>
              <w:t xml:space="preserve"> are given to the patient’s needs by healthcare providers. This dimension involves healthcare providers taking </w:t>
            </w:r>
            <w:r w:rsidRPr="002B2C99">
              <w:rPr>
                <w:rFonts w:ascii="Arial" w:eastAsia="Times New Roman" w:hAnsi="Arial" w:cs="Arial"/>
                <w:b/>
                <w:bCs/>
                <w:sz w:val="20"/>
                <w:szCs w:val="20"/>
                <w:lang w:eastAsia="en-AU"/>
              </w:rPr>
              <w:t>adequate time and supporting</w:t>
            </w:r>
            <w:r w:rsidRPr="002B2C99">
              <w:rPr>
                <w:rFonts w:ascii="Arial" w:eastAsia="Times New Roman" w:hAnsi="Arial" w:cs="Arial"/>
                <w:sz w:val="20"/>
                <w:szCs w:val="20"/>
                <w:lang w:eastAsia="en-AU"/>
              </w:rPr>
              <w:t xml:space="preserve"> their patients to ensure they are able to access quality services.</w:t>
            </w:r>
          </w:p>
        </w:tc>
      </w:tr>
      <w:tr w:rsidR="00624DAC" w:rsidRPr="002B2C99" w14:paraId="1E586C12" w14:textId="77777777" w:rsidTr="00A731D9">
        <w:trPr>
          <w:trHeight w:val="4184"/>
        </w:trPr>
        <w:tc>
          <w:tcPr>
            <w:tcW w:w="126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center"/>
          </w:tcPr>
          <w:p w14:paraId="1F34E64F" w14:textId="77777777" w:rsidR="00624DAC" w:rsidRPr="002B2C99" w:rsidRDefault="00624DAC" w:rsidP="00A731D9">
            <w:pPr>
              <w:spacing w:after="0" w:line="240" w:lineRule="auto"/>
              <w:jc w:val="both"/>
              <w:rPr>
                <w:rFonts w:ascii="Arial" w:eastAsia="Times New Roman" w:hAnsi="Arial" w:cs="Arial"/>
                <w:b/>
                <w:bCs/>
                <w:sz w:val="20"/>
                <w:szCs w:val="20"/>
                <w:lang w:eastAsia="en-AU"/>
              </w:rPr>
            </w:pPr>
          </w:p>
          <w:p w14:paraId="4B742357" w14:textId="77777777" w:rsidR="00624DAC" w:rsidRPr="002B2C99" w:rsidRDefault="00624DAC" w:rsidP="00A731D9">
            <w:pPr>
              <w:spacing w:after="0" w:line="240" w:lineRule="auto"/>
              <w:jc w:val="both"/>
              <w:rPr>
                <w:rFonts w:ascii="Arial" w:eastAsia="Times New Roman" w:hAnsi="Arial" w:cs="Arial"/>
                <w:b/>
                <w:bCs/>
                <w:sz w:val="20"/>
                <w:szCs w:val="20"/>
                <w:lang w:eastAsia="en-AU"/>
              </w:rPr>
            </w:pPr>
          </w:p>
          <w:p w14:paraId="417C94C0" w14:textId="31932906" w:rsidR="00624DAC" w:rsidRPr="002B2C99" w:rsidRDefault="00624DAC" w:rsidP="00A731D9">
            <w:pPr>
              <w:spacing w:after="0" w:line="240" w:lineRule="auto"/>
              <w:jc w:val="center"/>
              <w:rPr>
                <w:rFonts w:ascii="Arial" w:eastAsia="Times New Roman" w:hAnsi="Arial" w:cs="Arial"/>
                <w:b/>
                <w:bCs/>
                <w:sz w:val="20"/>
                <w:szCs w:val="20"/>
                <w:lang w:eastAsia="en-AU"/>
              </w:rPr>
            </w:pPr>
            <w:r w:rsidRPr="002B2C99">
              <w:rPr>
                <w:rFonts w:ascii="Arial" w:eastAsia="Times New Roman" w:hAnsi="Arial" w:cs="Arial"/>
                <w:b/>
                <w:bCs/>
                <w:sz w:val="20"/>
                <w:szCs w:val="20"/>
                <w:lang w:eastAsia="en-AU"/>
              </w:rPr>
              <w:t xml:space="preserve">Definition as applied to abortions. </w:t>
            </w:r>
          </w:p>
        </w:tc>
        <w:tc>
          <w:tcPr>
            <w:tcW w:w="22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6362EA" w14:textId="77777777" w:rsidR="00624DAC" w:rsidRPr="002B2C99" w:rsidRDefault="00624DAC" w:rsidP="00A731D9">
            <w:pPr>
              <w:spacing w:after="0" w:line="240" w:lineRule="auto"/>
              <w:rPr>
                <w:rFonts w:ascii="Arial" w:eastAsia="Times New Roman" w:hAnsi="Arial" w:cs="Arial"/>
                <w:sz w:val="20"/>
                <w:szCs w:val="20"/>
                <w:lang w:eastAsia="en-AU"/>
              </w:rPr>
            </w:pPr>
            <w:r w:rsidRPr="002B2C99">
              <w:rPr>
                <w:rFonts w:ascii="Arial" w:eastAsia="Times New Roman" w:hAnsi="Arial" w:cs="Arial"/>
                <w:sz w:val="20"/>
                <w:szCs w:val="20"/>
                <w:lang w:eastAsia="en-AU"/>
              </w:rPr>
              <w:t>The availability of accurate abortion information to all people about: medication and surgical abortions, abortion legality, gestational limits, and  service location. Additionally includes tailoring information and increasing its availability to people of reproductive ages.</w:t>
            </w:r>
          </w:p>
        </w:tc>
        <w:tc>
          <w:tcPr>
            <w:tcW w:w="19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6D68AB0" w14:textId="77777777" w:rsidR="00624DAC" w:rsidRPr="002B2C99" w:rsidRDefault="00624DAC" w:rsidP="00A731D9">
            <w:pPr>
              <w:spacing w:after="0" w:line="240" w:lineRule="auto"/>
              <w:textAlignment w:val="baseline"/>
              <w:rPr>
                <w:rFonts w:ascii="Arial" w:eastAsia="Times New Roman" w:hAnsi="Arial" w:cs="Arial"/>
                <w:sz w:val="20"/>
                <w:szCs w:val="20"/>
                <w:lang w:eastAsia="en-AU"/>
              </w:rPr>
            </w:pPr>
          </w:p>
          <w:p w14:paraId="6C42CBA7" w14:textId="2E89BA8C" w:rsidR="00624DAC" w:rsidRPr="002B2C99" w:rsidRDefault="00624DAC" w:rsidP="00A731D9">
            <w:pPr>
              <w:spacing w:after="0" w:line="240" w:lineRule="auto"/>
              <w:textAlignment w:val="baseline"/>
              <w:rPr>
                <w:rFonts w:ascii="Arial" w:eastAsia="Times New Roman" w:hAnsi="Arial" w:cs="Arial"/>
                <w:sz w:val="20"/>
                <w:szCs w:val="20"/>
                <w:lang w:eastAsia="en-AU"/>
              </w:rPr>
            </w:pPr>
            <w:r w:rsidRPr="002B2C99">
              <w:rPr>
                <w:rFonts w:ascii="Arial" w:eastAsia="Times New Roman" w:hAnsi="Arial" w:cs="Arial"/>
                <w:sz w:val="20"/>
                <w:szCs w:val="20"/>
                <w:lang w:eastAsia="en-AU"/>
              </w:rPr>
              <w:t>Accounting for the social and cultural factors that can impact a person’s decision to access abortion. Involves the emphasis on supporting abortion seekers in the decision-making process.</w:t>
            </w:r>
          </w:p>
        </w:tc>
        <w:tc>
          <w:tcPr>
            <w:tcW w:w="32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8BB1CA" w14:textId="77777777" w:rsidR="00624DAC" w:rsidRPr="002B2C99" w:rsidRDefault="00624DAC" w:rsidP="00A731D9">
            <w:pPr>
              <w:spacing w:after="0" w:line="240" w:lineRule="auto"/>
              <w:rPr>
                <w:rFonts w:ascii="Arial" w:eastAsia="Times New Roman" w:hAnsi="Arial" w:cs="Arial"/>
                <w:sz w:val="20"/>
                <w:szCs w:val="20"/>
              </w:rPr>
            </w:pPr>
            <w:r w:rsidRPr="002B2C99">
              <w:rPr>
                <w:rFonts w:ascii="Arial" w:eastAsia="Times New Roman" w:hAnsi="Arial" w:cs="Arial"/>
                <w:sz w:val="20"/>
                <w:szCs w:val="20"/>
              </w:rPr>
              <w:t xml:space="preserve">Having both medication and surgical abortions through public and private clinics </w:t>
            </w:r>
            <w:r w:rsidRPr="002B2C99">
              <w:rPr>
                <w:rFonts w:ascii="Arial" w:eastAsia="Times New Roman" w:hAnsi="Arial" w:cs="Arial"/>
                <w:sz w:val="20"/>
                <w:szCs w:val="20"/>
                <w:lang w:eastAsia="en-AU"/>
              </w:rPr>
              <w:t>with their fair and adequate availability in each jurisdiction and in rural and remote regions. This dimension includes a reasonable distance to abortion care and the need for abortion availability in proportion to local demand. It also addresses the need for sufficient abortion providers throughout the country. Abortion services should also be able to meet increases in demand or maintain accessibility in times of healthcare system constraints, as in circumstances similar to the COVID-19 pandemic.</w:t>
            </w:r>
          </w:p>
        </w:tc>
        <w:tc>
          <w:tcPr>
            <w:tcW w:w="26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30706B" w14:textId="7D19B86D" w:rsidR="00624DAC" w:rsidRPr="002B2C99" w:rsidRDefault="00624DAC" w:rsidP="00A731D9">
            <w:pPr>
              <w:shd w:val="clear" w:color="auto" w:fill="FFFFFF"/>
              <w:spacing w:after="0" w:line="240" w:lineRule="auto"/>
              <w:rPr>
                <w:rFonts w:ascii="Arial" w:eastAsia="Times New Roman" w:hAnsi="Arial" w:cs="Arial"/>
                <w:sz w:val="20"/>
                <w:szCs w:val="20"/>
                <w:lang w:eastAsia="en-AU"/>
              </w:rPr>
            </w:pPr>
            <w:r w:rsidRPr="002B2C99">
              <w:rPr>
                <w:rFonts w:ascii="Arial" w:eastAsia="Times New Roman" w:hAnsi="Arial" w:cs="Arial"/>
                <w:sz w:val="20"/>
                <w:szCs w:val="20"/>
                <w:lang w:eastAsia="en-AU"/>
              </w:rPr>
              <w:t xml:space="preserve">Ability to pay for abortion services regardless of  abortion costs between procedure types, jurisdictions, and private and public service provision. Includes consideration of additional costs, such as for travel, child-minding, accommodation, and loss of income. </w:t>
            </w:r>
            <w:r w:rsidR="0071670C" w:rsidRPr="002B2C99">
              <w:rPr>
                <w:rFonts w:ascii="Arial" w:eastAsia="Times New Roman" w:hAnsi="Arial" w:cs="Arial"/>
                <w:sz w:val="20"/>
                <w:szCs w:val="20"/>
                <w:lang w:eastAsia="en-AU"/>
              </w:rPr>
              <w:t>Addresses</w:t>
            </w:r>
            <w:r w:rsidRPr="002B2C99">
              <w:rPr>
                <w:rFonts w:ascii="Arial" w:eastAsia="Times New Roman" w:hAnsi="Arial" w:cs="Arial"/>
                <w:sz w:val="20"/>
                <w:szCs w:val="20"/>
                <w:lang w:eastAsia="en-AU"/>
              </w:rPr>
              <w:t xml:space="preserve"> the eliminat</w:t>
            </w:r>
            <w:r w:rsidR="00382D7B" w:rsidRPr="002B2C99">
              <w:rPr>
                <w:rFonts w:ascii="Arial" w:eastAsia="Times New Roman" w:hAnsi="Arial" w:cs="Arial"/>
                <w:sz w:val="20"/>
                <w:szCs w:val="20"/>
                <w:lang w:eastAsia="en-AU"/>
              </w:rPr>
              <w:t xml:space="preserve">ion of the </w:t>
            </w:r>
            <w:r w:rsidRPr="002B2C99">
              <w:rPr>
                <w:rFonts w:ascii="Arial" w:eastAsia="Times New Roman" w:hAnsi="Arial" w:cs="Arial"/>
                <w:sz w:val="20"/>
                <w:szCs w:val="20"/>
                <w:lang w:eastAsia="en-AU"/>
              </w:rPr>
              <w:t>additional financial burden for those without Medicare to pay for abortion.</w:t>
            </w:r>
          </w:p>
        </w:tc>
        <w:tc>
          <w:tcPr>
            <w:tcW w:w="246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ADC481" w14:textId="1FFE6639" w:rsidR="00624DAC" w:rsidRPr="002B2C99" w:rsidRDefault="00624DAC" w:rsidP="00A731D9">
            <w:pPr>
              <w:spacing w:after="0" w:line="240" w:lineRule="auto"/>
              <w:textAlignment w:val="baseline"/>
              <w:rPr>
                <w:rFonts w:ascii="Arial" w:eastAsia="Times New Roman" w:hAnsi="Arial" w:cs="Arial"/>
                <w:sz w:val="20"/>
                <w:szCs w:val="20"/>
                <w:lang w:eastAsia="en-AU"/>
              </w:rPr>
            </w:pPr>
            <w:r w:rsidRPr="002B2C99">
              <w:rPr>
                <w:rFonts w:ascii="Arial" w:eastAsia="Times New Roman" w:hAnsi="Arial" w:cs="Arial"/>
                <w:sz w:val="20"/>
                <w:szCs w:val="20"/>
                <w:lang w:eastAsia="en-AU"/>
              </w:rPr>
              <w:t>The provision of abortion care that is non-judgemental and empathetic. Includes providers allocating adequate time in appointments and giving appropriate and trusted referrals to additional services when required. The provision of tailored and continuous care is oriented around the patient’s needs whilst ensuring that they are fully informed of their abortion options.</w:t>
            </w:r>
          </w:p>
        </w:tc>
      </w:tr>
    </w:tbl>
    <w:p w14:paraId="44E2B07F" w14:textId="77777777" w:rsidR="0052075E" w:rsidRPr="0052075E" w:rsidRDefault="00B36093" w:rsidP="0052075E">
      <w:pPr>
        <w:pStyle w:val="EndNoteBibliography"/>
      </w:pPr>
      <w:r>
        <w:rPr>
          <w:rFonts w:ascii="Calibri" w:hAnsi="Calibri" w:cs="Calibri"/>
          <w:sz w:val="20"/>
          <w:szCs w:val="20"/>
        </w:rPr>
        <w:fldChar w:fldCharType="begin"/>
      </w:r>
      <w:r>
        <w:rPr>
          <w:sz w:val="20"/>
          <w:szCs w:val="20"/>
        </w:rPr>
        <w:instrText xml:space="preserve"> ADDIN EN.REFLIST </w:instrText>
      </w:r>
      <w:r>
        <w:rPr>
          <w:rFonts w:ascii="Calibri" w:hAnsi="Calibri" w:cs="Calibri"/>
          <w:sz w:val="20"/>
          <w:szCs w:val="20"/>
        </w:rPr>
        <w:fldChar w:fldCharType="separate"/>
      </w:r>
      <w:r w:rsidR="0052075E" w:rsidRPr="0052075E">
        <w:t>1.</w:t>
      </w:r>
      <w:r w:rsidR="0052075E" w:rsidRPr="0052075E">
        <w:tab/>
        <w:t>Levesque J-F, Harris MF, Russell G. Patient-centred access to health care: conceptualising access at the interface of health systems and populations. Int J Equity Health. 2013;12(1):1-9.</w:t>
      </w:r>
    </w:p>
    <w:p w14:paraId="27CC40A2" w14:textId="6E336626" w:rsidR="0062484A" w:rsidRPr="002B2C99" w:rsidRDefault="00B36093" w:rsidP="00A731D9">
      <w:pPr>
        <w:spacing w:line="240" w:lineRule="auto"/>
        <w:rPr>
          <w:sz w:val="20"/>
          <w:szCs w:val="20"/>
        </w:rPr>
      </w:pPr>
      <w:r>
        <w:rPr>
          <w:sz w:val="20"/>
          <w:szCs w:val="20"/>
        </w:rPr>
        <w:lastRenderedPageBreak/>
        <w:fldChar w:fldCharType="end"/>
      </w:r>
    </w:p>
    <w:sectPr w:rsidR="0062484A" w:rsidRPr="002B2C99" w:rsidSect="00257295">
      <w:pgSz w:w="16838" w:h="11906" w:orient="landscape"/>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zNTaxNDAwMDU2NzdW0lEKTi0uzszPAykwqwUAUG7wy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er5a02xfsve3eft9355vwhw2x0f9x50stt&quot;&gt;My EndNote Library&lt;record-ids&gt;&lt;item&gt;313&lt;/item&gt;&lt;/record-ids&gt;&lt;/item&gt;&lt;/Libraries&gt;"/>
  </w:docVars>
  <w:rsids>
    <w:rsidRoot w:val="00B667D6"/>
    <w:rsid w:val="00053BE4"/>
    <w:rsid w:val="00122224"/>
    <w:rsid w:val="00123C38"/>
    <w:rsid w:val="00257295"/>
    <w:rsid w:val="002A1FCF"/>
    <w:rsid w:val="002B2C99"/>
    <w:rsid w:val="003504BB"/>
    <w:rsid w:val="00382D7B"/>
    <w:rsid w:val="00406308"/>
    <w:rsid w:val="00431E8E"/>
    <w:rsid w:val="0045463B"/>
    <w:rsid w:val="00507594"/>
    <w:rsid w:val="0052063A"/>
    <w:rsid w:val="0052075E"/>
    <w:rsid w:val="005223A0"/>
    <w:rsid w:val="00624DAC"/>
    <w:rsid w:val="0063198D"/>
    <w:rsid w:val="0071670C"/>
    <w:rsid w:val="007E4449"/>
    <w:rsid w:val="008305F4"/>
    <w:rsid w:val="00877371"/>
    <w:rsid w:val="008B1FEA"/>
    <w:rsid w:val="00964C60"/>
    <w:rsid w:val="009B1ED0"/>
    <w:rsid w:val="00A731D9"/>
    <w:rsid w:val="00A82FE0"/>
    <w:rsid w:val="00B36093"/>
    <w:rsid w:val="00B667D6"/>
    <w:rsid w:val="00BD23D5"/>
    <w:rsid w:val="00CD2CCA"/>
    <w:rsid w:val="00ED63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5B52"/>
  <w15:chartTrackingRefBased/>
  <w15:docId w15:val="{158240CD-D4A5-4DCE-9251-EAAEE51B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DAC"/>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B667D6"/>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B667D6"/>
    <w:rPr>
      <w:rFonts w:ascii="Calibri" w:eastAsia="Times New Roman" w:hAnsi="Calibri" w:cs="Times New Roman"/>
      <w:kern w:val="0"/>
      <w:sz w:val="20"/>
      <w:szCs w:val="20"/>
      <w14:ligatures w14:val="none"/>
    </w:rPr>
  </w:style>
  <w:style w:type="character" w:styleId="CommentReference">
    <w:name w:val="annotation reference"/>
    <w:basedOn w:val="DefaultParagraphFont"/>
    <w:uiPriority w:val="99"/>
    <w:semiHidden/>
    <w:unhideWhenUsed/>
    <w:rsid w:val="00B667D6"/>
    <w:rPr>
      <w:sz w:val="16"/>
      <w:szCs w:val="16"/>
    </w:rPr>
  </w:style>
  <w:style w:type="character" w:styleId="LineNumber">
    <w:name w:val="line number"/>
    <w:basedOn w:val="DefaultParagraphFont"/>
    <w:uiPriority w:val="99"/>
    <w:semiHidden/>
    <w:unhideWhenUsed/>
    <w:rsid w:val="00257295"/>
  </w:style>
  <w:style w:type="paragraph" w:customStyle="1" w:styleId="EndNoteBibliographyTitle">
    <w:name w:val="EndNote Bibliography Title"/>
    <w:basedOn w:val="Normal"/>
    <w:link w:val="EndNoteBibliographyTitleChar"/>
    <w:rsid w:val="00BD23D5"/>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BD23D5"/>
    <w:rPr>
      <w:rFonts w:ascii="Arial" w:hAnsi="Arial" w:cs="Arial"/>
      <w:noProof/>
      <w:kern w:val="0"/>
      <w:lang w:val="en-US"/>
      <w14:ligatures w14:val="none"/>
    </w:rPr>
  </w:style>
  <w:style w:type="paragraph" w:customStyle="1" w:styleId="EndNoteBibliography">
    <w:name w:val="EndNote Bibliography"/>
    <w:basedOn w:val="Normal"/>
    <w:link w:val="EndNoteBibliographyChar"/>
    <w:rsid w:val="00BD23D5"/>
    <w:pPr>
      <w:spacing w:line="24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BD23D5"/>
    <w:rPr>
      <w:rFonts w:ascii="Arial" w:hAnsi="Arial" w:cs="Arial"/>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82165">
      <w:bodyDiv w:val="1"/>
      <w:marLeft w:val="0"/>
      <w:marRight w:val="0"/>
      <w:marTop w:val="0"/>
      <w:marBottom w:val="0"/>
      <w:divBdr>
        <w:top w:val="none" w:sz="0" w:space="0" w:color="auto"/>
        <w:left w:val="none" w:sz="0" w:space="0" w:color="auto"/>
        <w:bottom w:val="none" w:sz="0" w:space="0" w:color="auto"/>
        <w:right w:val="none" w:sz="0" w:space="0" w:color="auto"/>
      </w:divBdr>
    </w:div>
    <w:div w:id="194553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34D5-BB05-421B-9C4C-3B96043C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Kadigamuwa Wickramasinghe</dc:creator>
  <cp:keywords/>
  <dc:description/>
  <cp:lastModifiedBy>Kadigamuwa Wickramasinghe</cp:lastModifiedBy>
  <cp:revision>13</cp:revision>
  <dcterms:created xsi:type="dcterms:W3CDTF">2023-07-24T21:45:00Z</dcterms:created>
  <dcterms:modified xsi:type="dcterms:W3CDTF">2023-07-27T10:13:00Z</dcterms:modified>
</cp:coreProperties>
</file>