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C790F" w14:textId="52AA90B1" w:rsidR="00D631BF" w:rsidRPr="008F3666" w:rsidRDefault="00D631BF">
      <w:pPr>
        <w:rPr>
          <w:b/>
          <w:bCs/>
          <w:sz w:val="36"/>
          <w:szCs w:val="36"/>
        </w:rPr>
      </w:pPr>
      <w:r w:rsidRPr="008F3666">
        <w:rPr>
          <w:b/>
          <w:bCs/>
          <w:sz w:val="36"/>
          <w:szCs w:val="36"/>
        </w:rPr>
        <w:t>Supplementary File</w:t>
      </w:r>
    </w:p>
    <w:p w14:paraId="01307E26" w14:textId="77777777" w:rsidR="00D631BF" w:rsidRDefault="00D631BF"/>
    <w:p w14:paraId="0E67B038" w14:textId="77777777" w:rsidR="00D631BF" w:rsidRPr="0024675C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</w:rPr>
      </w:pPr>
    </w:p>
    <w:p w14:paraId="3AE00E6A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Appendix A: </w:t>
      </w:r>
      <w:r w:rsidRPr="00EE2696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8</w:t>
      </w:r>
      <w:r w:rsidRPr="00EE269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EE2696">
        <w:rPr>
          <w:rFonts w:ascii="Times New Roman" w:hAnsi="Times New Roman" w:cs="Times New Roman"/>
          <w:sz w:val="24"/>
        </w:rPr>
        <w:t>List of the selected studies in the SE domain</w:t>
      </w:r>
    </w:p>
    <w:tbl>
      <w:tblPr>
        <w:tblStyle w:val="TableGrid"/>
        <w:tblpPr w:leftFromText="180" w:rightFromText="180" w:vertAnchor="text" w:horzAnchor="margin" w:tblpY="381"/>
        <w:tblW w:w="10598" w:type="dxa"/>
        <w:tblLook w:val="04A0" w:firstRow="1" w:lastRow="0" w:firstColumn="1" w:lastColumn="0" w:noHBand="0" w:noVBand="1"/>
      </w:tblPr>
      <w:tblGrid>
        <w:gridCol w:w="663"/>
        <w:gridCol w:w="1146"/>
        <w:gridCol w:w="7230"/>
        <w:gridCol w:w="1559"/>
      </w:tblGrid>
      <w:tr w:rsidR="00D631BF" w:rsidRPr="00564143" w14:paraId="6A646A42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4095C995" w14:textId="77777777" w:rsidR="00D631BF" w:rsidRPr="00564143" w:rsidRDefault="00D631BF" w:rsidP="00F74523">
            <w:pPr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564143">
              <w:rPr>
                <w:rFonts w:ascii="Times New Roman" w:hAnsi="Times New Roman" w:cs="Times New Roman"/>
                <w:b/>
              </w:rPr>
              <w:t>S.No</w:t>
            </w:r>
            <w:proofErr w:type="spellEnd"/>
            <w:proofErr w:type="gramEnd"/>
          </w:p>
        </w:tc>
        <w:tc>
          <w:tcPr>
            <w:tcW w:w="1146" w:type="dxa"/>
            <w:shd w:val="clear" w:color="auto" w:fill="auto"/>
            <w:vAlign w:val="center"/>
          </w:tcPr>
          <w:p w14:paraId="4D632122" w14:textId="77777777" w:rsidR="00D631BF" w:rsidRPr="00564143" w:rsidRDefault="00D631BF" w:rsidP="00F74523">
            <w:pPr>
              <w:rPr>
                <w:rFonts w:ascii="Times New Roman" w:hAnsi="Times New Roman" w:cs="Times New Roman"/>
                <w:b/>
              </w:rPr>
            </w:pPr>
            <w:r w:rsidRPr="00564143">
              <w:rPr>
                <w:rFonts w:ascii="Times New Roman" w:hAnsi="Times New Roman" w:cs="Times New Roman"/>
                <w:b/>
              </w:rPr>
              <w:t>Ref. No.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6EFB048B" w14:textId="77777777" w:rsidR="00D631BF" w:rsidRPr="00564143" w:rsidRDefault="00D631BF" w:rsidP="00F74523">
            <w:pPr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Title of the research study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EA379E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Date of publication</w:t>
            </w:r>
          </w:p>
        </w:tc>
      </w:tr>
      <w:tr w:rsidR="00D631BF" w:rsidRPr="00564143" w14:paraId="28478805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294D5938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64143">
              <w:rPr>
                <w:rFonts w:ascii="Times New Roman" w:hAnsi="Times New Roman" w:cs="Times New Roman"/>
                <w:b/>
              </w:rPr>
              <w:t>S 1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7647AC2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[68]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04C62DE9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Evaluating the effectiveness of local explanation methods on source </w:t>
            </w:r>
            <w:proofErr w:type="spellStart"/>
            <w:r w:rsidRPr="00564143">
              <w:rPr>
                <w:rFonts w:ascii="Times New Roman" w:hAnsi="Times New Roman" w:cs="Times New Roman"/>
                <w:i/>
              </w:rPr>
              <w:t>codebased</w:t>
            </w:r>
            <w:proofErr w:type="spellEnd"/>
          </w:p>
          <w:p w14:paraId="41DBF76C" w14:textId="77777777" w:rsidR="00D631BF" w:rsidRPr="00564143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defect prediction models</w:t>
            </w:r>
          </w:p>
        </w:tc>
        <w:tc>
          <w:tcPr>
            <w:tcW w:w="1559" w:type="dxa"/>
            <w:shd w:val="clear" w:color="auto" w:fill="auto"/>
          </w:tcPr>
          <w:p w14:paraId="2EAFB16B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23rd May,</w:t>
            </w:r>
          </w:p>
          <w:p w14:paraId="25361EC7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2022</w:t>
            </w:r>
          </w:p>
        </w:tc>
      </w:tr>
      <w:tr w:rsidR="00D631BF" w:rsidRPr="00564143" w14:paraId="7E1DEE1C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5B39E57B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2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57258C54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[69]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56855AE4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Explainable Software Defect Prediction: Are We There Yet?</w:t>
            </w:r>
          </w:p>
        </w:tc>
        <w:tc>
          <w:tcPr>
            <w:tcW w:w="1559" w:type="dxa"/>
            <w:shd w:val="clear" w:color="auto" w:fill="auto"/>
          </w:tcPr>
          <w:p w14:paraId="54FCB7A4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21st November, </w:t>
            </w: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3E69315C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5D4498B6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3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BA377BA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[30]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3934ECD8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564143">
              <w:rPr>
                <w:rFonts w:ascii="Times New Roman" w:hAnsi="Times New Roman" w:cs="Times New Roman"/>
                <w:i/>
              </w:rPr>
              <w:t>PyExplainer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>: Explaining the Predictions of Just-In-Time Defect Models</w:t>
            </w:r>
          </w:p>
        </w:tc>
        <w:tc>
          <w:tcPr>
            <w:tcW w:w="1559" w:type="dxa"/>
            <w:shd w:val="clear" w:color="auto" w:fill="auto"/>
          </w:tcPr>
          <w:p w14:paraId="3E6EDEE1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15th November, </w:t>
            </w: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296B68E1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6497652B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4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F111F27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[70]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6EE4F0A9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An Empirical Study of Model-Agnostic Interpretation Technique for Just-in-Time Software Defect Prediction</w:t>
            </w:r>
          </w:p>
        </w:tc>
        <w:tc>
          <w:tcPr>
            <w:tcW w:w="1559" w:type="dxa"/>
            <w:shd w:val="clear" w:color="auto" w:fill="auto"/>
          </w:tcPr>
          <w:p w14:paraId="5FF166E6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October,</w:t>
            </w:r>
          </w:p>
          <w:p w14:paraId="4B0567C9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 xml:space="preserve"> 2021</w:t>
            </w:r>
          </w:p>
        </w:tc>
      </w:tr>
      <w:tr w:rsidR="00D631BF" w:rsidRPr="00564143" w14:paraId="602CD327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18A357EE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5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4D711748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[71]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06970C7C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Just-in-Time Defect Prediction Technology based on Interpretability Technology</w:t>
            </w:r>
          </w:p>
        </w:tc>
        <w:tc>
          <w:tcPr>
            <w:tcW w:w="1559" w:type="dxa"/>
            <w:shd w:val="clear" w:color="auto" w:fill="auto"/>
          </w:tcPr>
          <w:p w14:paraId="6BC6B707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5th August, </w:t>
            </w:r>
          </w:p>
          <w:p w14:paraId="41687A69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3A15C4EB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32AD642C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6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40E8C021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[28]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3C1F8B27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Explainable Just-In-Time Bug Prediction: Are We There Yet?</w:t>
            </w:r>
          </w:p>
        </w:tc>
        <w:tc>
          <w:tcPr>
            <w:tcW w:w="1559" w:type="dxa"/>
            <w:shd w:val="clear" w:color="auto" w:fill="auto"/>
          </w:tcPr>
          <w:p w14:paraId="212A36DB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May 25</w:t>
            </w:r>
            <w:r w:rsidRPr="00564143">
              <w:rPr>
                <w:rFonts w:ascii="Times New Roman" w:hAnsi="Times New Roman" w:cs="Times New Roman"/>
                <w:i/>
                <w:vertAlign w:val="superscript"/>
              </w:rPr>
              <w:t>th</w:t>
            </w:r>
            <w:r w:rsidRPr="00564143">
              <w:rPr>
                <w:rFonts w:ascii="Times New Roman" w:hAnsi="Times New Roman" w:cs="Times New Roman"/>
                <w:i/>
              </w:rPr>
              <w:t xml:space="preserve">, </w:t>
            </w:r>
          </w:p>
          <w:p w14:paraId="6B87214F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65EC2E39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70303087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7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3C29DFD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[37]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5C339899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564143">
              <w:rPr>
                <w:rFonts w:ascii="Times New Roman" w:hAnsi="Times New Roman" w:cs="Times New Roman"/>
                <w:i/>
              </w:rPr>
              <w:t>JITLine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>: A Simpler, Better, Faster, Finer-grained Just-In-Time Defect Prediction</w:t>
            </w:r>
          </w:p>
        </w:tc>
        <w:tc>
          <w:tcPr>
            <w:tcW w:w="1559" w:type="dxa"/>
            <w:shd w:val="clear" w:color="auto" w:fill="auto"/>
          </w:tcPr>
          <w:p w14:paraId="42720D6F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17th May,</w:t>
            </w:r>
          </w:p>
          <w:p w14:paraId="2C7A2BB9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 xml:space="preserve"> 2021</w:t>
            </w:r>
          </w:p>
        </w:tc>
      </w:tr>
      <w:tr w:rsidR="00D631BF" w:rsidRPr="00564143" w14:paraId="13A77A8C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30B62EA1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8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58279BDF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[49]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02939B7F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564143">
              <w:rPr>
                <w:rFonts w:ascii="Times New Roman" w:hAnsi="Times New Roman" w:cs="Times New Roman"/>
                <w:i/>
              </w:rPr>
              <w:t>SQAPlanner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>: Generating Data-Informed Software Quality Improvement Plans</w:t>
            </w:r>
          </w:p>
        </w:tc>
        <w:tc>
          <w:tcPr>
            <w:tcW w:w="1559" w:type="dxa"/>
            <w:shd w:val="clear" w:color="auto" w:fill="auto"/>
          </w:tcPr>
          <w:p w14:paraId="73C116AC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2nd April, </w:t>
            </w:r>
          </w:p>
          <w:p w14:paraId="518FC5E3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3B4ADE08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1B15019D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9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0FEB92B8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[27]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5B68568A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Defect Reduction Planning (using </w:t>
            </w:r>
            <w:proofErr w:type="spellStart"/>
            <w:r w:rsidRPr="00564143">
              <w:rPr>
                <w:rFonts w:ascii="Times New Roman" w:hAnsi="Times New Roman" w:cs="Times New Roman"/>
                <w:i/>
              </w:rPr>
              <w:t>TimeLIME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CCCC0BA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5th March, </w:t>
            </w:r>
          </w:p>
          <w:p w14:paraId="660A7C2E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564143">
              <w:rPr>
                <w:rFonts w:ascii="Times New Roman" w:hAnsi="Times New Roman" w:cs="Times New Roman"/>
                <w:b/>
                <w:i/>
              </w:rPr>
              <w:t>2021</w:t>
            </w:r>
          </w:p>
        </w:tc>
      </w:tr>
      <w:tr w:rsidR="00D631BF" w:rsidRPr="00564143" w14:paraId="2F0AF937" w14:textId="77777777" w:rsidTr="00F74523">
        <w:trPr>
          <w:trHeight w:val="514"/>
        </w:trPr>
        <w:tc>
          <w:tcPr>
            <w:tcW w:w="0" w:type="auto"/>
            <w:shd w:val="clear" w:color="auto" w:fill="auto"/>
            <w:vAlign w:val="center"/>
          </w:tcPr>
          <w:p w14:paraId="4234B345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10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7ACE3A26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[7]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5499CD13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564143">
              <w:rPr>
                <w:rFonts w:ascii="Times New Roman" w:hAnsi="Times New Roman" w:cs="Times New Roman"/>
                <w:i/>
              </w:rPr>
              <w:t>JITBot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>: An Explainable Just-In-Time Defect Prediction Bot</w:t>
            </w:r>
          </w:p>
        </w:tc>
        <w:tc>
          <w:tcPr>
            <w:tcW w:w="1559" w:type="dxa"/>
            <w:shd w:val="clear" w:color="auto" w:fill="auto"/>
          </w:tcPr>
          <w:p w14:paraId="2B5D22C0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21st December, 2020</w:t>
            </w:r>
          </w:p>
        </w:tc>
      </w:tr>
      <w:tr w:rsidR="00D631BF" w:rsidRPr="00564143" w14:paraId="0B729B45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5307882C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11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62FFEDFA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[57]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0F59828A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Predicting Software Defects with Explainable Machine Learning</w:t>
            </w:r>
          </w:p>
        </w:tc>
        <w:tc>
          <w:tcPr>
            <w:tcW w:w="1559" w:type="dxa"/>
            <w:shd w:val="clear" w:color="auto" w:fill="auto"/>
          </w:tcPr>
          <w:p w14:paraId="77F19F21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1st December, 2020</w:t>
            </w:r>
          </w:p>
        </w:tc>
      </w:tr>
      <w:tr w:rsidR="00D631BF" w:rsidRPr="00564143" w14:paraId="7856191B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46BB574B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12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1C10BF0D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[29]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497E114A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Predicting Defective Lines Using a Model-Agnostic Technique</w:t>
            </w:r>
          </w:p>
        </w:tc>
        <w:tc>
          <w:tcPr>
            <w:tcW w:w="1559" w:type="dxa"/>
            <w:shd w:val="clear" w:color="auto" w:fill="auto"/>
          </w:tcPr>
          <w:p w14:paraId="046A2D3C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10th September, 2020</w:t>
            </w:r>
          </w:p>
        </w:tc>
      </w:tr>
      <w:tr w:rsidR="00D631BF" w:rsidRPr="00564143" w14:paraId="353A9F49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1A0E177F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13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9A83230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[10]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349A271E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An Empirical Study of Model-Agnostic Techniques for Defect Prediction Models</w:t>
            </w:r>
          </w:p>
        </w:tc>
        <w:tc>
          <w:tcPr>
            <w:tcW w:w="1559" w:type="dxa"/>
            <w:shd w:val="clear" w:color="auto" w:fill="auto"/>
          </w:tcPr>
          <w:p w14:paraId="18DB6EE9" w14:textId="77777777" w:rsidR="00D631BF" w:rsidRPr="00564143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23rd March, 2020</w:t>
            </w:r>
          </w:p>
        </w:tc>
      </w:tr>
      <w:tr w:rsidR="00D631BF" w14:paraId="58F4CAC3" w14:textId="77777777" w:rsidTr="00F74523">
        <w:trPr>
          <w:trHeight w:val="316"/>
        </w:trPr>
        <w:tc>
          <w:tcPr>
            <w:tcW w:w="0" w:type="auto"/>
            <w:shd w:val="clear" w:color="auto" w:fill="auto"/>
            <w:vAlign w:val="center"/>
          </w:tcPr>
          <w:p w14:paraId="24FD87AA" w14:textId="77777777" w:rsidR="00D631BF" w:rsidRPr="00564143" w:rsidRDefault="00D631BF" w:rsidP="00F74523">
            <w:pPr>
              <w:jc w:val="center"/>
            </w:pPr>
            <w:r w:rsidRPr="00564143">
              <w:rPr>
                <w:rFonts w:ascii="Times New Roman" w:hAnsi="Times New Roman" w:cs="Times New Roman"/>
                <w:b/>
              </w:rPr>
              <w:t>S 14</w:t>
            </w:r>
          </w:p>
        </w:tc>
        <w:tc>
          <w:tcPr>
            <w:tcW w:w="1146" w:type="dxa"/>
            <w:shd w:val="clear" w:color="auto" w:fill="auto"/>
            <w:vAlign w:val="center"/>
          </w:tcPr>
          <w:p w14:paraId="2D4A5DED" w14:textId="77777777" w:rsidR="00D631BF" w:rsidRPr="0056414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64143">
              <w:rPr>
                <w:rFonts w:ascii="Times New Roman" w:hAnsi="Times New Roman" w:cs="Times New Roman"/>
                <w:sz w:val="24"/>
              </w:rPr>
              <w:t>[25]</w:t>
            </w:r>
          </w:p>
        </w:tc>
        <w:tc>
          <w:tcPr>
            <w:tcW w:w="7230" w:type="dxa"/>
            <w:shd w:val="clear" w:color="auto" w:fill="auto"/>
            <w:vAlign w:val="center"/>
          </w:tcPr>
          <w:p w14:paraId="1902066C" w14:textId="77777777" w:rsidR="00D631BF" w:rsidRPr="00564143" w:rsidRDefault="00D631BF" w:rsidP="00F74523">
            <w:pPr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 xml:space="preserve">How to Improve AI Tools (by Adding in SE Knowledge): Experiments with the </w:t>
            </w:r>
            <w:proofErr w:type="spellStart"/>
            <w:r w:rsidRPr="00564143">
              <w:rPr>
                <w:rFonts w:ascii="Times New Roman" w:hAnsi="Times New Roman" w:cs="Times New Roman"/>
                <w:i/>
              </w:rPr>
              <w:t>TimeLIME</w:t>
            </w:r>
            <w:proofErr w:type="spellEnd"/>
            <w:r w:rsidRPr="00564143">
              <w:rPr>
                <w:rFonts w:ascii="Times New Roman" w:hAnsi="Times New Roman" w:cs="Times New Roman"/>
                <w:i/>
              </w:rPr>
              <w:t xml:space="preserve"> Defect Reduction Tool</w:t>
            </w:r>
          </w:p>
        </w:tc>
        <w:tc>
          <w:tcPr>
            <w:tcW w:w="1559" w:type="dxa"/>
            <w:shd w:val="clear" w:color="auto" w:fill="auto"/>
          </w:tcPr>
          <w:p w14:paraId="7DBD0EFC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64143">
              <w:rPr>
                <w:rFonts w:ascii="Times New Roman" w:hAnsi="Times New Roman" w:cs="Times New Roman"/>
                <w:i/>
              </w:rPr>
              <w:t>15th March, 2020</w:t>
            </w:r>
          </w:p>
        </w:tc>
      </w:tr>
    </w:tbl>
    <w:p w14:paraId="4213865D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02166A5E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30FB3DB0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B: </w:t>
      </w:r>
      <w:r>
        <w:rPr>
          <w:rFonts w:ascii="Times New Roman" w:hAnsi="Times New Roman" w:cs="Times New Roman"/>
          <w:sz w:val="24"/>
        </w:rPr>
        <w:t>Table 9</w:t>
      </w:r>
      <w:r w:rsidRPr="00EE2696">
        <w:rPr>
          <w:rFonts w:ascii="Times New Roman" w:hAnsi="Times New Roman" w:cs="Times New Roman"/>
          <w:sz w:val="24"/>
        </w:rPr>
        <w:t>. List of the selected studies in the Finance domain</w:t>
      </w:r>
    </w:p>
    <w:p w14:paraId="317A62DB" w14:textId="77777777" w:rsidR="00D631BF" w:rsidRPr="00EE2696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shd w:val="clear" w:color="auto" w:fill="EDEDED" w:themeFill="accent3" w:themeFillTint="33"/>
        <w:tblLook w:val="04A0" w:firstRow="1" w:lastRow="0" w:firstColumn="1" w:lastColumn="0" w:noHBand="0" w:noVBand="1"/>
      </w:tblPr>
      <w:tblGrid>
        <w:gridCol w:w="703"/>
        <w:gridCol w:w="1098"/>
        <w:gridCol w:w="7549"/>
      </w:tblGrid>
      <w:tr w:rsidR="00D631BF" w:rsidRPr="00994353" w14:paraId="228209C8" w14:textId="77777777" w:rsidTr="00F74523">
        <w:tc>
          <w:tcPr>
            <w:tcW w:w="703" w:type="dxa"/>
            <w:shd w:val="clear" w:color="auto" w:fill="EDEDED" w:themeFill="accent3" w:themeFillTint="33"/>
          </w:tcPr>
          <w:p w14:paraId="3F2F34D7" w14:textId="77777777" w:rsidR="00D631BF" w:rsidRPr="00994353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1115" w:type="dxa"/>
            <w:shd w:val="clear" w:color="auto" w:fill="EDEDED" w:themeFill="accent3" w:themeFillTint="33"/>
          </w:tcPr>
          <w:p w14:paraId="110AE850" w14:textId="77777777" w:rsidR="00D631BF" w:rsidRPr="00994353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Ref. No.</w:t>
            </w:r>
          </w:p>
        </w:tc>
        <w:tc>
          <w:tcPr>
            <w:tcW w:w="7758" w:type="dxa"/>
            <w:shd w:val="clear" w:color="auto" w:fill="EDEDED" w:themeFill="accent3" w:themeFillTint="33"/>
          </w:tcPr>
          <w:p w14:paraId="6A7EEE1F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Title of the research study</w:t>
            </w:r>
          </w:p>
        </w:tc>
      </w:tr>
      <w:tr w:rsidR="00D631BF" w:rsidRPr="00994353" w14:paraId="5BB5F0A3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71BE146C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24225A1D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[21]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54E7CD25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Machine learning algorithms for fraud prediction in property insurance: Empirical evidence using real-world microdata</w:t>
            </w:r>
          </w:p>
        </w:tc>
      </w:tr>
      <w:tr w:rsidR="00D631BF" w:rsidRPr="00994353" w14:paraId="31319CA0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6DDD8224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2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65D6929E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[19]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73C394D5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Infusing domain knowledge in AI-based “black box” models for better </w:t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explainability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with application in bankruptcy prediction</w:t>
            </w:r>
          </w:p>
        </w:tc>
      </w:tr>
      <w:tr w:rsidR="00D631BF" w:rsidRPr="00994353" w14:paraId="764D6264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575279AB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3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12128345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[20]</w:t>
            </w:r>
          </w:p>
        </w:tc>
        <w:tc>
          <w:tcPr>
            <w:tcW w:w="7758" w:type="dxa"/>
            <w:shd w:val="clear" w:color="auto" w:fill="EDEDED" w:themeFill="accent3" w:themeFillTint="33"/>
            <w:vAlign w:val="bottom"/>
          </w:tcPr>
          <w:p w14:paraId="6B42A1FD" w14:textId="77777777" w:rsidR="00D631BF" w:rsidRPr="00994353" w:rsidRDefault="00D631BF" w:rsidP="00F74523">
            <w:pPr>
              <w:tabs>
                <w:tab w:val="left" w:pos="2685"/>
              </w:tabs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AI IN CREDIT RISK MANAGEMENT</w:t>
            </w:r>
          </w:p>
        </w:tc>
      </w:tr>
      <w:tr w:rsidR="00D631BF" w:rsidRPr="00994353" w14:paraId="50D39204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11C47D5C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4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3A09DC9B" w14:textId="77777777" w:rsidR="00D631BF" w:rsidRPr="00994353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[22]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27610A44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Arti</w:t>
            </w: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br w:type="page"/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ficial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Intelligence for Customer Churning Prediction in Banking?</w:t>
            </w:r>
          </w:p>
        </w:tc>
      </w:tr>
      <w:tr w:rsidR="00D631BF" w:rsidRPr="00994353" w14:paraId="7C06488D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5F958FF3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5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07C037B8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[23]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74264A88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Transparency, auditability, and </w:t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explainability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of machine learning models in credit scoring</w:t>
            </w:r>
          </w:p>
        </w:tc>
      </w:tr>
      <w:tr w:rsidR="00D631BF" w:rsidRPr="00994353" w14:paraId="6F2F8580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181A40E3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6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4237FB16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[59]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78A864CA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Customer churn analysis in banking sector: Evidence from explainable machine learning models</w:t>
            </w:r>
          </w:p>
        </w:tc>
      </w:tr>
      <w:tr w:rsidR="00D631BF" w:rsidRPr="00994353" w14:paraId="1BED4F5D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0D2183E7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7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59CDE6E5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[60]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4B1FBEF3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AI in Fintech Risk Management</w:t>
            </w:r>
          </w:p>
        </w:tc>
      </w:tr>
      <w:tr w:rsidR="00D631BF" w:rsidRPr="00994353" w14:paraId="589DA6F7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7A0A6984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8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7C7ED8C6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[61]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294F0C75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Financial Risk Management and Explainable, Trustworthy, Responsible AI</w:t>
            </w:r>
          </w:p>
        </w:tc>
      </w:tr>
      <w:tr w:rsidR="00D631BF" w:rsidRPr="00994353" w14:paraId="3A5C41AA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331B2FFE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9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350CEA15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[62]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4B7CF40E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Towards Explainable Machine Learning for Bank Churn Prediction Using Data</w:t>
            </w:r>
          </w:p>
          <w:p w14:paraId="13ABA16B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Balancing and Ensemble-Based Methods</w:t>
            </w:r>
          </w:p>
        </w:tc>
      </w:tr>
      <w:tr w:rsidR="00D631BF" w:rsidRPr="00994353" w14:paraId="700F5FAE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004FEEA7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10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1583329F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[63]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6539A8D8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artificial intelligence modeling for corporate social responsibility and financial performance</w:t>
            </w:r>
          </w:p>
        </w:tc>
      </w:tr>
      <w:tr w:rsidR="00D631BF" w:rsidRPr="00994353" w14:paraId="6DFFC9F1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18D69A3D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11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7BE7CBBB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[64]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067FC045" w14:textId="77777777" w:rsidR="00D631BF" w:rsidRPr="00994353" w:rsidRDefault="00D631BF" w:rsidP="00F745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Investigating </w:t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Explainability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Methods in Recurrent Neural Network Architectures for Financial Time Series Data</w:t>
            </w:r>
          </w:p>
        </w:tc>
      </w:tr>
      <w:tr w:rsidR="00D631BF" w:rsidRPr="00994353" w14:paraId="1F0CB029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08F30935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12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6EB4E408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[65]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2C9D0670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AI (XAI) models applied to planning in financial markets</w:t>
            </w:r>
          </w:p>
        </w:tc>
      </w:tr>
      <w:tr w:rsidR="00D631BF" w:rsidRPr="00994353" w14:paraId="6EA56E81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44CED495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13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4DBE411A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[66]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16D46EA5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AN EXPLANATION FRAMEWORK FOR INTERPRETABLE CREDIT SCORING</w:t>
            </w:r>
          </w:p>
        </w:tc>
      </w:tr>
      <w:tr w:rsidR="00D631BF" w:rsidRPr="00994353" w14:paraId="5CC3DC72" w14:textId="77777777" w:rsidTr="00F74523">
        <w:tc>
          <w:tcPr>
            <w:tcW w:w="703" w:type="dxa"/>
            <w:shd w:val="clear" w:color="auto" w:fill="EDEDED" w:themeFill="accent3" w:themeFillTint="33"/>
            <w:vAlign w:val="center"/>
          </w:tcPr>
          <w:p w14:paraId="5B8D3E67" w14:textId="77777777" w:rsidR="00D631BF" w:rsidRPr="00994353" w:rsidRDefault="00D631BF" w:rsidP="00F745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F 14</w:t>
            </w:r>
          </w:p>
        </w:tc>
        <w:tc>
          <w:tcPr>
            <w:tcW w:w="1115" w:type="dxa"/>
            <w:shd w:val="clear" w:color="auto" w:fill="EDEDED" w:themeFill="accent3" w:themeFillTint="33"/>
            <w:vAlign w:val="center"/>
          </w:tcPr>
          <w:p w14:paraId="549FD2DA" w14:textId="77777777" w:rsidR="00D631BF" w:rsidRPr="00994353" w:rsidRDefault="00D631BF" w:rsidP="00F74523">
            <w:pPr>
              <w:jc w:val="center"/>
              <w:rPr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[67]</w:t>
            </w:r>
          </w:p>
        </w:tc>
        <w:tc>
          <w:tcPr>
            <w:tcW w:w="7758" w:type="dxa"/>
            <w:shd w:val="clear" w:color="auto" w:fill="EDEDED" w:themeFill="accent3" w:themeFillTint="33"/>
            <w:vAlign w:val="center"/>
          </w:tcPr>
          <w:p w14:paraId="1268E272" w14:textId="77777777" w:rsidR="00D631BF" w:rsidRPr="00994353" w:rsidRDefault="00D631BF" w:rsidP="00F74523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Machine Learning in Credit Risk Management</w:t>
            </w:r>
          </w:p>
        </w:tc>
      </w:tr>
    </w:tbl>
    <w:p w14:paraId="60ECE19F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7A98734A" w14:textId="77777777" w:rsidR="00D631BF" w:rsidRDefault="00D631BF" w:rsidP="00D631BF"/>
    <w:p w14:paraId="458BD89E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2101ED42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25CF6128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6434C90C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61F7B7DE" w14:textId="77777777" w:rsidR="00D631BF" w:rsidRPr="00EE2696" w:rsidRDefault="00D631BF" w:rsidP="00D631BF">
      <w:pPr>
        <w:tabs>
          <w:tab w:val="left" w:pos="2685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C: </w:t>
      </w:r>
      <w:r>
        <w:rPr>
          <w:rFonts w:ascii="Times New Roman" w:hAnsi="Times New Roman" w:cs="Times New Roman"/>
          <w:sz w:val="24"/>
        </w:rPr>
        <w:t>Table 10.</w:t>
      </w:r>
      <w:r w:rsidRPr="00EE2696">
        <w:rPr>
          <w:rFonts w:ascii="Times New Roman" w:hAnsi="Times New Roman" w:cs="Times New Roman"/>
          <w:sz w:val="24"/>
        </w:rPr>
        <w:t xml:space="preserve"> List of the selected studies in the Healthcare Domain</w:t>
      </w:r>
    </w:p>
    <w:tbl>
      <w:tblPr>
        <w:tblStyle w:val="TableGrid"/>
        <w:tblpPr w:leftFromText="180" w:rightFromText="180" w:vertAnchor="page" w:horzAnchor="margin" w:tblpY="2054"/>
        <w:tblW w:w="4867" w:type="pct"/>
        <w:tblLayout w:type="fixed"/>
        <w:tblLook w:val="04A0" w:firstRow="1" w:lastRow="0" w:firstColumn="1" w:lastColumn="0" w:noHBand="0" w:noVBand="1"/>
      </w:tblPr>
      <w:tblGrid>
        <w:gridCol w:w="809"/>
        <w:gridCol w:w="968"/>
        <w:gridCol w:w="7324"/>
      </w:tblGrid>
      <w:tr w:rsidR="00A8720D" w:rsidRPr="00994353" w14:paraId="1B6CA5F4" w14:textId="77777777" w:rsidTr="00A8720D">
        <w:trPr>
          <w:trHeight w:val="410"/>
        </w:trPr>
        <w:tc>
          <w:tcPr>
            <w:tcW w:w="444" w:type="pct"/>
            <w:shd w:val="clear" w:color="auto" w:fill="FBE4D5" w:themeFill="accent2" w:themeFillTint="33"/>
            <w:vAlign w:val="center"/>
          </w:tcPr>
          <w:p w14:paraId="274C63B0" w14:textId="77777777" w:rsidR="00A8720D" w:rsidRPr="00994353" w:rsidRDefault="00A8720D" w:rsidP="00A87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389916DA" w14:textId="77777777" w:rsidR="00A8720D" w:rsidRPr="00994353" w:rsidRDefault="00A8720D" w:rsidP="00A87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Ref. No.</w:t>
            </w:r>
          </w:p>
        </w:tc>
        <w:tc>
          <w:tcPr>
            <w:tcW w:w="4024" w:type="pct"/>
            <w:shd w:val="clear" w:color="auto" w:fill="FBE4D5" w:themeFill="accent2" w:themeFillTint="33"/>
            <w:vAlign w:val="center"/>
          </w:tcPr>
          <w:p w14:paraId="640E80B6" w14:textId="77777777" w:rsidR="00A8720D" w:rsidRPr="00994353" w:rsidRDefault="00A8720D" w:rsidP="00A8720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Title of the research study</w:t>
            </w:r>
          </w:p>
        </w:tc>
      </w:tr>
      <w:tr w:rsidR="00A8720D" w:rsidRPr="00994353" w14:paraId="3BC1C63D" w14:textId="77777777" w:rsidTr="00A8720D">
        <w:trPr>
          <w:trHeight w:val="841"/>
        </w:trPr>
        <w:tc>
          <w:tcPr>
            <w:tcW w:w="444" w:type="pct"/>
            <w:shd w:val="clear" w:color="auto" w:fill="FBE4D5" w:themeFill="accent2" w:themeFillTint="33"/>
            <w:vAlign w:val="center"/>
          </w:tcPr>
          <w:p w14:paraId="32274155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27021C7E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[13]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170BD39C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Opportunistic Assessment of Ischemic Heart Disease Risk Using Abdominopelvic Computed Tomography and Medical Record Data: </w:t>
            </w:r>
            <w:proofErr w:type="gram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a</w:t>
            </w:r>
            <w:proofErr w:type="gram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Multimodal Explainable Artificial Intelligence Approach</w:t>
            </w:r>
          </w:p>
        </w:tc>
      </w:tr>
      <w:tr w:rsidR="00A8720D" w:rsidRPr="00994353" w14:paraId="3886E555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13DEDF57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2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682AC387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[11]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4B9BF15A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Shape-Based Breast Lesion Classification Using Digital Tomosynthesis Images: The Role of Explainable Artificial Intelligence</w:t>
            </w:r>
          </w:p>
        </w:tc>
      </w:tr>
      <w:tr w:rsidR="00A8720D" w:rsidRPr="00994353" w14:paraId="38B46167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2A18CD57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3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148A45D2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[14]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17A53A25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Medical Professional Enhancement Using Explainable Artificial Intelligence in Fetal Cardiac Ultrasound Screening</w:t>
            </w:r>
          </w:p>
        </w:tc>
      </w:tr>
      <w:tr w:rsidR="00A8720D" w:rsidRPr="00994353" w14:paraId="4534E09A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7B097C97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4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35FD9455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[15]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5C3054DF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Artificial Intelligence (XAI) in Biomedicine: Making AI Decisions Trustworthy for Physicians and Patients</w:t>
            </w:r>
          </w:p>
        </w:tc>
      </w:tr>
      <w:tr w:rsidR="00A8720D" w:rsidRPr="00994353" w14:paraId="0AA6AEA6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18995BE0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5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4E665161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[16]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464CC823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Development and validation of explainable AI-based </w:t>
            </w:r>
            <w:proofErr w:type="spellStart"/>
            <w:proofErr w:type="gram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decisionsupporting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tool</w:t>
            </w:r>
            <w:proofErr w:type="gram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for prostate biopsy</w:t>
            </w:r>
          </w:p>
        </w:tc>
      </w:tr>
      <w:tr w:rsidR="00A8720D" w:rsidRPr="00994353" w14:paraId="62879370" w14:textId="77777777" w:rsidTr="00A8720D">
        <w:trPr>
          <w:trHeight w:val="357"/>
        </w:trPr>
        <w:tc>
          <w:tcPr>
            <w:tcW w:w="444" w:type="pct"/>
            <w:shd w:val="clear" w:color="auto" w:fill="FBE4D5" w:themeFill="accent2" w:themeFillTint="33"/>
            <w:vAlign w:val="center"/>
          </w:tcPr>
          <w:p w14:paraId="3786D82B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6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4B1FB67F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[17]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1AA90DEA" w14:textId="77777777" w:rsidR="00A8720D" w:rsidRPr="00994353" w:rsidRDefault="00A8720D" w:rsidP="00A8720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An Explainable Artificial Intelligence Predictor </w:t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forEarly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Detection of Sepsis</w:t>
            </w:r>
          </w:p>
        </w:tc>
      </w:tr>
      <w:tr w:rsidR="00A8720D" w:rsidRPr="00994353" w14:paraId="38052420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063009D5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7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7BF5D132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[58]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20675A6F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Artificial Intelligence Helps in Understanding the Effect of Fibronectin on Survival of Sepsis</w:t>
            </w:r>
          </w:p>
        </w:tc>
      </w:tr>
      <w:tr w:rsidR="00A8720D" w:rsidRPr="00994353" w14:paraId="4431298B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3847A443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8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2F756081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[50]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4503F740" w14:textId="77777777" w:rsidR="00A8720D" w:rsidRPr="00994353" w:rsidRDefault="00A8720D" w:rsidP="00A87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The Enlightening Role of Explainable Artificial Intelligence in Chronic Wound Classification</w:t>
            </w:r>
          </w:p>
        </w:tc>
      </w:tr>
      <w:tr w:rsidR="00A8720D" w:rsidRPr="00994353" w14:paraId="6A39F3ED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2D13846D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9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60CC15A6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[51]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10676929" w14:textId="77777777" w:rsidR="00A8720D" w:rsidRPr="00994353" w:rsidRDefault="00A8720D" w:rsidP="00A8720D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Applications of Explainable Artificial Intelligence in Diagnosis and Surgery</w:t>
            </w:r>
          </w:p>
        </w:tc>
      </w:tr>
      <w:tr w:rsidR="00A8720D" w:rsidRPr="00994353" w14:paraId="2ED361C4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4C4FC77A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10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2BA4813E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[52]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60FEECE8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Explainable_Artificial_Intelligence_Based_Framework_for_</w:t>
            </w:r>
            <w:proofErr w:type="gram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Non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Communicable</w:t>
            </w:r>
            <w:proofErr w:type="gram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_Diseases _Prediction</w:t>
            </w:r>
          </w:p>
        </w:tc>
      </w:tr>
      <w:tr w:rsidR="00A8720D" w:rsidRPr="00994353" w14:paraId="439C0A97" w14:textId="77777777" w:rsidTr="00A8720D">
        <w:trPr>
          <w:trHeight w:val="587"/>
        </w:trPr>
        <w:tc>
          <w:tcPr>
            <w:tcW w:w="444" w:type="pct"/>
            <w:shd w:val="clear" w:color="auto" w:fill="FBE4D5" w:themeFill="accent2" w:themeFillTint="33"/>
            <w:vAlign w:val="center"/>
          </w:tcPr>
          <w:p w14:paraId="7E5A5BBD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11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6B7E630F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[53]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6AAB2AF6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Explainable Machine Learning Approach as a Tool to Understand Factors Used to Select the Refractive Surgery Technique on the Expert Level</w:t>
            </w:r>
          </w:p>
        </w:tc>
      </w:tr>
      <w:tr w:rsidR="00A8720D" w:rsidRPr="00994353" w14:paraId="4ED24393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544F19EC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12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79A24F1E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[54]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62C230AD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Explainable machine-learning predictions for the prevention of </w:t>
            </w:r>
            <w:proofErr w:type="spellStart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hypoxaemia</w:t>
            </w:r>
            <w:proofErr w:type="spellEnd"/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during surgery</w:t>
            </w:r>
          </w:p>
        </w:tc>
      </w:tr>
      <w:tr w:rsidR="00A8720D" w:rsidRPr="00994353" w14:paraId="300757B9" w14:textId="77777777" w:rsidTr="00A8720D">
        <w:trPr>
          <w:trHeight w:val="547"/>
        </w:trPr>
        <w:tc>
          <w:tcPr>
            <w:tcW w:w="444" w:type="pct"/>
            <w:shd w:val="clear" w:color="auto" w:fill="FBE4D5" w:themeFill="accent2" w:themeFillTint="33"/>
            <w:vAlign w:val="center"/>
          </w:tcPr>
          <w:p w14:paraId="7377395D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13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3FE09241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[55]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2557AFFE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Classification and Automated Interpretation of Spinal Posture Data Using a Pathology-Independent Classifier and Explainable Artificial Intelligence (XAI)</w:t>
            </w:r>
          </w:p>
        </w:tc>
      </w:tr>
      <w:tr w:rsidR="00A8720D" w:rsidRPr="00994353" w14:paraId="5864513E" w14:textId="77777777" w:rsidTr="00A8720D">
        <w:tc>
          <w:tcPr>
            <w:tcW w:w="444" w:type="pct"/>
            <w:shd w:val="clear" w:color="auto" w:fill="FBE4D5" w:themeFill="accent2" w:themeFillTint="33"/>
            <w:vAlign w:val="center"/>
          </w:tcPr>
          <w:p w14:paraId="24BD33BE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b/>
                <w:sz w:val="24"/>
                <w:szCs w:val="24"/>
              </w:rPr>
              <w:t>H 14</w:t>
            </w:r>
          </w:p>
        </w:tc>
        <w:tc>
          <w:tcPr>
            <w:tcW w:w="532" w:type="pct"/>
            <w:shd w:val="clear" w:color="auto" w:fill="FBE4D5" w:themeFill="accent2" w:themeFillTint="33"/>
            <w:vAlign w:val="center"/>
          </w:tcPr>
          <w:p w14:paraId="0976CA35" w14:textId="77777777" w:rsidR="00A8720D" w:rsidRPr="00994353" w:rsidRDefault="00A8720D" w:rsidP="00A87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sz w:val="24"/>
                <w:szCs w:val="24"/>
              </w:rPr>
              <w:t>[56]</w:t>
            </w:r>
          </w:p>
        </w:tc>
        <w:tc>
          <w:tcPr>
            <w:tcW w:w="4024" w:type="pct"/>
            <w:shd w:val="clear" w:color="auto" w:fill="FBE4D5" w:themeFill="accent2" w:themeFillTint="33"/>
          </w:tcPr>
          <w:p w14:paraId="2D37FFFD" w14:textId="77777777" w:rsidR="00A8720D" w:rsidRPr="00994353" w:rsidRDefault="00A8720D" w:rsidP="00A872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94353">
              <w:rPr>
                <w:rFonts w:ascii="Times New Roman" w:hAnsi="Times New Roman" w:cs="Times New Roman"/>
                <w:i/>
                <w:sz w:val="24"/>
                <w:szCs w:val="24"/>
              </w:rPr>
              <w:t>A Practical guide on Explainable AI Techniques applied on Biomedical use case Applications</w:t>
            </w:r>
          </w:p>
        </w:tc>
      </w:tr>
    </w:tbl>
    <w:p w14:paraId="393873EE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1797CE7E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24D44301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7951FE8B" w14:textId="77777777" w:rsidR="00A8720D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70534F29" w14:textId="4710D83F" w:rsidR="00A8720D" w:rsidRPr="002B6BF6" w:rsidRDefault="00A8720D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D: </w:t>
      </w:r>
      <w:r>
        <w:rPr>
          <w:rFonts w:ascii="Times New Roman" w:hAnsi="Times New Roman" w:cs="Times New Roman"/>
          <w:sz w:val="24"/>
        </w:rPr>
        <w:t>Table 11.</w:t>
      </w:r>
      <w:r>
        <w:rPr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number of missing and the same research articles between our SLR and </w:t>
      </w:r>
      <w:proofErr w:type="spellStart"/>
      <w:r>
        <w:rPr>
          <w:rFonts w:ascii="Times New Roman" w:hAnsi="Times New Roman" w:cs="Times New Roman"/>
          <w:sz w:val="24"/>
        </w:rPr>
        <w:t>Mohammadkhani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et al.[</w:t>
      </w:r>
      <w:proofErr w:type="gramEnd"/>
      <w:r>
        <w:rPr>
          <w:rFonts w:ascii="Times New Roman" w:hAnsi="Times New Roman" w:cs="Times New Roman"/>
          <w:sz w:val="24"/>
        </w:rPr>
        <w:t>46]</w:t>
      </w:r>
    </w:p>
    <w:tbl>
      <w:tblPr>
        <w:tblStyle w:val="TableGrid"/>
        <w:tblW w:w="10548" w:type="dxa"/>
        <w:tblInd w:w="-450" w:type="dxa"/>
        <w:tblLook w:val="04A0" w:firstRow="1" w:lastRow="0" w:firstColumn="1" w:lastColumn="0" w:noHBand="0" w:noVBand="1"/>
      </w:tblPr>
      <w:tblGrid>
        <w:gridCol w:w="456"/>
        <w:gridCol w:w="5853"/>
        <w:gridCol w:w="4239"/>
      </w:tblGrid>
      <w:tr w:rsidR="00D631BF" w14:paraId="3FE21775" w14:textId="77777777" w:rsidTr="00F74523">
        <w:tc>
          <w:tcPr>
            <w:tcW w:w="456" w:type="dxa"/>
            <w:shd w:val="clear" w:color="auto" w:fill="BFBFBF" w:themeFill="background1" w:themeFillShade="BF"/>
          </w:tcPr>
          <w:p w14:paraId="795F2ABC" w14:textId="77777777" w:rsidR="00D631BF" w:rsidRDefault="00D631BF" w:rsidP="00F74523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S.</w:t>
            </w:r>
          </w:p>
          <w:p w14:paraId="5E311A09" w14:textId="77777777" w:rsidR="00D631BF" w:rsidRDefault="00D631BF" w:rsidP="00F74523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#</w:t>
            </w:r>
          </w:p>
          <w:p w14:paraId="52F755B3" w14:textId="77777777" w:rsidR="00A8720D" w:rsidRDefault="00A8720D" w:rsidP="00F74523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5853" w:type="dxa"/>
            <w:shd w:val="clear" w:color="auto" w:fill="BFBFBF" w:themeFill="background1" w:themeFillShade="BF"/>
          </w:tcPr>
          <w:p w14:paraId="759F980E" w14:textId="77777777" w:rsidR="00D631BF" w:rsidRDefault="00D631BF" w:rsidP="00F74523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Missing Research Studies in </w:t>
            </w:r>
            <w:proofErr w:type="spellStart"/>
            <w:r>
              <w:rPr>
                <w:rFonts w:ascii="Times New Roman" w:hAnsi="Times New Roman" w:cs="Times New Roman"/>
                <w:b/>
                <w:szCs w:val="24"/>
              </w:rPr>
              <w:t>Mohammadkhani</w:t>
            </w:r>
            <w:proofErr w:type="spellEnd"/>
            <w:r>
              <w:rPr>
                <w:rFonts w:ascii="Times New Roman" w:hAnsi="Times New Roman" w:cs="Times New Roman"/>
                <w:b/>
                <w:szCs w:val="24"/>
              </w:rPr>
              <w:t xml:space="preserve"> et al.</w:t>
            </w:r>
          </w:p>
        </w:tc>
        <w:tc>
          <w:tcPr>
            <w:tcW w:w="4239" w:type="dxa"/>
            <w:shd w:val="clear" w:color="auto" w:fill="BFBFBF" w:themeFill="background1" w:themeFillShade="BF"/>
          </w:tcPr>
          <w:p w14:paraId="06993DBC" w14:textId="77777777" w:rsidR="00D631BF" w:rsidRDefault="00D631BF" w:rsidP="00F74523">
            <w:pPr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Same Research Studies</w:t>
            </w:r>
          </w:p>
        </w:tc>
      </w:tr>
      <w:tr w:rsidR="00D631BF" w14:paraId="584A06AB" w14:textId="77777777" w:rsidTr="00F74523">
        <w:tc>
          <w:tcPr>
            <w:tcW w:w="456" w:type="dxa"/>
            <w:vAlign w:val="center"/>
          </w:tcPr>
          <w:p w14:paraId="5FAACC41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53" w:type="dxa"/>
          </w:tcPr>
          <w:p w14:paraId="366AB0E8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 Empirical Study of Model-Agnostic Techniques for Defect Prediction Models</w:t>
            </w:r>
          </w:p>
        </w:tc>
        <w:tc>
          <w:tcPr>
            <w:tcW w:w="4239" w:type="dxa"/>
            <w:shd w:val="clear" w:color="auto" w:fill="D9D9D9" w:themeFill="background1" w:themeFillShade="D9"/>
          </w:tcPr>
          <w:p w14:paraId="36117F36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PyExplainer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Explaining the Predictions of Just-In-Time Defect Models</w:t>
            </w:r>
          </w:p>
        </w:tc>
      </w:tr>
      <w:tr w:rsidR="00D631BF" w14:paraId="008F4954" w14:textId="77777777" w:rsidTr="00F74523">
        <w:tc>
          <w:tcPr>
            <w:tcW w:w="456" w:type="dxa"/>
            <w:vAlign w:val="center"/>
          </w:tcPr>
          <w:p w14:paraId="2AEEB5F9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53" w:type="dxa"/>
          </w:tcPr>
          <w:p w14:paraId="22C7E1DB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 Empirical Study of Model-Agnostic Interpretation Technique for Just-in-Time Software Defect Prediction</w:t>
            </w:r>
          </w:p>
        </w:tc>
        <w:tc>
          <w:tcPr>
            <w:tcW w:w="4239" w:type="dxa"/>
            <w:shd w:val="clear" w:color="auto" w:fill="D9D9D9" w:themeFill="background1" w:themeFillShade="D9"/>
          </w:tcPr>
          <w:p w14:paraId="69306493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Predicting Defective Lines Using a Model-Agnostic Technique</w:t>
            </w:r>
          </w:p>
        </w:tc>
      </w:tr>
      <w:tr w:rsidR="00D631BF" w14:paraId="3C856B51" w14:textId="77777777" w:rsidTr="00F74523">
        <w:tc>
          <w:tcPr>
            <w:tcW w:w="456" w:type="dxa"/>
            <w:vAlign w:val="center"/>
          </w:tcPr>
          <w:p w14:paraId="13FCBA8A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3" w:type="dxa"/>
            <w:vAlign w:val="center"/>
          </w:tcPr>
          <w:p w14:paraId="618CFB40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Defect Reduction Planning (using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TimeLIME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39" w:type="dxa"/>
            <w:shd w:val="clear" w:color="auto" w:fill="D9D9D9" w:themeFill="background1" w:themeFillShade="D9"/>
          </w:tcPr>
          <w:p w14:paraId="788FB7A7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JITLine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A Simpler, Better, Faster, Finer-grained Just-In-Time Defect Prediction</w:t>
            </w:r>
          </w:p>
        </w:tc>
      </w:tr>
      <w:tr w:rsidR="00D631BF" w14:paraId="0F6F751A" w14:textId="77777777" w:rsidTr="00F74523">
        <w:tc>
          <w:tcPr>
            <w:tcW w:w="456" w:type="dxa"/>
            <w:vAlign w:val="center"/>
          </w:tcPr>
          <w:p w14:paraId="6572E0C2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53" w:type="dxa"/>
            <w:vAlign w:val="center"/>
          </w:tcPr>
          <w:p w14:paraId="0325669F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Explainable Just-In-Time Bug Prediction: Are We There Yet?</w:t>
            </w:r>
          </w:p>
        </w:tc>
        <w:tc>
          <w:tcPr>
            <w:tcW w:w="4239" w:type="dxa"/>
            <w:shd w:val="clear" w:color="auto" w:fill="D9D9D9" w:themeFill="background1" w:themeFillShade="D9"/>
          </w:tcPr>
          <w:p w14:paraId="4CDE83B4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Just-in-Time Defect Prediction Technology based on Interpretability Technology</w:t>
            </w:r>
          </w:p>
        </w:tc>
      </w:tr>
      <w:tr w:rsidR="00D631BF" w14:paraId="3085F09F" w14:textId="77777777" w:rsidTr="00F74523">
        <w:tc>
          <w:tcPr>
            <w:tcW w:w="456" w:type="dxa"/>
            <w:vAlign w:val="center"/>
          </w:tcPr>
          <w:p w14:paraId="41EC0F5B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3" w:type="dxa"/>
          </w:tcPr>
          <w:p w14:paraId="1815F6A5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Explainable Software Defect Prediction: Are We There Yet?</w:t>
            </w:r>
          </w:p>
        </w:tc>
        <w:tc>
          <w:tcPr>
            <w:tcW w:w="4239" w:type="dxa"/>
          </w:tcPr>
          <w:p w14:paraId="1DA3D097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  <w:tr w:rsidR="00D631BF" w14:paraId="08ABE39D" w14:textId="77777777" w:rsidTr="00F74523">
        <w:tc>
          <w:tcPr>
            <w:tcW w:w="456" w:type="dxa"/>
            <w:vAlign w:val="center"/>
          </w:tcPr>
          <w:p w14:paraId="1D6CCD58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53" w:type="dxa"/>
          </w:tcPr>
          <w:p w14:paraId="720E6AAE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Evaluating the effectiveness of local explanation methods on source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codebased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defect prediction models</w:t>
            </w:r>
          </w:p>
        </w:tc>
        <w:tc>
          <w:tcPr>
            <w:tcW w:w="4239" w:type="dxa"/>
          </w:tcPr>
          <w:p w14:paraId="2E1F7A84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  <w:tr w:rsidR="00D631BF" w14:paraId="32F74CBA" w14:textId="77777777" w:rsidTr="00F74523">
        <w:tc>
          <w:tcPr>
            <w:tcW w:w="456" w:type="dxa"/>
            <w:vAlign w:val="center"/>
          </w:tcPr>
          <w:p w14:paraId="4547A05A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3" w:type="dxa"/>
          </w:tcPr>
          <w:p w14:paraId="67DF7DE0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Predicting Software Defects with Explainable Machine Learning</w:t>
            </w:r>
          </w:p>
        </w:tc>
        <w:tc>
          <w:tcPr>
            <w:tcW w:w="4239" w:type="dxa"/>
          </w:tcPr>
          <w:p w14:paraId="03ECEAC5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  <w:tr w:rsidR="00D631BF" w14:paraId="40137AC3" w14:textId="77777777" w:rsidTr="00F74523">
        <w:tc>
          <w:tcPr>
            <w:tcW w:w="456" w:type="dxa"/>
            <w:vAlign w:val="center"/>
          </w:tcPr>
          <w:p w14:paraId="54474825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3" w:type="dxa"/>
          </w:tcPr>
          <w:p w14:paraId="4DA7A5B5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SQAPlanner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Generating Data-Informed Software Quality Improvement Plans</w:t>
            </w:r>
          </w:p>
        </w:tc>
        <w:tc>
          <w:tcPr>
            <w:tcW w:w="4239" w:type="dxa"/>
          </w:tcPr>
          <w:p w14:paraId="338CEAAB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  <w:tr w:rsidR="00D631BF" w14:paraId="66CF06A1" w14:textId="77777777" w:rsidTr="00F74523">
        <w:tc>
          <w:tcPr>
            <w:tcW w:w="456" w:type="dxa"/>
            <w:vAlign w:val="center"/>
          </w:tcPr>
          <w:p w14:paraId="4659601C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3" w:type="dxa"/>
          </w:tcPr>
          <w:p w14:paraId="6DC8E0C5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JITBot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An Explainable Just-In-Time Defect Prediction Bot</w:t>
            </w:r>
          </w:p>
        </w:tc>
        <w:tc>
          <w:tcPr>
            <w:tcW w:w="4239" w:type="dxa"/>
          </w:tcPr>
          <w:p w14:paraId="4E63D429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  <w:tr w:rsidR="00D631BF" w14:paraId="079AED60" w14:textId="77777777" w:rsidTr="00F74523">
        <w:trPr>
          <w:trHeight w:val="644"/>
        </w:trPr>
        <w:tc>
          <w:tcPr>
            <w:tcW w:w="456" w:type="dxa"/>
            <w:vAlign w:val="center"/>
          </w:tcPr>
          <w:p w14:paraId="2F3E313F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3" w:type="dxa"/>
          </w:tcPr>
          <w:p w14:paraId="7FF400CB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to Improve AI Tools (by Adding in SE Knowledge): Experiments with the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TimeLIME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Defect Reduction Tool</w:t>
            </w:r>
          </w:p>
        </w:tc>
        <w:tc>
          <w:tcPr>
            <w:tcW w:w="4239" w:type="dxa"/>
          </w:tcPr>
          <w:p w14:paraId="4ECF73D1" w14:textId="77777777" w:rsidR="00D631BF" w:rsidRDefault="00D631BF" w:rsidP="00F74523">
            <w:pPr>
              <w:rPr>
                <w:sz w:val="24"/>
                <w:szCs w:val="24"/>
              </w:rPr>
            </w:pPr>
          </w:p>
        </w:tc>
      </w:tr>
    </w:tbl>
    <w:p w14:paraId="5D91242F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42614A4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63F28AD4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6AC4CA25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A8BD332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131F245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427F105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3B56303F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485C7C3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B4D6CBD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45173E3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699A4BE" w14:textId="77777777" w:rsidR="00A8720D" w:rsidRDefault="00A8720D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52C22D16" w14:textId="77777777" w:rsidR="00A8720D" w:rsidRDefault="00A8720D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169BE31" w14:textId="77777777" w:rsidR="00A8720D" w:rsidRDefault="00A8720D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3D7B483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3534F8E8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C3DA4BD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3E5B2EF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E0E7794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C0E533E" w14:textId="77777777" w:rsidR="00D631BF" w:rsidRPr="002B6BF6" w:rsidRDefault="00D631BF" w:rsidP="00D631B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E: </w:t>
      </w:r>
      <w:r>
        <w:rPr>
          <w:rFonts w:ascii="Times New Roman" w:hAnsi="Times New Roman" w:cs="Times New Roman"/>
          <w:sz w:val="24"/>
        </w:rPr>
        <w:t xml:space="preserve">Table 12. Missing articles in our SLR as compared to </w:t>
      </w:r>
      <w:proofErr w:type="spellStart"/>
      <w:r>
        <w:rPr>
          <w:rFonts w:ascii="Times New Roman" w:hAnsi="Times New Roman" w:cs="Times New Roman"/>
        </w:rPr>
        <w:t>Mohammadkhani</w:t>
      </w:r>
      <w:proofErr w:type="spellEnd"/>
      <w:r>
        <w:rPr>
          <w:rFonts w:ascii="Times New Roman" w:hAnsi="Times New Roman" w:cs="Times New Roman"/>
        </w:rPr>
        <w:t xml:space="preserve"> et al [46].</w:t>
      </w:r>
    </w:p>
    <w:tbl>
      <w:tblPr>
        <w:tblStyle w:val="TableGrid"/>
        <w:tblpPr w:leftFromText="180" w:rightFromText="180" w:vertAnchor="text" w:horzAnchor="margin" w:tblpXSpec="center" w:tblpY="492"/>
        <w:tblW w:w="10173" w:type="dxa"/>
        <w:tblLook w:val="04A0" w:firstRow="1" w:lastRow="0" w:firstColumn="1" w:lastColumn="0" w:noHBand="0" w:noVBand="1"/>
      </w:tblPr>
      <w:tblGrid>
        <w:gridCol w:w="456"/>
        <w:gridCol w:w="5464"/>
        <w:gridCol w:w="4253"/>
      </w:tblGrid>
      <w:tr w:rsidR="00D631BF" w14:paraId="26C7E1A0" w14:textId="77777777" w:rsidTr="00F74523">
        <w:tc>
          <w:tcPr>
            <w:tcW w:w="456" w:type="dxa"/>
            <w:shd w:val="clear" w:color="auto" w:fill="BFBFBF" w:themeFill="background1" w:themeFillShade="BF"/>
          </w:tcPr>
          <w:p w14:paraId="6C9C2945" w14:textId="77777777" w:rsidR="00D631BF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S.</w:t>
            </w:r>
          </w:p>
          <w:p w14:paraId="3DE81B4D" w14:textId="77777777" w:rsidR="00D631BF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#</w:t>
            </w:r>
          </w:p>
        </w:tc>
        <w:tc>
          <w:tcPr>
            <w:tcW w:w="5464" w:type="dxa"/>
            <w:shd w:val="clear" w:color="auto" w:fill="BFBFBF" w:themeFill="background1" w:themeFillShade="BF"/>
          </w:tcPr>
          <w:p w14:paraId="0C6C2DB8" w14:textId="77777777" w:rsidR="00D631BF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Missing Articles in our SLR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14:paraId="2D22B008" w14:textId="77777777" w:rsidR="00D631BF" w:rsidRDefault="00D631BF" w:rsidP="00F745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Remarks </w:t>
            </w:r>
          </w:p>
        </w:tc>
      </w:tr>
      <w:tr w:rsidR="00D631BF" w14:paraId="0A5499C7" w14:textId="77777777" w:rsidTr="00F74523">
        <w:tc>
          <w:tcPr>
            <w:tcW w:w="456" w:type="dxa"/>
            <w:vAlign w:val="center"/>
          </w:tcPr>
          <w:p w14:paraId="5D276BE0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64" w:type="dxa"/>
            <w:shd w:val="clear" w:color="auto" w:fill="FFFFFF" w:themeFill="background1"/>
          </w:tcPr>
          <w:p w14:paraId="4C62456B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Investigating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Explainability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Generative AI for Code through Scenario-based Design.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710DF9ED" w14:textId="77777777" w:rsidR="00D631BF" w:rsidRDefault="00D631BF" w:rsidP="00F745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used existing XAI tools, applied</w:t>
            </w:r>
          </w:p>
          <w:p w14:paraId="4039F40E" w14:textId="77777777" w:rsidR="00D631BF" w:rsidRDefault="00D631BF" w:rsidP="00F745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scenario-based design and question-driven XAI design approaches.</w:t>
            </w:r>
          </w:p>
        </w:tc>
      </w:tr>
      <w:tr w:rsidR="00D631BF" w14:paraId="0DCB689B" w14:textId="77777777" w:rsidTr="00F74523">
        <w:tc>
          <w:tcPr>
            <w:tcW w:w="456" w:type="dxa"/>
            <w:vAlign w:val="center"/>
          </w:tcPr>
          <w:p w14:paraId="6A9C0EDA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4" w:type="dxa"/>
            <w:shd w:val="clear" w:color="auto" w:fill="FFFFFF" w:themeFill="background1"/>
          </w:tcPr>
          <w:p w14:paraId="7FF2BDCC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Practitioners’ Perceptions of the Goals and Visual</w:t>
            </w:r>
          </w:p>
          <w:p w14:paraId="1E683DF0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Explanations of Defect Prediction Models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201CD95C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didn’t include it in our SLR because it’s a survey paper.</w:t>
            </w:r>
          </w:p>
        </w:tc>
      </w:tr>
      <w:tr w:rsidR="00D631BF" w14:paraId="49649E47" w14:textId="77777777" w:rsidTr="00F74523">
        <w:tc>
          <w:tcPr>
            <w:tcW w:w="456" w:type="dxa"/>
            <w:vAlign w:val="center"/>
          </w:tcPr>
          <w:p w14:paraId="4F78AF0A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64" w:type="dxa"/>
            <w:shd w:val="clear" w:color="auto" w:fill="FFFFFF" w:themeFill="background1"/>
            <w:vAlign w:val="center"/>
          </w:tcPr>
          <w:p w14:paraId="63DFFD54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Towards Reliable AI for Source Code Understanding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23067288" w14:textId="77777777" w:rsidR="00D631BF" w:rsidRDefault="00D631BF" w:rsidP="00F74523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author does not explicitly mention the use of any specific XAI tools. The authors discuss the importance of addressing potential biases in their approach.</w:t>
            </w:r>
          </w:p>
        </w:tc>
      </w:tr>
      <w:tr w:rsidR="00D631BF" w14:paraId="50ED52D0" w14:textId="77777777" w:rsidTr="00F74523">
        <w:tc>
          <w:tcPr>
            <w:tcW w:w="456" w:type="dxa"/>
            <w:vAlign w:val="center"/>
          </w:tcPr>
          <w:p w14:paraId="3418DF96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64" w:type="dxa"/>
            <w:shd w:val="clear" w:color="auto" w:fill="FFFFFF" w:themeFill="background1"/>
          </w:tcPr>
          <w:p w14:paraId="39465682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Understanding Neural Code Intelligence through Program Simplification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5A718AF9" w14:textId="77777777" w:rsidR="00D631BF" w:rsidRDefault="00D631BF" w:rsidP="00F745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authors did not use the existing XAI tools.</w:t>
            </w:r>
          </w:p>
        </w:tc>
      </w:tr>
      <w:tr w:rsidR="00D631BF" w14:paraId="3BEB5DEC" w14:textId="77777777" w:rsidTr="00F74523">
        <w:tc>
          <w:tcPr>
            <w:tcW w:w="456" w:type="dxa"/>
            <w:vAlign w:val="center"/>
          </w:tcPr>
          <w:p w14:paraId="3B8EE608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64" w:type="dxa"/>
            <w:shd w:val="clear" w:color="auto" w:fill="FFFFFF" w:themeFill="background1"/>
          </w:tcPr>
          <w:p w14:paraId="741B8D08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Application of machine learning techniques to the flexible assessment and improvement of requirements quality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5FFE5AB9" w14:textId="77777777" w:rsidR="00D631BF" w:rsidRDefault="00D631BF" w:rsidP="00F74523">
            <w:pPr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31BF" w14:paraId="1446D001" w14:textId="77777777" w:rsidTr="00F74523">
        <w:tc>
          <w:tcPr>
            <w:tcW w:w="456" w:type="dxa"/>
            <w:vAlign w:val="center"/>
          </w:tcPr>
          <w:p w14:paraId="4F7F0418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64" w:type="dxa"/>
            <w:shd w:val="clear" w:color="auto" w:fill="FFFFFF" w:themeFill="background1"/>
          </w:tcPr>
          <w:p w14:paraId="56CCF2FF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Deep Learning Based Valid Bug Reports Determination and Explanation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0F92F828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31BF" w14:paraId="2CEC35B9" w14:textId="77777777" w:rsidTr="00F74523">
        <w:tc>
          <w:tcPr>
            <w:tcW w:w="456" w:type="dxa"/>
            <w:vAlign w:val="center"/>
          </w:tcPr>
          <w:p w14:paraId="7BA6760D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64" w:type="dxa"/>
            <w:shd w:val="clear" w:color="auto" w:fill="FFFFFF" w:themeFill="background1"/>
          </w:tcPr>
          <w:p w14:paraId="3C0BB9B3" w14:textId="77777777" w:rsidR="00D631BF" w:rsidRDefault="00D631BF" w:rsidP="00F74523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Recognising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lines of code violating company-specific coding guidelines using machine learning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28DFCDF0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47275228" w14:textId="77777777" w:rsidTr="00F74523">
        <w:tc>
          <w:tcPr>
            <w:tcW w:w="456" w:type="dxa"/>
            <w:vAlign w:val="center"/>
          </w:tcPr>
          <w:p w14:paraId="7CD5C342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64" w:type="dxa"/>
            <w:shd w:val="clear" w:color="auto" w:fill="FFFFFF" w:themeFill="background1"/>
          </w:tcPr>
          <w:p w14:paraId="2FB0BF00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Impact of Class Rebalancing Techniques on the Performance and Interpretation of Defect Prediction Models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2A9C3EF0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68FF7D6D" w14:textId="77777777" w:rsidTr="00F74523">
        <w:tc>
          <w:tcPr>
            <w:tcW w:w="456" w:type="dxa"/>
            <w:vAlign w:val="center"/>
          </w:tcPr>
          <w:p w14:paraId="4A87A19F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64" w:type="dxa"/>
            <w:shd w:val="clear" w:color="auto" w:fill="FFFFFF" w:themeFill="background1"/>
            <w:vAlign w:val="center"/>
          </w:tcPr>
          <w:p w14:paraId="5050297A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 explainable deep model for defect prediction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2E54098F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4A0F0EF8" w14:textId="77777777" w:rsidTr="00F74523">
        <w:trPr>
          <w:trHeight w:val="642"/>
        </w:trPr>
        <w:tc>
          <w:tcPr>
            <w:tcW w:w="456" w:type="dxa"/>
            <w:vAlign w:val="center"/>
          </w:tcPr>
          <w:p w14:paraId="2C7BAD91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64" w:type="dxa"/>
            <w:shd w:val="clear" w:color="auto" w:fill="FFFFFF" w:themeFill="background1"/>
          </w:tcPr>
          <w:p w14:paraId="1FBE6DE4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Neural Network-based Detection of Self-Admitted Technical Debt: From Performance to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Explainability</w:t>
            </w:r>
            <w:proofErr w:type="spellEnd"/>
          </w:p>
        </w:tc>
        <w:tc>
          <w:tcPr>
            <w:tcW w:w="4253" w:type="dxa"/>
            <w:shd w:val="clear" w:color="auto" w:fill="D9D9D9" w:themeFill="background1" w:themeFillShade="D9"/>
          </w:tcPr>
          <w:p w14:paraId="678A91FA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7B62BAE8" w14:textId="77777777" w:rsidTr="00F74523">
        <w:trPr>
          <w:trHeight w:val="568"/>
        </w:trPr>
        <w:tc>
          <w:tcPr>
            <w:tcW w:w="456" w:type="dxa"/>
            <w:vAlign w:val="center"/>
          </w:tcPr>
          <w:p w14:paraId="3EBE1031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64" w:type="dxa"/>
            <w:shd w:val="clear" w:color="auto" w:fill="FFFFFF" w:themeFill="background1"/>
          </w:tcPr>
          <w:p w14:paraId="1C800850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Requirements Classification with Interpretable Machine Learning and Dependency Parsing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76CB96BD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3EF2494E" w14:textId="77777777" w:rsidTr="00F74523">
        <w:tc>
          <w:tcPr>
            <w:tcW w:w="456" w:type="dxa"/>
            <w:vAlign w:val="center"/>
          </w:tcPr>
          <w:p w14:paraId="15A94601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64" w:type="dxa"/>
            <w:shd w:val="clear" w:color="auto" w:fill="FFFFFF" w:themeFill="background1"/>
          </w:tcPr>
          <w:p w14:paraId="19EF413F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Towards a More Reliable Interpretation of Defect Models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0AA6E029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76238E84" w14:textId="77777777" w:rsidTr="00F74523">
        <w:tc>
          <w:tcPr>
            <w:tcW w:w="456" w:type="dxa"/>
            <w:vAlign w:val="center"/>
          </w:tcPr>
          <w:p w14:paraId="6FF308F4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64" w:type="dxa"/>
            <w:shd w:val="clear" w:color="auto" w:fill="FFFFFF" w:themeFill="background1"/>
            <w:vAlign w:val="center"/>
          </w:tcPr>
          <w:p w14:paraId="59AB6DC1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Explainable Software Analytics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209E5B5C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didn’t include it in our SLR because it’s a survey paper.</w:t>
            </w:r>
          </w:p>
        </w:tc>
      </w:tr>
      <w:tr w:rsidR="00D631BF" w14:paraId="36A6EB47" w14:textId="77777777" w:rsidTr="00F74523">
        <w:tc>
          <w:tcPr>
            <w:tcW w:w="456" w:type="dxa"/>
            <w:vAlign w:val="center"/>
          </w:tcPr>
          <w:p w14:paraId="4D1F63B3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64" w:type="dxa"/>
            <w:shd w:val="clear" w:color="auto" w:fill="FFFFFF" w:themeFill="background1"/>
          </w:tcPr>
          <w:p w14:paraId="4840ACB5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Superposed Naive Bayes for Accurate and Interpretable Prediction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742E7E0F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087A4B5C" w14:textId="77777777" w:rsidTr="00F74523">
        <w:tc>
          <w:tcPr>
            <w:tcW w:w="456" w:type="dxa"/>
            <w:vAlign w:val="center"/>
          </w:tcPr>
          <w:p w14:paraId="3C9CD6F0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64" w:type="dxa"/>
            <w:shd w:val="clear" w:color="auto" w:fill="FFFFFF" w:themeFill="background1"/>
          </w:tcPr>
          <w:p w14:paraId="67EE8E5A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novel method for software defect prediction: Hybrid of FCM and random forest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45D7F261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353CEE8A" w14:textId="77777777" w:rsidTr="00F74523">
        <w:tc>
          <w:tcPr>
            <w:tcW w:w="456" w:type="dxa"/>
            <w:vAlign w:val="center"/>
          </w:tcPr>
          <w:p w14:paraId="56A9ACE9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64" w:type="dxa"/>
            <w:shd w:val="clear" w:color="auto" w:fill="FFFFFF" w:themeFill="background1"/>
            <w:vAlign w:val="center"/>
          </w:tcPr>
          <w:p w14:paraId="465B5217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Software defect prediction using Bayesian networks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38692854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7B9F3864" w14:textId="77777777" w:rsidTr="00F74523">
        <w:tc>
          <w:tcPr>
            <w:tcW w:w="456" w:type="dxa"/>
            <w:vAlign w:val="center"/>
          </w:tcPr>
          <w:p w14:paraId="7D97FDAB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64" w:type="dxa"/>
            <w:shd w:val="clear" w:color="auto" w:fill="FFFFFF" w:themeFill="background1"/>
          </w:tcPr>
          <w:p w14:paraId="4AEB8BA5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Towards Interpretable Defect-Prone Component Analysis Using Genetic Fuzzy Systems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14:paraId="495922F7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</w:p>
        </w:tc>
      </w:tr>
      <w:tr w:rsidR="00D631BF" w14:paraId="3F1C15D8" w14:textId="77777777" w:rsidTr="00F74523">
        <w:tc>
          <w:tcPr>
            <w:tcW w:w="456" w:type="dxa"/>
            <w:vAlign w:val="center"/>
          </w:tcPr>
          <w:p w14:paraId="26434C4A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64" w:type="dxa"/>
            <w:shd w:val="clear" w:color="auto" w:fill="FFFFFF" w:themeFill="background1"/>
          </w:tcPr>
          <w:p w14:paraId="7ED28560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Software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E_ort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Prediction: A Hyper-Heuristic Decision-Tree Based Approach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6D53B38D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31BF" w14:paraId="0E30D762" w14:textId="77777777" w:rsidTr="00F74523">
        <w:tc>
          <w:tcPr>
            <w:tcW w:w="456" w:type="dxa"/>
            <w:vAlign w:val="center"/>
          </w:tcPr>
          <w:p w14:paraId="337ECF6B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5464" w:type="dxa"/>
            <w:shd w:val="clear" w:color="auto" w:fill="FFFFFF" w:themeFill="background1"/>
          </w:tcPr>
          <w:p w14:paraId="22E80E72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Machine-Learning Models for Software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Quality:A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compromise between Performance and Intelligibility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3B7EE556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D631BF" w14:paraId="52D24F0A" w14:textId="77777777" w:rsidTr="00F74523">
        <w:tc>
          <w:tcPr>
            <w:tcW w:w="456" w:type="dxa"/>
            <w:vAlign w:val="center"/>
          </w:tcPr>
          <w:p w14:paraId="02C3747E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64" w:type="dxa"/>
            <w:shd w:val="clear" w:color="auto" w:fill="FFFFFF" w:themeFill="background1"/>
          </w:tcPr>
          <w:p w14:paraId="1F58A77E" w14:textId="77777777" w:rsidR="00D631BF" w:rsidRDefault="00D631BF" w:rsidP="00F745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Evaluation of preliminary data analysis framework in software cost estimation based on ISBSG R9 Data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271E5C94" w14:textId="77777777" w:rsidR="00D631BF" w:rsidRDefault="00D631BF" w:rsidP="00F74523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XAI has not been the focus of this research article.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692F1217" w14:textId="77777777" w:rsidR="00D631BF" w:rsidRDefault="00D631BF" w:rsidP="00D631BF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14:paraId="4DD5E5EE" w14:textId="77777777" w:rsidR="00D631BF" w:rsidRPr="00994353" w:rsidRDefault="00D631BF" w:rsidP="00D631BF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Appendix F: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Table 13. Research questions comparison</w:t>
      </w:r>
    </w:p>
    <w:p w14:paraId="21E2B2AE" w14:textId="77777777" w:rsidR="00D631BF" w:rsidRDefault="00D631BF" w:rsidP="00D631BF">
      <w:pPr>
        <w:spacing w:after="0" w:line="240" w:lineRule="auto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4"/>
        <w:gridCol w:w="4946"/>
      </w:tblGrid>
      <w:tr w:rsidR="00D631BF" w:rsidRPr="003E39C5" w14:paraId="3446F702" w14:textId="77777777" w:rsidTr="00F74523">
        <w:tc>
          <w:tcPr>
            <w:tcW w:w="4503" w:type="dxa"/>
            <w:shd w:val="clear" w:color="auto" w:fill="D9D9D9" w:themeFill="background1" w:themeFillShade="D9"/>
          </w:tcPr>
          <w:p w14:paraId="10ED812D" w14:textId="77777777" w:rsidR="00D631BF" w:rsidRPr="003E39C5" w:rsidRDefault="00D631BF" w:rsidP="00F7452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Our SLR</w:t>
            </w:r>
          </w:p>
        </w:tc>
        <w:tc>
          <w:tcPr>
            <w:tcW w:w="5073" w:type="dxa"/>
            <w:shd w:val="clear" w:color="auto" w:fill="D9D9D9" w:themeFill="background1" w:themeFillShade="D9"/>
          </w:tcPr>
          <w:p w14:paraId="02814529" w14:textId="77777777" w:rsidR="00D631BF" w:rsidRPr="003E39C5" w:rsidRDefault="00D631BF" w:rsidP="00F7452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E39C5">
              <w:rPr>
                <w:rFonts w:ascii="Times New Roman" w:hAnsi="Times New Roman" w:cs="Times New Roman"/>
                <w:b/>
                <w:color w:val="000000" w:themeColor="text1"/>
              </w:rPr>
              <w:t>Mohammadkhani</w:t>
            </w:r>
            <w:proofErr w:type="spellEnd"/>
            <w:r w:rsidRPr="003E39C5">
              <w:rPr>
                <w:rFonts w:ascii="Times New Roman" w:hAnsi="Times New Roman" w:cs="Times New Roman"/>
                <w:b/>
                <w:color w:val="000000" w:themeColor="text1"/>
              </w:rPr>
              <w:t xml:space="preserve"> et al.</w:t>
            </w:r>
          </w:p>
        </w:tc>
      </w:tr>
      <w:tr w:rsidR="00D631BF" w:rsidRPr="003E39C5" w14:paraId="6AE27FA7" w14:textId="77777777" w:rsidTr="00F74523">
        <w:tc>
          <w:tcPr>
            <w:tcW w:w="4503" w:type="dxa"/>
          </w:tcPr>
          <w:p w14:paraId="217EDBA7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>RQ: 01:</w:t>
            </w: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What types of explanations are used in individual studies?</w:t>
            </w:r>
          </w:p>
        </w:tc>
        <w:tc>
          <w:tcPr>
            <w:tcW w:w="5073" w:type="dxa"/>
            <w:shd w:val="clear" w:color="auto" w:fill="D9D9D9" w:themeFill="background1" w:themeFillShade="D9"/>
            <w:vAlign w:val="center"/>
          </w:tcPr>
          <w:p w14:paraId="1ABD4A92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</w:rPr>
              <w:t>The contents of RQ 1 are not included in this SLR.</w:t>
            </w:r>
          </w:p>
        </w:tc>
      </w:tr>
      <w:tr w:rsidR="00D631BF" w:rsidRPr="003E39C5" w14:paraId="409CBC96" w14:textId="77777777" w:rsidTr="00F74523">
        <w:tc>
          <w:tcPr>
            <w:tcW w:w="4503" w:type="dxa"/>
          </w:tcPr>
          <w:p w14:paraId="0E4827DA" w14:textId="77777777" w:rsidR="00D631BF" w:rsidRPr="003E39C5" w:rsidRDefault="00D631BF" w:rsidP="00F7452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</w:pPr>
          </w:p>
          <w:p w14:paraId="012D852E" w14:textId="77777777" w:rsidR="00D631BF" w:rsidRPr="003E39C5" w:rsidRDefault="00D631BF" w:rsidP="00F74523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 xml:space="preserve">RQ: 02: </w:t>
            </w: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>What type of Explainable Artificial Intelligence (XAI) tools are used as a local explanation?</w:t>
            </w:r>
          </w:p>
          <w:p w14:paraId="4A5AE4EA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073" w:type="dxa"/>
            <w:shd w:val="clear" w:color="auto" w:fill="D9D9D9" w:themeFill="background1" w:themeFillShade="D9"/>
          </w:tcPr>
          <w:p w14:paraId="1C0CCF7C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>RQ2:</w:t>
            </w: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What are the Explainable AI approaches</w:t>
            </w:r>
          </w:p>
          <w:p w14:paraId="32808B42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>adopted for SE tasks?</w:t>
            </w:r>
          </w:p>
          <w:p w14:paraId="086B3A32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14A45421" w14:textId="77777777" w:rsidR="00D631BF" w:rsidRPr="003E39C5" w:rsidRDefault="00D631BF" w:rsidP="00D631B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16" w:hanging="216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i/>
                <w:color w:val="000000" w:themeColor="text1"/>
              </w:rPr>
              <w:t>What kind of XAI techniques have been used?</w:t>
            </w:r>
          </w:p>
          <w:p w14:paraId="7F3C1FCB" w14:textId="77777777" w:rsidR="00D631BF" w:rsidRPr="003E39C5" w:rsidRDefault="00D631BF" w:rsidP="00D631BF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16" w:hanging="216"/>
              <w:rPr>
                <w:rFonts w:ascii="NimbusRomNo9L-Regu" w:hAnsi="NimbusRomNo9L-Regu" w:cs="NimbusRomNo9L-Regu"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i/>
                <w:color w:val="000000" w:themeColor="text1"/>
              </w:rPr>
              <w:t>What kind of explanations do they offer?</w:t>
            </w:r>
          </w:p>
        </w:tc>
      </w:tr>
      <w:tr w:rsidR="00D631BF" w:rsidRPr="003E39C5" w14:paraId="5EBAED24" w14:textId="77777777" w:rsidTr="00F74523">
        <w:tc>
          <w:tcPr>
            <w:tcW w:w="4503" w:type="dxa"/>
          </w:tcPr>
          <w:p w14:paraId="57FB9A7C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 xml:space="preserve">RQ: 03: </w:t>
            </w: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Which types of machine learning libraries are adapted for the XAI tools?</w:t>
            </w:r>
          </w:p>
        </w:tc>
        <w:tc>
          <w:tcPr>
            <w:tcW w:w="5073" w:type="dxa"/>
            <w:shd w:val="clear" w:color="auto" w:fill="D9D9D9" w:themeFill="background1" w:themeFillShade="D9"/>
            <w:vAlign w:val="center"/>
          </w:tcPr>
          <w:p w14:paraId="6A6278A3" w14:textId="77777777" w:rsidR="00D631BF" w:rsidRPr="003E39C5" w:rsidRDefault="00D631BF" w:rsidP="00F745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</w:rPr>
              <w:t>The contents of RQ 3 are not included in this SLR.</w:t>
            </w:r>
          </w:p>
        </w:tc>
      </w:tr>
      <w:tr w:rsidR="00D631BF" w:rsidRPr="003E39C5" w14:paraId="77A7841D" w14:textId="77777777" w:rsidTr="00F74523">
        <w:tc>
          <w:tcPr>
            <w:tcW w:w="4503" w:type="dxa"/>
          </w:tcPr>
          <w:p w14:paraId="44285572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</w:pPr>
          </w:p>
          <w:p w14:paraId="5A62C84F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</w:pPr>
          </w:p>
          <w:p w14:paraId="1AAB6CFF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 xml:space="preserve">RQ: 04: </w:t>
            </w: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In which domains/subareas of Software Engineering XAI tools are used?</w:t>
            </w:r>
          </w:p>
          <w:p w14:paraId="3D813480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073" w:type="dxa"/>
            <w:shd w:val="clear" w:color="auto" w:fill="D9D9D9" w:themeFill="background1" w:themeFillShade="D9"/>
          </w:tcPr>
          <w:p w14:paraId="20C7DF61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>RQ1:</w:t>
            </w: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What </w:t>
            </w:r>
            <w:proofErr w:type="gramStart"/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>are</w:t>
            </w:r>
            <w:proofErr w:type="gramEnd"/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the main software engineering</w:t>
            </w:r>
          </w:p>
          <w:p w14:paraId="2ED14DA7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color w:val="000000" w:themeColor="text1"/>
                <w:sz w:val="24"/>
              </w:rPr>
              <w:t>areas and tasks for which Explainable AI approaches have been used to date?</w:t>
            </w:r>
          </w:p>
          <w:p w14:paraId="2E9CC919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  <w:p w14:paraId="4FDB9E38" w14:textId="77777777" w:rsidR="00D631BF" w:rsidRPr="003E39C5" w:rsidRDefault="00D631BF" w:rsidP="00D631B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6" w:hanging="216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i/>
                <w:color w:val="000000" w:themeColor="text1"/>
              </w:rPr>
              <w:t>What are the main software engineering areas</w:t>
            </w:r>
          </w:p>
          <w:p w14:paraId="3751B7E4" w14:textId="77777777" w:rsidR="00D631BF" w:rsidRPr="003E39C5" w:rsidRDefault="00D631BF" w:rsidP="00F74523">
            <w:pPr>
              <w:pStyle w:val="ListParagraph"/>
              <w:autoSpaceDE w:val="0"/>
              <w:autoSpaceDN w:val="0"/>
              <w:adjustRightInd w:val="0"/>
              <w:ind w:left="216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i/>
                <w:color w:val="000000" w:themeColor="text1"/>
              </w:rPr>
              <w:t>and tasks for which XAI has been applied?</w:t>
            </w:r>
          </w:p>
          <w:p w14:paraId="55086EBB" w14:textId="77777777" w:rsidR="00D631BF" w:rsidRPr="003E39C5" w:rsidRDefault="00D631BF" w:rsidP="00D631B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6" w:hanging="216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What are the ML4SE works that offer </w:t>
            </w:r>
            <w:proofErr w:type="spellStart"/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explainability</w:t>
            </w:r>
            <w:proofErr w:type="spellEnd"/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?</w:t>
            </w:r>
          </w:p>
          <w:p w14:paraId="3F8CF205" w14:textId="77777777" w:rsidR="00D631BF" w:rsidRPr="003E39C5" w:rsidRDefault="00D631BF" w:rsidP="00D631B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6" w:hanging="216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What are the objectives of </w:t>
            </w:r>
            <w:proofErr w:type="spellStart"/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explainability</w:t>
            </w:r>
            <w:proofErr w:type="spellEnd"/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 xml:space="preserve"> in</w:t>
            </w:r>
          </w:p>
          <w:p w14:paraId="1D2D8DD9" w14:textId="77777777" w:rsidR="00D631BF" w:rsidRPr="003E39C5" w:rsidRDefault="00D631BF" w:rsidP="00F74523">
            <w:pPr>
              <w:pStyle w:val="ListParagraph"/>
              <w:autoSpaceDE w:val="0"/>
              <w:autoSpaceDN w:val="0"/>
              <w:adjustRightInd w:val="0"/>
              <w:ind w:left="216"/>
              <w:rPr>
                <w:rFonts w:ascii="Times New Roman" w:hAnsi="Times New Roman" w:cs="Times New Roman"/>
                <w:i/>
                <w:color w:val="000000" w:themeColor="text1"/>
                <w:sz w:val="24"/>
                <w:u w:val="single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each research paper reviewed?</w:t>
            </w:r>
          </w:p>
        </w:tc>
      </w:tr>
      <w:tr w:rsidR="00D631BF" w:rsidRPr="003E39C5" w14:paraId="0C897FDD" w14:textId="77777777" w:rsidTr="00F74523">
        <w:tc>
          <w:tcPr>
            <w:tcW w:w="4503" w:type="dxa"/>
          </w:tcPr>
          <w:p w14:paraId="708434E8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</w:rPr>
            </w:pPr>
          </w:p>
          <w:p w14:paraId="1AEEA989" w14:textId="77777777" w:rsidR="00D631BF" w:rsidRPr="003E39C5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</w:rPr>
              <w:t>The contents of RQ 3 are not included in this SLR</w:t>
            </w:r>
          </w:p>
        </w:tc>
        <w:tc>
          <w:tcPr>
            <w:tcW w:w="5073" w:type="dxa"/>
            <w:shd w:val="clear" w:color="auto" w:fill="D9D9D9" w:themeFill="background1" w:themeFillShade="D9"/>
          </w:tcPr>
          <w:p w14:paraId="50EAACFB" w14:textId="77777777" w:rsidR="00D631BF" w:rsidRPr="003E39C5" w:rsidRDefault="00D631BF" w:rsidP="00F745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>RQ3:</w:t>
            </w:r>
            <w:r w:rsidRPr="003E39C5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How useful XAI has been for SE?</w:t>
            </w:r>
          </w:p>
          <w:p w14:paraId="55FB0C92" w14:textId="77777777" w:rsidR="00D631BF" w:rsidRPr="003E39C5" w:rsidRDefault="00D631BF" w:rsidP="00F74523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(a) What are the objectives of applying XAI on</w:t>
            </w:r>
          </w:p>
          <w:p w14:paraId="1B1E32C1" w14:textId="77777777" w:rsidR="00D631BF" w:rsidRPr="003E39C5" w:rsidRDefault="00D631BF" w:rsidP="00F74523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SE and how they have been useful?</w:t>
            </w:r>
          </w:p>
          <w:p w14:paraId="708DD74C" w14:textId="77777777" w:rsidR="00D631BF" w:rsidRPr="003E39C5" w:rsidRDefault="00D631BF" w:rsidP="00F74523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ascii="NimbusRomNo9L-Regu" w:hAnsi="NimbusRomNo9L-Regu" w:cs="NimbusRomNo9L-Regu"/>
                <w:i/>
                <w:color w:val="000000" w:themeColor="text1"/>
              </w:rPr>
            </w:pPr>
            <w:r w:rsidRPr="003E39C5">
              <w:rPr>
                <w:rFonts w:ascii="Times New Roman" w:hAnsi="Times New Roman" w:cs="Times New Roman"/>
                <w:b/>
                <w:i/>
                <w:color w:val="000000" w:themeColor="text1"/>
              </w:rPr>
              <w:t>(b) What are the means of evaluating XAI in SE?</w:t>
            </w:r>
          </w:p>
        </w:tc>
      </w:tr>
    </w:tbl>
    <w:p w14:paraId="11FB0180" w14:textId="77777777" w:rsidR="00D631BF" w:rsidRDefault="00D631BF" w:rsidP="00D631BF">
      <w:pPr>
        <w:tabs>
          <w:tab w:val="left" w:pos="2685"/>
        </w:tabs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65755886" w14:textId="77777777" w:rsidR="00D631BF" w:rsidRDefault="00D631BF" w:rsidP="00D631BF">
      <w:pPr>
        <w:tabs>
          <w:tab w:val="left" w:pos="2685"/>
        </w:tabs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61D20264" w14:textId="77777777" w:rsidR="00D631BF" w:rsidRDefault="00D631BF" w:rsidP="00D631BF">
      <w:pPr>
        <w:tabs>
          <w:tab w:val="left" w:pos="2685"/>
        </w:tabs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50B29DE1" w14:textId="10B24607" w:rsidR="00A8720D" w:rsidRDefault="00A8720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2235476C" w14:textId="77777777" w:rsidR="00D631BF" w:rsidRDefault="00D631BF" w:rsidP="00D631BF">
      <w:pPr>
        <w:tabs>
          <w:tab w:val="left" w:pos="2685"/>
        </w:tabs>
        <w:spacing w:after="0"/>
        <w:jc w:val="both"/>
        <w:rPr>
          <w:rFonts w:ascii="Times New Roman" w:hAnsi="Times New Roman" w:cs="Times New Roman"/>
          <w:b/>
          <w:sz w:val="24"/>
        </w:rPr>
      </w:pPr>
    </w:p>
    <w:p w14:paraId="6F5F9BA0" w14:textId="77777777" w:rsidR="00D631BF" w:rsidRPr="00994353" w:rsidRDefault="00D631BF" w:rsidP="00D631BF">
      <w:pPr>
        <w:tabs>
          <w:tab w:val="left" w:pos="2685"/>
        </w:tabs>
        <w:spacing w:before="240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Appendix G: </w:t>
      </w:r>
      <w:r>
        <w:rPr>
          <w:rFonts w:ascii="Times New Roman" w:hAnsi="Times New Roman" w:cs="Times New Roman"/>
          <w:sz w:val="24"/>
        </w:rPr>
        <w:t>Figure 10. Types of Explanations Used by Studies in Our SLR</w:t>
      </w:r>
      <w:r>
        <w:rPr>
          <w:rFonts w:ascii="Times New Roman" w:hAnsi="Times New Roman" w:cs="Times New Roman"/>
          <w:noProof/>
          <w:sz w:val="24"/>
        </w:rPr>
        <w:t xml:space="preserve"> </w:t>
      </w:r>
    </w:p>
    <w:p w14:paraId="41E22FA1" w14:textId="77777777" w:rsidR="00D631BF" w:rsidRDefault="00D631BF" w:rsidP="00D631BF">
      <w:pPr>
        <w:tabs>
          <w:tab w:val="left" w:pos="2685"/>
        </w:tabs>
        <w:spacing w:before="240"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59264" behindDoc="0" locked="0" layoutInCell="1" allowOverlap="1" wp14:anchorId="55408229" wp14:editId="26CE3F54">
            <wp:simplePos x="0" y="0"/>
            <wp:positionH relativeFrom="column">
              <wp:posOffset>-47625</wp:posOffset>
            </wp:positionH>
            <wp:positionV relativeFrom="paragraph">
              <wp:posOffset>179705</wp:posOffset>
            </wp:positionV>
            <wp:extent cx="5486400" cy="2190750"/>
            <wp:effectExtent l="0" t="0" r="19050" b="19050"/>
            <wp:wrapSquare wrapText="bothSides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49F98C" w14:textId="77777777" w:rsidR="00D631BF" w:rsidRDefault="00D631BF" w:rsidP="00D631BF">
      <w:pPr>
        <w:tabs>
          <w:tab w:val="left" w:pos="2685"/>
        </w:tabs>
        <w:spacing w:before="240" w:line="480" w:lineRule="auto"/>
        <w:jc w:val="center"/>
        <w:rPr>
          <w:rFonts w:ascii="Times New Roman" w:hAnsi="Times New Roman" w:cs="Times New Roman"/>
          <w:sz w:val="24"/>
        </w:rPr>
      </w:pPr>
    </w:p>
    <w:p w14:paraId="39F74355" w14:textId="77777777" w:rsidR="00D631BF" w:rsidRDefault="00D631BF" w:rsidP="00D631BF">
      <w:pPr>
        <w:tabs>
          <w:tab w:val="left" w:pos="2685"/>
        </w:tabs>
        <w:spacing w:before="240" w:line="480" w:lineRule="auto"/>
        <w:jc w:val="center"/>
        <w:rPr>
          <w:rFonts w:ascii="Times New Roman" w:hAnsi="Times New Roman" w:cs="Times New Roman"/>
          <w:sz w:val="24"/>
        </w:rPr>
      </w:pPr>
    </w:p>
    <w:p w14:paraId="5DDED4B1" w14:textId="77777777" w:rsidR="00D631BF" w:rsidRDefault="00D631BF" w:rsidP="00D631BF">
      <w:pPr>
        <w:tabs>
          <w:tab w:val="left" w:pos="2685"/>
        </w:tabs>
        <w:spacing w:before="240" w:line="480" w:lineRule="auto"/>
        <w:jc w:val="center"/>
        <w:rPr>
          <w:rFonts w:ascii="Times New Roman" w:hAnsi="Times New Roman" w:cs="Times New Roman"/>
          <w:sz w:val="24"/>
        </w:rPr>
      </w:pPr>
    </w:p>
    <w:p w14:paraId="489268B6" w14:textId="77777777" w:rsidR="00D631BF" w:rsidRDefault="00D631BF" w:rsidP="00D631BF">
      <w:pPr>
        <w:tabs>
          <w:tab w:val="left" w:pos="2685"/>
        </w:tabs>
        <w:spacing w:before="240" w:line="480" w:lineRule="auto"/>
        <w:jc w:val="center"/>
        <w:rPr>
          <w:rFonts w:ascii="Times New Roman" w:hAnsi="Times New Roman" w:cs="Times New Roman"/>
          <w:sz w:val="24"/>
        </w:rPr>
      </w:pPr>
    </w:p>
    <w:p w14:paraId="33C7E2DD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Appendix H: </w:t>
      </w:r>
      <w:r>
        <w:rPr>
          <w:rFonts w:ascii="Times New Roman" w:hAnsi="Times New Roman" w:cs="Times New Roman"/>
          <w:sz w:val="24"/>
        </w:rPr>
        <w:t>Table 14. Percentage of types of Explanations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12"/>
        <w:gridCol w:w="1413"/>
        <w:gridCol w:w="1345"/>
      </w:tblGrid>
      <w:tr w:rsidR="00D631BF" w14:paraId="3E21D92F" w14:textId="77777777" w:rsidTr="00F74523">
        <w:trPr>
          <w:jc w:val="center"/>
        </w:trPr>
        <w:tc>
          <w:tcPr>
            <w:tcW w:w="3512" w:type="dxa"/>
          </w:tcPr>
          <w:p w14:paraId="1656FC79" w14:textId="77777777" w:rsidR="00D631BF" w:rsidRPr="002B6BF6" w:rsidRDefault="00D631BF" w:rsidP="00F74523">
            <w:pPr>
              <w:tabs>
                <w:tab w:val="left" w:pos="2685"/>
              </w:tabs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2B6BF6">
              <w:rPr>
                <w:rFonts w:ascii="Times New Roman" w:hAnsi="Times New Roman" w:cs="Times New Roman"/>
                <w:b/>
              </w:rPr>
              <w:t>Type of Explanation</w:t>
            </w:r>
          </w:p>
        </w:tc>
        <w:tc>
          <w:tcPr>
            <w:tcW w:w="1413" w:type="dxa"/>
          </w:tcPr>
          <w:p w14:paraId="22206CAD" w14:textId="77777777" w:rsidR="00D631BF" w:rsidRPr="002B6BF6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6BF6">
              <w:rPr>
                <w:rFonts w:ascii="Times New Roman" w:hAnsi="Times New Roman" w:cs="Times New Roman"/>
                <w:b/>
              </w:rPr>
              <w:t>No. of used</w:t>
            </w:r>
          </w:p>
          <w:p w14:paraId="50F5DD99" w14:textId="77777777" w:rsidR="00D631BF" w:rsidRPr="002B6BF6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B6BF6">
              <w:rPr>
                <w:rFonts w:ascii="Times New Roman" w:hAnsi="Times New Roman" w:cs="Times New Roman"/>
                <w:b/>
                <w:u w:val="single"/>
              </w:rPr>
              <w:t>N=14</w:t>
            </w:r>
          </w:p>
        </w:tc>
        <w:tc>
          <w:tcPr>
            <w:tcW w:w="1345" w:type="dxa"/>
          </w:tcPr>
          <w:p w14:paraId="03430BA1" w14:textId="77777777" w:rsidR="00D631BF" w:rsidRPr="002B6BF6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B6BF6">
              <w:rPr>
                <w:rFonts w:ascii="Times New Roman" w:hAnsi="Times New Roman" w:cs="Times New Roman"/>
                <w:b/>
              </w:rPr>
              <w:t xml:space="preserve">Percentage </w:t>
            </w:r>
          </w:p>
        </w:tc>
      </w:tr>
      <w:tr w:rsidR="00D631BF" w14:paraId="5CC9BB69" w14:textId="77777777" w:rsidTr="00F74523">
        <w:trPr>
          <w:jc w:val="center"/>
        </w:trPr>
        <w:tc>
          <w:tcPr>
            <w:tcW w:w="3512" w:type="dxa"/>
          </w:tcPr>
          <w:p w14:paraId="3395B4AC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Local Explanation</w:t>
            </w:r>
          </w:p>
        </w:tc>
        <w:tc>
          <w:tcPr>
            <w:tcW w:w="1413" w:type="dxa"/>
          </w:tcPr>
          <w:p w14:paraId="1140F7BD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345" w:type="dxa"/>
          </w:tcPr>
          <w:p w14:paraId="046CCB8E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64.2%</w:t>
            </w:r>
          </w:p>
        </w:tc>
      </w:tr>
      <w:tr w:rsidR="00D631BF" w14:paraId="4C30CA67" w14:textId="77777777" w:rsidTr="00F74523">
        <w:trPr>
          <w:jc w:val="center"/>
        </w:trPr>
        <w:tc>
          <w:tcPr>
            <w:tcW w:w="3512" w:type="dxa"/>
          </w:tcPr>
          <w:p w14:paraId="42278728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Global Explanation</w:t>
            </w:r>
          </w:p>
        </w:tc>
        <w:tc>
          <w:tcPr>
            <w:tcW w:w="1413" w:type="dxa"/>
          </w:tcPr>
          <w:p w14:paraId="0178E579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5" w:type="dxa"/>
          </w:tcPr>
          <w:p w14:paraId="16080191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7.1%</w:t>
            </w:r>
          </w:p>
        </w:tc>
      </w:tr>
      <w:tr w:rsidR="00D631BF" w14:paraId="571D5307" w14:textId="77777777" w:rsidTr="00F74523">
        <w:trPr>
          <w:jc w:val="center"/>
        </w:trPr>
        <w:tc>
          <w:tcPr>
            <w:tcW w:w="3512" w:type="dxa"/>
          </w:tcPr>
          <w:p w14:paraId="06D1B5A3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Combination of Local &amp; Global</w:t>
            </w:r>
          </w:p>
        </w:tc>
        <w:tc>
          <w:tcPr>
            <w:tcW w:w="1413" w:type="dxa"/>
          </w:tcPr>
          <w:p w14:paraId="3631F2B3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345" w:type="dxa"/>
          </w:tcPr>
          <w:p w14:paraId="3538979E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28.5%</w:t>
            </w:r>
          </w:p>
        </w:tc>
      </w:tr>
    </w:tbl>
    <w:p w14:paraId="1B070A16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</w:p>
    <w:p w14:paraId="781ABFF6" w14:textId="77777777" w:rsidR="00D631BF" w:rsidRPr="002B6BF6" w:rsidRDefault="00D631BF" w:rsidP="00D631BF">
      <w:pPr>
        <w:tabs>
          <w:tab w:val="left" w:pos="2685"/>
        </w:tabs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Appendix I:</w:t>
      </w:r>
      <w:r w:rsidRPr="009943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Figure 11. XAI tools used for a local explanation by studies in our SLR</w:t>
      </w:r>
    </w:p>
    <w:p w14:paraId="354335A2" w14:textId="77777777" w:rsidR="00D631BF" w:rsidRDefault="00D631BF" w:rsidP="00D631BF">
      <w:pPr>
        <w:tabs>
          <w:tab w:val="left" w:pos="2685"/>
        </w:tabs>
        <w:spacing w:before="240"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1604A96" wp14:editId="761A4ADC">
            <wp:extent cx="5095875" cy="2219325"/>
            <wp:effectExtent l="0" t="0" r="9525" b="9525"/>
            <wp:docPr id="23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E6D45AA" w14:textId="77777777" w:rsidR="00D631BF" w:rsidRDefault="00D631BF" w:rsidP="00D631BF">
      <w:pPr>
        <w:tabs>
          <w:tab w:val="left" w:pos="2685"/>
        </w:tabs>
        <w:jc w:val="center"/>
        <w:rPr>
          <w:rFonts w:ascii="Times New Roman" w:hAnsi="Times New Roman" w:cs="Times New Roman"/>
          <w:sz w:val="24"/>
        </w:rPr>
      </w:pPr>
    </w:p>
    <w:p w14:paraId="71168556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Appendix J:</w:t>
      </w:r>
      <w:r>
        <w:rPr>
          <w:rFonts w:ascii="Times New Roman" w:hAnsi="Times New Roman" w:cs="Times New Roman"/>
          <w:sz w:val="24"/>
        </w:rPr>
        <w:t xml:space="preserve"> Table 15. Frequency of different used models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1440"/>
        <w:gridCol w:w="1170"/>
        <w:gridCol w:w="1500"/>
      </w:tblGrid>
      <w:tr w:rsidR="00D631BF" w14:paraId="15D5D9FD" w14:textId="77777777" w:rsidTr="00F74523">
        <w:trPr>
          <w:jc w:val="center"/>
        </w:trPr>
        <w:tc>
          <w:tcPr>
            <w:tcW w:w="738" w:type="dxa"/>
          </w:tcPr>
          <w:p w14:paraId="08063ABE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S.No</w:t>
            </w:r>
            <w:proofErr w:type="spellEnd"/>
            <w:proofErr w:type="gramEnd"/>
          </w:p>
        </w:tc>
        <w:tc>
          <w:tcPr>
            <w:tcW w:w="1440" w:type="dxa"/>
          </w:tcPr>
          <w:p w14:paraId="7208404B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Name of Tools</w:t>
            </w:r>
          </w:p>
        </w:tc>
        <w:tc>
          <w:tcPr>
            <w:tcW w:w="1170" w:type="dxa"/>
          </w:tcPr>
          <w:p w14:paraId="4197831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No. used</w:t>
            </w:r>
          </w:p>
          <w:p w14:paraId="6C8C0CE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N=14</w:t>
            </w:r>
          </w:p>
        </w:tc>
        <w:tc>
          <w:tcPr>
            <w:tcW w:w="1500" w:type="dxa"/>
          </w:tcPr>
          <w:p w14:paraId="53D7B8B5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Percentage</w:t>
            </w:r>
          </w:p>
        </w:tc>
      </w:tr>
      <w:tr w:rsidR="00D631BF" w14:paraId="5447E43E" w14:textId="77777777" w:rsidTr="00F74523">
        <w:trPr>
          <w:jc w:val="center"/>
        </w:trPr>
        <w:tc>
          <w:tcPr>
            <w:tcW w:w="738" w:type="dxa"/>
          </w:tcPr>
          <w:p w14:paraId="48187768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6DA9A8F8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LIME</w:t>
            </w:r>
          </w:p>
        </w:tc>
        <w:tc>
          <w:tcPr>
            <w:tcW w:w="1170" w:type="dxa"/>
          </w:tcPr>
          <w:p w14:paraId="20C42A48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0" w:type="dxa"/>
            <w:vAlign w:val="bottom"/>
          </w:tcPr>
          <w:p w14:paraId="2096CD1F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28.5%</w:t>
            </w:r>
          </w:p>
        </w:tc>
      </w:tr>
      <w:tr w:rsidR="00D631BF" w14:paraId="08007AE0" w14:textId="77777777" w:rsidTr="00F74523">
        <w:trPr>
          <w:jc w:val="center"/>
        </w:trPr>
        <w:tc>
          <w:tcPr>
            <w:tcW w:w="738" w:type="dxa"/>
          </w:tcPr>
          <w:p w14:paraId="650C1163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1B03EE44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iBreakdown</w:t>
            </w:r>
            <w:proofErr w:type="spellEnd"/>
          </w:p>
        </w:tc>
        <w:tc>
          <w:tcPr>
            <w:tcW w:w="1170" w:type="dxa"/>
          </w:tcPr>
          <w:p w14:paraId="00D85E6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vAlign w:val="bottom"/>
          </w:tcPr>
          <w:p w14:paraId="07A96125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7.14%</w:t>
            </w:r>
          </w:p>
        </w:tc>
      </w:tr>
      <w:tr w:rsidR="00D631BF" w14:paraId="09642C07" w14:textId="77777777" w:rsidTr="00F74523">
        <w:trPr>
          <w:jc w:val="center"/>
        </w:trPr>
        <w:tc>
          <w:tcPr>
            <w:tcW w:w="738" w:type="dxa"/>
          </w:tcPr>
          <w:p w14:paraId="1576855C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7EE6C910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SHAP</w:t>
            </w:r>
          </w:p>
        </w:tc>
        <w:tc>
          <w:tcPr>
            <w:tcW w:w="1170" w:type="dxa"/>
          </w:tcPr>
          <w:p w14:paraId="76BC5A9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00" w:type="dxa"/>
            <w:vAlign w:val="bottom"/>
          </w:tcPr>
          <w:p w14:paraId="32EB568D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85.7%</w:t>
            </w:r>
          </w:p>
        </w:tc>
      </w:tr>
      <w:tr w:rsidR="00D631BF" w14:paraId="4C6B0F19" w14:textId="77777777" w:rsidTr="00F74523">
        <w:trPr>
          <w:jc w:val="center"/>
        </w:trPr>
        <w:tc>
          <w:tcPr>
            <w:tcW w:w="738" w:type="dxa"/>
          </w:tcPr>
          <w:p w14:paraId="62F9C2FC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22BA3177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ELI5</w:t>
            </w:r>
          </w:p>
        </w:tc>
        <w:tc>
          <w:tcPr>
            <w:tcW w:w="1170" w:type="dxa"/>
          </w:tcPr>
          <w:p w14:paraId="5C0855A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</w:tcPr>
          <w:p w14:paraId="46C9F28E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7.14%</w:t>
            </w:r>
          </w:p>
        </w:tc>
      </w:tr>
      <w:tr w:rsidR="00D631BF" w14:paraId="05826356" w14:textId="77777777" w:rsidTr="00F74523">
        <w:trPr>
          <w:jc w:val="center"/>
        </w:trPr>
        <w:tc>
          <w:tcPr>
            <w:tcW w:w="738" w:type="dxa"/>
          </w:tcPr>
          <w:p w14:paraId="422EFFEF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201D431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Anchors</w:t>
            </w:r>
          </w:p>
        </w:tc>
        <w:tc>
          <w:tcPr>
            <w:tcW w:w="1170" w:type="dxa"/>
          </w:tcPr>
          <w:p w14:paraId="1DA3F6AB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</w:tcPr>
          <w:p w14:paraId="363AB6C5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7.14%</w:t>
            </w:r>
          </w:p>
        </w:tc>
      </w:tr>
    </w:tbl>
    <w:p w14:paraId="76297D75" w14:textId="77777777" w:rsidR="00D631BF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  <w:b/>
          <w:sz w:val="24"/>
        </w:rPr>
      </w:pPr>
    </w:p>
    <w:p w14:paraId="30BED995" w14:textId="77777777" w:rsidR="00D631BF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Appendix K: </w:t>
      </w:r>
      <w:r>
        <w:rPr>
          <w:rFonts w:ascii="Times New Roman" w:hAnsi="Times New Roman" w:cs="Times New Roman"/>
          <w:sz w:val="24"/>
        </w:rPr>
        <w:t xml:space="preserve">Figure 12. Libraries </w:t>
      </w:r>
      <w:proofErr w:type="spellStart"/>
      <w:r>
        <w:rPr>
          <w:rFonts w:ascii="Times New Roman" w:hAnsi="Times New Roman" w:cs="Times New Roman"/>
          <w:sz w:val="24"/>
        </w:rPr>
        <w:t>utilised</w:t>
      </w:r>
      <w:proofErr w:type="spellEnd"/>
      <w:r>
        <w:rPr>
          <w:rFonts w:ascii="Times New Roman" w:hAnsi="Times New Roman" w:cs="Times New Roman"/>
          <w:sz w:val="24"/>
        </w:rPr>
        <w:t xml:space="preserve"> in studies within the Finance domain</w:t>
      </w:r>
    </w:p>
    <w:p w14:paraId="24ADE825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12"/>
        </w:rPr>
        <w:drawing>
          <wp:inline distT="0" distB="0" distL="0" distR="0" wp14:anchorId="69B6C91D" wp14:editId="244E4CA8">
            <wp:extent cx="5486400" cy="2219325"/>
            <wp:effectExtent l="0" t="0" r="19050" b="9525"/>
            <wp:docPr id="33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EAFA411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b/>
          <w:sz w:val="24"/>
        </w:rPr>
      </w:pPr>
    </w:p>
    <w:p w14:paraId="7335E4BB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Appendix L:</w:t>
      </w:r>
      <w:r>
        <w:rPr>
          <w:rFonts w:ascii="Times New Roman" w:hAnsi="Times New Roman" w:cs="Times New Roman"/>
          <w:sz w:val="24"/>
        </w:rPr>
        <w:t xml:space="preserve"> Table 16. The frequency distribution of library usage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3"/>
        <w:gridCol w:w="1230"/>
        <w:gridCol w:w="1673"/>
        <w:gridCol w:w="1310"/>
        <w:gridCol w:w="1349"/>
      </w:tblGrid>
      <w:tr w:rsidR="00D631BF" w14:paraId="70DAC2F4" w14:textId="77777777" w:rsidTr="00F74523">
        <w:trPr>
          <w:jc w:val="center"/>
        </w:trPr>
        <w:tc>
          <w:tcPr>
            <w:tcW w:w="703" w:type="dxa"/>
          </w:tcPr>
          <w:p w14:paraId="7594E1D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S.No</w:t>
            </w:r>
            <w:proofErr w:type="spellEnd"/>
            <w:proofErr w:type="gramEnd"/>
          </w:p>
        </w:tc>
        <w:tc>
          <w:tcPr>
            <w:tcW w:w="1230" w:type="dxa"/>
          </w:tcPr>
          <w:p w14:paraId="6BA95537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Name of Tool</w:t>
            </w:r>
          </w:p>
        </w:tc>
        <w:tc>
          <w:tcPr>
            <w:tcW w:w="1673" w:type="dxa"/>
          </w:tcPr>
          <w:p w14:paraId="5A3703E8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Libraries</w:t>
            </w:r>
          </w:p>
        </w:tc>
        <w:tc>
          <w:tcPr>
            <w:tcW w:w="1310" w:type="dxa"/>
          </w:tcPr>
          <w:p w14:paraId="0B9DCEE6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Frequency</w:t>
            </w:r>
          </w:p>
          <w:p w14:paraId="40170B72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N=14</w:t>
            </w:r>
          </w:p>
        </w:tc>
        <w:tc>
          <w:tcPr>
            <w:tcW w:w="1349" w:type="dxa"/>
          </w:tcPr>
          <w:p w14:paraId="4F1EEF9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Percentage</w:t>
            </w:r>
          </w:p>
        </w:tc>
      </w:tr>
      <w:tr w:rsidR="00D631BF" w14:paraId="3A3AC7B9" w14:textId="77777777" w:rsidTr="00F74523">
        <w:trPr>
          <w:jc w:val="center"/>
        </w:trPr>
        <w:tc>
          <w:tcPr>
            <w:tcW w:w="703" w:type="dxa"/>
          </w:tcPr>
          <w:p w14:paraId="13760CF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 w14:paraId="32DB4E98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Python</w:t>
            </w:r>
          </w:p>
        </w:tc>
        <w:tc>
          <w:tcPr>
            <w:tcW w:w="1673" w:type="dxa"/>
          </w:tcPr>
          <w:p w14:paraId="2262FD47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Sci-kit learn</w:t>
            </w:r>
          </w:p>
        </w:tc>
        <w:tc>
          <w:tcPr>
            <w:tcW w:w="1310" w:type="dxa"/>
          </w:tcPr>
          <w:p w14:paraId="4A9B6163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349" w:type="dxa"/>
          </w:tcPr>
          <w:p w14:paraId="45F3EF94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28.5%</w:t>
            </w:r>
          </w:p>
        </w:tc>
      </w:tr>
      <w:tr w:rsidR="00D631BF" w14:paraId="1E967ABD" w14:textId="77777777" w:rsidTr="00F74523">
        <w:trPr>
          <w:jc w:val="center"/>
        </w:trPr>
        <w:tc>
          <w:tcPr>
            <w:tcW w:w="703" w:type="dxa"/>
          </w:tcPr>
          <w:p w14:paraId="7C0CDE9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30" w:type="dxa"/>
            <w:vMerge/>
          </w:tcPr>
          <w:p w14:paraId="14C36321" w14:textId="77777777" w:rsidR="00D631BF" w:rsidRPr="00D2043E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</w:tcPr>
          <w:p w14:paraId="26BEA59B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mlextend</w:t>
            </w:r>
            <w:proofErr w:type="spellEnd"/>
          </w:p>
        </w:tc>
        <w:tc>
          <w:tcPr>
            <w:tcW w:w="1310" w:type="dxa"/>
          </w:tcPr>
          <w:p w14:paraId="7AE4031F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1858B7F9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69489515" w14:textId="77777777" w:rsidTr="00F74523">
        <w:trPr>
          <w:jc w:val="center"/>
        </w:trPr>
        <w:tc>
          <w:tcPr>
            <w:tcW w:w="703" w:type="dxa"/>
          </w:tcPr>
          <w:p w14:paraId="0DEF6FBE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30" w:type="dxa"/>
            <w:vMerge/>
          </w:tcPr>
          <w:p w14:paraId="359E7FA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3" w:type="dxa"/>
          </w:tcPr>
          <w:p w14:paraId="1C93E2E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Tensorflow</w:t>
            </w:r>
            <w:proofErr w:type="spellEnd"/>
          </w:p>
        </w:tc>
        <w:tc>
          <w:tcPr>
            <w:tcW w:w="1310" w:type="dxa"/>
          </w:tcPr>
          <w:p w14:paraId="7074FC27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52FA5981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463C48CF" w14:textId="77777777" w:rsidTr="00F74523">
        <w:trPr>
          <w:jc w:val="center"/>
        </w:trPr>
        <w:tc>
          <w:tcPr>
            <w:tcW w:w="703" w:type="dxa"/>
          </w:tcPr>
          <w:p w14:paraId="208C4410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230" w:type="dxa"/>
            <w:vMerge/>
          </w:tcPr>
          <w:p w14:paraId="401BCFD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3" w:type="dxa"/>
          </w:tcPr>
          <w:p w14:paraId="06011D29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pytorch</w:t>
            </w:r>
            <w:proofErr w:type="spellEnd"/>
          </w:p>
        </w:tc>
        <w:tc>
          <w:tcPr>
            <w:tcW w:w="1310" w:type="dxa"/>
          </w:tcPr>
          <w:p w14:paraId="73C86E4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6B3AB4F0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4939519D" w14:textId="77777777" w:rsidTr="00F74523">
        <w:trPr>
          <w:jc w:val="center"/>
        </w:trPr>
        <w:tc>
          <w:tcPr>
            <w:tcW w:w="703" w:type="dxa"/>
          </w:tcPr>
          <w:p w14:paraId="11C1FD27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230" w:type="dxa"/>
          </w:tcPr>
          <w:p w14:paraId="5A196D60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</w:p>
        </w:tc>
        <w:tc>
          <w:tcPr>
            <w:tcW w:w="1673" w:type="dxa"/>
          </w:tcPr>
          <w:p w14:paraId="1C85DC29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caret</w:t>
            </w:r>
          </w:p>
        </w:tc>
        <w:tc>
          <w:tcPr>
            <w:tcW w:w="1310" w:type="dxa"/>
          </w:tcPr>
          <w:p w14:paraId="565BD407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1BE20728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555007EA" w14:textId="77777777" w:rsidTr="00F74523">
        <w:trPr>
          <w:jc w:val="center"/>
        </w:trPr>
        <w:tc>
          <w:tcPr>
            <w:tcW w:w="703" w:type="dxa"/>
          </w:tcPr>
          <w:p w14:paraId="36FCC3D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30" w:type="dxa"/>
          </w:tcPr>
          <w:p w14:paraId="19F1AD6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 mentioned</w:t>
            </w:r>
          </w:p>
        </w:tc>
        <w:tc>
          <w:tcPr>
            <w:tcW w:w="1673" w:type="dxa"/>
            <w:vAlign w:val="center"/>
          </w:tcPr>
          <w:p w14:paraId="67952466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Not mentioned</w:t>
            </w:r>
          </w:p>
        </w:tc>
        <w:tc>
          <w:tcPr>
            <w:tcW w:w="1310" w:type="dxa"/>
            <w:vAlign w:val="center"/>
          </w:tcPr>
          <w:p w14:paraId="5FA245CE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349" w:type="dxa"/>
            <w:vAlign w:val="center"/>
          </w:tcPr>
          <w:p w14:paraId="6F5CC720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42.8%</w:t>
            </w:r>
          </w:p>
        </w:tc>
      </w:tr>
    </w:tbl>
    <w:p w14:paraId="7A4C8E6C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</w:p>
    <w:p w14:paraId="6600AD15" w14:textId="7101BBA5" w:rsidR="00A8720D" w:rsidRDefault="00A8720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42FCF58A" w14:textId="77777777" w:rsidR="00D631BF" w:rsidRPr="002B6BF6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M: </w:t>
      </w:r>
      <w:r>
        <w:rPr>
          <w:rFonts w:ascii="Times New Roman" w:hAnsi="Times New Roman" w:cs="Times New Roman"/>
          <w:sz w:val="24"/>
        </w:rPr>
        <w:t xml:space="preserve">Figure 13. Types of Explanations </w:t>
      </w:r>
      <w:proofErr w:type="spellStart"/>
      <w:r>
        <w:rPr>
          <w:rFonts w:ascii="Times New Roman" w:hAnsi="Times New Roman" w:cs="Times New Roman"/>
          <w:sz w:val="24"/>
        </w:rPr>
        <w:t>Utilised</w:t>
      </w:r>
      <w:proofErr w:type="spellEnd"/>
      <w:r>
        <w:rPr>
          <w:rFonts w:ascii="Times New Roman" w:hAnsi="Times New Roman" w:cs="Times New Roman"/>
          <w:sz w:val="24"/>
        </w:rPr>
        <w:t xml:space="preserve"> in the Healthcare Domain</w:t>
      </w:r>
    </w:p>
    <w:p w14:paraId="7D649315" w14:textId="77777777" w:rsidR="00D631BF" w:rsidRDefault="00D631BF" w:rsidP="00D631BF">
      <w:pPr>
        <w:tabs>
          <w:tab w:val="left" w:pos="2685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ADF8AD1" wp14:editId="1CDD6033">
            <wp:extent cx="4524375" cy="1647825"/>
            <wp:effectExtent l="0" t="0" r="9525" b="9525"/>
            <wp:docPr id="34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66B98AC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Appendix N:</w:t>
      </w:r>
      <w:r>
        <w:rPr>
          <w:rFonts w:ascii="Times New Roman" w:hAnsi="Times New Roman" w:cs="Times New Roman"/>
          <w:sz w:val="24"/>
        </w:rPr>
        <w:t xml:space="preserve"> Table 17. Distribution of Explanation Usage Frequencies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12"/>
        <w:gridCol w:w="1874"/>
        <w:gridCol w:w="1349"/>
      </w:tblGrid>
      <w:tr w:rsidR="00D631BF" w14:paraId="1DDDE4C9" w14:textId="77777777" w:rsidTr="00F74523">
        <w:trPr>
          <w:jc w:val="center"/>
        </w:trPr>
        <w:tc>
          <w:tcPr>
            <w:tcW w:w="3512" w:type="dxa"/>
          </w:tcPr>
          <w:p w14:paraId="38CCC4B1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Type of Explanation</w:t>
            </w:r>
          </w:p>
        </w:tc>
        <w:tc>
          <w:tcPr>
            <w:tcW w:w="1874" w:type="dxa"/>
          </w:tcPr>
          <w:p w14:paraId="22A29BB6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No. of used</w:t>
            </w:r>
          </w:p>
          <w:p w14:paraId="533C4DB0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</w:rPr>
              <w:t>N=14</w:t>
            </w:r>
          </w:p>
        </w:tc>
        <w:tc>
          <w:tcPr>
            <w:tcW w:w="1349" w:type="dxa"/>
          </w:tcPr>
          <w:p w14:paraId="4B7D3819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Percentage </w:t>
            </w:r>
          </w:p>
        </w:tc>
      </w:tr>
      <w:tr w:rsidR="00D631BF" w14:paraId="502CA997" w14:textId="77777777" w:rsidTr="00F74523">
        <w:trPr>
          <w:jc w:val="center"/>
        </w:trPr>
        <w:tc>
          <w:tcPr>
            <w:tcW w:w="3512" w:type="dxa"/>
          </w:tcPr>
          <w:p w14:paraId="649EB45B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Local Explanation</w:t>
            </w:r>
          </w:p>
        </w:tc>
        <w:tc>
          <w:tcPr>
            <w:tcW w:w="1874" w:type="dxa"/>
          </w:tcPr>
          <w:p w14:paraId="3779EFE2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349" w:type="dxa"/>
          </w:tcPr>
          <w:p w14:paraId="5BF48F5C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85.7%</w:t>
            </w:r>
          </w:p>
        </w:tc>
      </w:tr>
      <w:tr w:rsidR="00D631BF" w14:paraId="6528FD99" w14:textId="77777777" w:rsidTr="00F74523">
        <w:trPr>
          <w:jc w:val="center"/>
        </w:trPr>
        <w:tc>
          <w:tcPr>
            <w:tcW w:w="3512" w:type="dxa"/>
          </w:tcPr>
          <w:p w14:paraId="5C72F8A5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Combination of Local &amp; Global</w:t>
            </w:r>
          </w:p>
        </w:tc>
        <w:tc>
          <w:tcPr>
            <w:tcW w:w="1874" w:type="dxa"/>
          </w:tcPr>
          <w:p w14:paraId="41B9B645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349" w:type="dxa"/>
          </w:tcPr>
          <w:p w14:paraId="0C92573A" w14:textId="77777777" w:rsidR="00D631BF" w:rsidRDefault="00D631BF" w:rsidP="00F74523">
            <w:pPr>
              <w:tabs>
                <w:tab w:val="left" w:pos="2685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14.2%</w:t>
            </w:r>
          </w:p>
        </w:tc>
      </w:tr>
    </w:tbl>
    <w:p w14:paraId="7095B2E4" w14:textId="77777777" w:rsidR="00D631BF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  <w:b/>
          <w:sz w:val="24"/>
        </w:rPr>
      </w:pPr>
    </w:p>
    <w:p w14:paraId="39FCCCA4" w14:textId="756015DE" w:rsidR="00D631BF" w:rsidRDefault="00D631BF" w:rsidP="00D631BF">
      <w:pPr>
        <w:tabs>
          <w:tab w:val="left" w:pos="2685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Appendix O:</w:t>
      </w:r>
      <w:r w:rsidRPr="0099435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Figure 14. XAI Tools </w:t>
      </w:r>
      <w:r w:rsidR="00A8720D">
        <w:rPr>
          <w:rFonts w:ascii="Times New Roman" w:hAnsi="Times New Roman" w:cs="Times New Roman"/>
          <w:sz w:val="24"/>
        </w:rPr>
        <w:t>Utilized</w:t>
      </w:r>
      <w:r>
        <w:rPr>
          <w:rFonts w:ascii="Times New Roman" w:hAnsi="Times New Roman" w:cs="Times New Roman"/>
          <w:sz w:val="24"/>
        </w:rPr>
        <w:t xml:space="preserve"> for Local Explanations in Healthcare</w:t>
      </w:r>
    </w:p>
    <w:p w14:paraId="32437424" w14:textId="77777777" w:rsidR="00D631BF" w:rsidRDefault="00D631BF" w:rsidP="00D631BF">
      <w:pPr>
        <w:tabs>
          <w:tab w:val="left" w:pos="2685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3C04A22" wp14:editId="32E8F0BD">
            <wp:extent cx="4848225" cy="2171700"/>
            <wp:effectExtent l="0" t="0" r="9525" b="19050"/>
            <wp:docPr id="35" name="Chart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0CB4445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Appendix P:</w:t>
      </w:r>
      <w:r>
        <w:rPr>
          <w:rFonts w:ascii="Times New Roman" w:hAnsi="Times New Roman" w:cs="Times New Roman"/>
          <w:sz w:val="24"/>
        </w:rPr>
        <w:t xml:space="preserve"> Table 18. Distribution of Explanation Usage Frequencies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1440"/>
        <w:gridCol w:w="1170"/>
        <w:gridCol w:w="1500"/>
      </w:tblGrid>
      <w:tr w:rsidR="00D631BF" w14:paraId="63FEA205" w14:textId="77777777" w:rsidTr="00F74523">
        <w:trPr>
          <w:jc w:val="center"/>
        </w:trPr>
        <w:tc>
          <w:tcPr>
            <w:tcW w:w="738" w:type="dxa"/>
          </w:tcPr>
          <w:p w14:paraId="7106F7EF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S.No</w:t>
            </w:r>
            <w:proofErr w:type="spellEnd"/>
            <w:proofErr w:type="gramEnd"/>
          </w:p>
        </w:tc>
        <w:tc>
          <w:tcPr>
            <w:tcW w:w="1440" w:type="dxa"/>
          </w:tcPr>
          <w:p w14:paraId="3362891B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Name of Tools</w:t>
            </w:r>
          </w:p>
        </w:tc>
        <w:tc>
          <w:tcPr>
            <w:tcW w:w="1170" w:type="dxa"/>
          </w:tcPr>
          <w:p w14:paraId="66329F4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No. used</w:t>
            </w:r>
          </w:p>
          <w:p w14:paraId="3F1487A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N=14</w:t>
            </w:r>
          </w:p>
        </w:tc>
        <w:tc>
          <w:tcPr>
            <w:tcW w:w="1500" w:type="dxa"/>
          </w:tcPr>
          <w:p w14:paraId="11A437D5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Percentage</w:t>
            </w:r>
          </w:p>
        </w:tc>
      </w:tr>
      <w:tr w:rsidR="00D631BF" w14:paraId="6A71B58D" w14:textId="77777777" w:rsidTr="00F74523">
        <w:trPr>
          <w:jc w:val="center"/>
        </w:trPr>
        <w:tc>
          <w:tcPr>
            <w:tcW w:w="738" w:type="dxa"/>
          </w:tcPr>
          <w:p w14:paraId="3A9A8A2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55B21EE8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LIME</w:t>
            </w:r>
          </w:p>
        </w:tc>
        <w:tc>
          <w:tcPr>
            <w:tcW w:w="1170" w:type="dxa"/>
          </w:tcPr>
          <w:p w14:paraId="2D587AFB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0" w:type="dxa"/>
            <w:vAlign w:val="bottom"/>
          </w:tcPr>
          <w:p w14:paraId="3672BAB6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35.71%</w:t>
            </w:r>
          </w:p>
        </w:tc>
      </w:tr>
      <w:tr w:rsidR="00D631BF" w14:paraId="24002C55" w14:textId="77777777" w:rsidTr="00F74523">
        <w:trPr>
          <w:jc w:val="center"/>
        </w:trPr>
        <w:tc>
          <w:tcPr>
            <w:tcW w:w="738" w:type="dxa"/>
          </w:tcPr>
          <w:p w14:paraId="274ECF78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157A01FE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Breakdown</w:t>
            </w:r>
          </w:p>
        </w:tc>
        <w:tc>
          <w:tcPr>
            <w:tcW w:w="1170" w:type="dxa"/>
          </w:tcPr>
          <w:p w14:paraId="04AB271F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vAlign w:val="bottom"/>
          </w:tcPr>
          <w:p w14:paraId="35088C6E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7.14%</w:t>
            </w:r>
          </w:p>
        </w:tc>
      </w:tr>
      <w:tr w:rsidR="00D631BF" w14:paraId="174C677E" w14:textId="77777777" w:rsidTr="00F74523">
        <w:trPr>
          <w:jc w:val="center"/>
        </w:trPr>
        <w:tc>
          <w:tcPr>
            <w:tcW w:w="738" w:type="dxa"/>
          </w:tcPr>
          <w:p w14:paraId="35B1809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759ECDCF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SHAP</w:t>
            </w:r>
          </w:p>
        </w:tc>
        <w:tc>
          <w:tcPr>
            <w:tcW w:w="1170" w:type="dxa"/>
          </w:tcPr>
          <w:p w14:paraId="684A7DCD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00" w:type="dxa"/>
            <w:vAlign w:val="bottom"/>
          </w:tcPr>
          <w:p w14:paraId="0CC90834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71.42%</w:t>
            </w:r>
          </w:p>
        </w:tc>
      </w:tr>
    </w:tbl>
    <w:p w14:paraId="692B13E1" w14:textId="77777777" w:rsidR="00D631BF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  <w:sz w:val="24"/>
        </w:rPr>
      </w:pPr>
    </w:p>
    <w:p w14:paraId="197C0B2C" w14:textId="77777777" w:rsidR="00A8720D" w:rsidRDefault="00A8720D" w:rsidP="00D631BF">
      <w:pPr>
        <w:tabs>
          <w:tab w:val="left" w:pos="2685"/>
        </w:tabs>
        <w:jc w:val="both"/>
        <w:rPr>
          <w:rFonts w:ascii="Times New Roman" w:hAnsi="Times New Roman" w:cs="Times New Roman"/>
          <w:sz w:val="24"/>
        </w:rPr>
      </w:pPr>
    </w:p>
    <w:p w14:paraId="34A6870A" w14:textId="77777777" w:rsidR="00D631BF" w:rsidRDefault="00D631BF" w:rsidP="00D631BF">
      <w:pPr>
        <w:tabs>
          <w:tab w:val="left" w:pos="2685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Appendix Q: </w:t>
      </w:r>
      <w:r>
        <w:rPr>
          <w:rFonts w:ascii="Times New Roman" w:hAnsi="Times New Roman" w:cs="Times New Roman"/>
          <w:sz w:val="24"/>
        </w:rPr>
        <w:t>Figure 15. Libraries used by studies in our SLR in the Healthcare domain</w:t>
      </w:r>
    </w:p>
    <w:p w14:paraId="73975E7A" w14:textId="77777777" w:rsidR="00D631BF" w:rsidRDefault="00D631BF" w:rsidP="00D631BF">
      <w:pPr>
        <w:tabs>
          <w:tab w:val="left" w:pos="268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D685C33" wp14:editId="17A5ECB1">
            <wp:extent cx="5770880" cy="2600325"/>
            <wp:effectExtent l="0" t="0" r="20320" b="9525"/>
            <wp:docPr id="39" name="Chart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11051FA" w14:textId="77777777" w:rsidR="00D631BF" w:rsidRDefault="00D631BF" w:rsidP="00D631BF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Appendix R: </w:t>
      </w:r>
      <w:r>
        <w:rPr>
          <w:rFonts w:ascii="Times New Roman" w:hAnsi="Times New Roman" w:cs="Times New Roman"/>
          <w:sz w:val="24"/>
        </w:rPr>
        <w:t>Table 19. Distribution of Libraries Usage Frequencies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38"/>
        <w:gridCol w:w="1230"/>
        <w:gridCol w:w="1563"/>
        <w:gridCol w:w="1310"/>
        <w:gridCol w:w="1349"/>
      </w:tblGrid>
      <w:tr w:rsidR="00D631BF" w14:paraId="14ECA6C7" w14:textId="77777777" w:rsidTr="00F74523">
        <w:trPr>
          <w:jc w:val="center"/>
        </w:trPr>
        <w:tc>
          <w:tcPr>
            <w:tcW w:w="738" w:type="dxa"/>
          </w:tcPr>
          <w:p w14:paraId="3A25ADC6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S.No</w:t>
            </w:r>
            <w:proofErr w:type="spellEnd"/>
            <w:proofErr w:type="gramEnd"/>
          </w:p>
        </w:tc>
        <w:tc>
          <w:tcPr>
            <w:tcW w:w="1230" w:type="dxa"/>
          </w:tcPr>
          <w:p w14:paraId="5288697C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Name of Tool</w:t>
            </w:r>
          </w:p>
          <w:p w14:paraId="56438ABE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3" w:type="dxa"/>
          </w:tcPr>
          <w:p w14:paraId="782E8CE9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Library </w:t>
            </w:r>
          </w:p>
          <w:p w14:paraId="2CE0CA72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Packages</w:t>
            </w:r>
          </w:p>
        </w:tc>
        <w:tc>
          <w:tcPr>
            <w:tcW w:w="1310" w:type="dxa"/>
          </w:tcPr>
          <w:p w14:paraId="46C33E5F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Frequency</w:t>
            </w:r>
          </w:p>
          <w:p w14:paraId="4B3C9CE0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N=14</w:t>
            </w:r>
          </w:p>
        </w:tc>
        <w:tc>
          <w:tcPr>
            <w:tcW w:w="1349" w:type="dxa"/>
          </w:tcPr>
          <w:p w14:paraId="6F5B1976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Percentage</w:t>
            </w:r>
          </w:p>
        </w:tc>
      </w:tr>
      <w:tr w:rsidR="00D631BF" w14:paraId="4EE9519C" w14:textId="77777777" w:rsidTr="00F74523">
        <w:trPr>
          <w:jc w:val="center"/>
        </w:trPr>
        <w:tc>
          <w:tcPr>
            <w:tcW w:w="738" w:type="dxa"/>
          </w:tcPr>
          <w:p w14:paraId="55C6CAC7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 w14:paraId="465E0DC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Python</w:t>
            </w:r>
          </w:p>
        </w:tc>
        <w:tc>
          <w:tcPr>
            <w:tcW w:w="1563" w:type="dxa"/>
          </w:tcPr>
          <w:p w14:paraId="2142A0AC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Sci-kit learn</w:t>
            </w:r>
          </w:p>
        </w:tc>
        <w:tc>
          <w:tcPr>
            <w:tcW w:w="1310" w:type="dxa"/>
          </w:tcPr>
          <w:p w14:paraId="141AAE1E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349" w:type="dxa"/>
          </w:tcPr>
          <w:p w14:paraId="5E968140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50%</w:t>
            </w:r>
          </w:p>
        </w:tc>
      </w:tr>
      <w:tr w:rsidR="00D631BF" w14:paraId="5D1709A4" w14:textId="77777777" w:rsidTr="00F74523">
        <w:trPr>
          <w:jc w:val="center"/>
        </w:trPr>
        <w:tc>
          <w:tcPr>
            <w:tcW w:w="738" w:type="dxa"/>
          </w:tcPr>
          <w:p w14:paraId="67ECB3F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30" w:type="dxa"/>
            <w:vMerge/>
          </w:tcPr>
          <w:p w14:paraId="7EC048C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3" w:type="dxa"/>
          </w:tcPr>
          <w:p w14:paraId="31B57395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Tensorflow</w:t>
            </w:r>
            <w:proofErr w:type="spellEnd"/>
          </w:p>
        </w:tc>
        <w:tc>
          <w:tcPr>
            <w:tcW w:w="1310" w:type="dxa"/>
          </w:tcPr>
          <w:p w14:paraId="191FDAE5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761D4CC5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0E2AF5A9" w14:textId="77777777" w:rsidTr="00F74523">
        <w:trPr>
          <w:jc w:val="center"/>
        </w:trPr>
        <w:tc>
          <w:tcPr>
            <w:tcW w:w="738" w:type="dxa"/>
          </w:tcPr>
          <w:p w14:paraId="57D9BDF4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30" w:type="dxa"/>
            <w:vMerge/>
          </w:tcPr>
          <w:p w14:paraId="575930A0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3" w:type="dxa"/>
          </w:tcPr>
          <w:p w14:paraId="13AB550D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missingpy</w:t>
            </w:r>
            <w:proofErr w:type="spellEnd"/>
          </w:p>
        </w:tc>
        <w:tc>
          <w:tcPr>
            <w:tcW w:w="1310" w:type="dxa"/>
          </w:tcPr>
          <w:p w14:paraId="2EEA8EEB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777993E0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4CB85423" w14:textId="77777777" w:rsidTr="00F74523">
        <w:trPr>
          <w:jc w:val="center"/>
        </w:trPr>
        <w:tc>
          <w:tcPr>
            <w:tcW w:w="738" w:type="dxa"/>
          </w:tcPr>
          <w:p w14:paraId="211EFC7C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230" w:type="dxa"/>
            <w:vMerge/>
          </w:tcPr>
          <w:p w14:paraId="3CC8DB57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3" w:type="dxa"/>
          </w:tcPr>
          <w:p w14:paraId="00937E96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PyTorch</w:t>
            </w:r>
            <w:proofErr w:type="spellEnd"/>
          </w:p>
        </w:tc>
        <w:tc>
          <w:tcPr>
            <w:tcW w:w="1310" w:type="dxa"/>
          </w:tcPr>
          <w:p w14:paraId="356BFC23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0AB494AC" w14:textId="77777777" w:rsidR="00D631BF" w:rsidRDefault="00D631BF" w:rsidP="00F7452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64F522FD" w14:textId="77777777" w:rsidTr="00F74523">
        <w:trPr>
          <w:jc w:val="center"/>
        </w:trPr>
        <w:tc>
          <w:tcPr>
            <w:tcW w:w="738" w:type="dxa"/>
          </w:tcPr>
          <w:p w14:paraId="5680B1C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230" w:type="dxa"/>
            <w:vMerge w:val="restart"/>
            <w:vAlign w:val="center"/>
          </w:tcPr>
          <w:p w14:paraId="223040A9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</w:p>
        </w:tc>
        <w:tc>
          <w:tcPr>
            <w:tcW w:w="1563" w:type="dxa"/>
          </w:tcPr>
          <w:p w14:paraId="302D5D6D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rpart</w:t>
            </w:r>
            <w:proofErr w:type="spellEnd"/>
          </w:p>
        </w:tc>
        <w:tc>
          <w:tcPr>
            <w:tcW w:w="1310" w:type="dxa"/>
          </w:tcPr>
          <w:p w14:paraId="5765E3C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7ADF560D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61F90591" w14:textId="77777777" w:rsidTr="00F74523">
        <w:trPr>
          <w:jc w:val="center"/>
        </w:trPr>
        <w:tc>
          <w:tcPr>
            <w:tcW w:w="738" w:type="dxa"/>
          </w:tcPr>
          <w:p w14:paraId="2B4C1DE7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30" w:type="dxa"/>
            <w:vMerge/>
          </w:tcPr>
          <w:p w14:paraId="2223E02A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3" w:type="dxa"/>
          </w:tcPr>
          <w:p w14:paraId="555B7C67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mlr</w:t>
            </w:r>
            <w:proofErr w:type="spellEnd"/>
          </w:p>
        </w:tc>
        <w:tc>
          <w:tcPr>
            <w:tcW w:w="1310" w:type="dxa"/>
          </w:tcPr>
          <w:p w14:paraId="31C070C2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49" w:type="dxa"/>
          </w:tcPr>
          <w:p w14:paraId="3EB28730" w14:textId="77777777" w:rsidR="00D631BF" w:rsidRDefault="00D631BF" w:rsidP="00F74523">
            <w:pPr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7.14%</w:t>
            </w:r>
          </w:p>
        </w:tc>
      </w:tr>
      <w:tr w:rsidR="00D631BF" w14:paraId="0F0F82BD" w14:textId="77777777" w:rsidTr="00F74523">
        <w:trPr>
          <w:jc w:val="center"/>
        </w:trPr>
        <w:tc>
          <w:tcPr>
            <w:tcW w:w="738" w:type="dxa"/>
          </w:tcPr>
          <w:p w14:paraId="2957704E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30" w:type="dxa"/>
            <w:vAlign w:val="center"/>
          </w:tcPr>
          <w:p w14:paraId="1A7C380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Not mentioned</w:t>
            </w:r>
          </w:p>
        </w:tc>
        <w:tc>
          <w:tcPr>
            <w:tcW w:w="1563" w:type="dxa"/>
            <w:vAlign w:val="center"/>
          </w:tcPr>
          <w:p w14:paraId="2A7D45C6" w14:textId="77777777" w:rsidR="00D631BF" w:rsidRDefault="00D631BF" w:rsidP="00F74523">
            <w:pPr>
              <w:tabs>
                <w:tab w:val="left" w:pos="2685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Not mentioned</w:t>
            </w:r>
          </w:p>
        </w:tc>
        <w:tc>
          <w:tcPr>
            <w:tcW w:w="1310" w:type="dxa"/>
            <w:vAlign w:val="center"/>
          </w:tcPr>
          <w:p w14:paraId="22EA7461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349" w:type="dxa"/>
            <w:vAlign w:val="center"/>
          </w:tcPr>
          <w:p w14:paraId="177F709A" w14:textId="77777777" w:rsidR="00D631BF" w:rsidRDefault="00D631BF" w:rsidP="00F74523">
            <w:pPr>
              <w:tabs>
                <w:tab w:val="left" w:pos="2685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28.5%</w:t>
            </w:r>
          </w:p>
        </w:tc>
      </w:tr>
    </w:tbl>
    <w:p w14:paraId="61174860" w14:textId="77777777" w:rsidR="00D631BF" w:rsidRDefault="00D631BF" w:rsidP="00D631BF">
      <w:pPr>
        <w:tabs>
          <w:tab w:val="left" w:pos="2685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</w:p>
    <w:p w14:paraId="6AA671C6" w14:textId="77777777" w:rsidR="00D631BF" w:rsidRDefault="00D631BF"/>
    <w:sectPr w:rsidR="00D631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-Regu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159D"/>
    <w:multiLevelType w:val="multilevel"/>
    <w:tmpl w:val="0226159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9647F"/>
    <w:multiLevelType w:val="multilevel"/>
    <w:tmpl w:val="1BA9647F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00205768">
    <w:abstractNumId w:val="0"/>
  </w:num>
  <w:num w:numId="2" w16cid:durableId="16983839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1BF"/>
    <w:rsid w:val="008F3666"/>
    <w:rsid w:val="00A8720D"/>
    <w:rsid w:val="00D6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85381"/>
  <w15:chartTrackingRefBased/>
  <w15:docId w15:val="{309F8690-EBFF-4B2E-8030-EA7C70A9C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D631BF"/>
    <w:pPr>
      <w:spacing w:after="0" w:line="240" w:lineRule="auto"/>
    </w:pPr>
    <w:rPr>
      <w:rFonts w:asciiTheme="majorHAnsi" w:eastAsiaTheme="minorHAnsi" w:hAnsiTheme="majorHAnsi" w:cstheme="majorBidi"/>
      <w:kern w:val="0"/>
      <w:sz w:val="20"/>
      <w:szCs w:val="2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3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chart" Target="charts/chart6.xml"/><Relationship Id="rId4" Type="http://schemas.openxmlformats.org/officeDocument/2006/relationships/webSettings" Target="webSettings.xml"/><Relationship Id="rId9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Types of Explanation</a:t>
            </a: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Local explanation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Sheet1!$B$2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E6B-414E-BCE5-98361522ABB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Global Explanation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E6B-414E-BCE5-98361522ABB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Combination of local &amp; Global Explanation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Sheet1!$D$2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E6B-414E-BCE5-98361522AB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0"/>
        <c:overlap val="-100"/>
        <c:axId val="263318144"/>
        <c:axId val="263397760"/>
      </c:barChart>
      <c:catAx>
        <c:axId val="263318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3397760"/>
        <c:crosses val="autoZero"/>
        <c:auto val="1"/>
        <c:lblAlgn val="ctr"/>
        <c:lblOffset val="100"/>
        <c:noMultiLvlLbl val="0"/>
      </c:catAx>
      <c:valAx>
        <c:axId val="263397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3318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 rot="0" spcFirstLastPara="0" vertOverflow="ellipsis" vert="horz" wrap="square" anchor="ctr" anchorCtr="1"/>
        <a:lstStyle/>
        <a:p>
          <a:pPr>
            <a:defRPr lang="en-US" sz="18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XAI tools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tx1"/>
              </a:solidFill>
            </c:spPr>
            <c:extLst>
              <c:ext xmlns:c16="http://schemas.microsoft.com/office/drawing/2014/chart" uri="{C3380CC4-5D6E-409C-BE32-E72D297353CC}">
                <c16:uniqueId val="{00000001-5702-41C7-9B3E-F14676C6EA9C}"/>
              </c:ext>
            </c:extLst>
          </c:dPt>
          <c:dPt>
            <c:idx val="1"/>
            <c:invertIfNegative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3-5702-41C7-9B3E-F14676C6EA9C}"/>
              </c:ext>
            </c:extLst>
          </c:dPt>
          <c:dPt>
            <c:idx val="2"/>
            <c:invertIfNegative val="0"/>
            <c:bubble3D val="0"/>
            <c:spPr>
              <a:solidFill>
                <a:srgbClr val="FFFF00"/>
              </a:solidFill>
            </c:spPr>
            <c:extLst>
              <c:ext xmlns:c16="http://schemas.microsoft.com/office/drawing/2014/chart" uri="{C3380CC4-5D6E-409C-BE32-E72D297353CC}">
                <c16:uniqueId val="{00000005-5702-41C7-9B3E-F14676C6EA9C}"/>
              </c:ext>
            </c:extLst>
          </c:dPt>
          <c:dPt>
            <c:idx val="3"/>
            <c:invertIfNegative val="0"/>
            <c:bubble3D val="0"/>
            <c:spPr>
              <a:solidFill>
                <a:srgbClr val="00B0F0"/>
              </a:solidFill>
            </c:spPr>
            <c:extLst>
              <c:ext xmlns:c16="http://schemas.microsoft.com/office/drawing/2014/chart" uri="{C3380CC4-5D6E-409C-BE32-E72D297353CC}">
                <c16:uniqueId val="{00000007-5702-41C7-9B3E-F14676C6EA9C}"/>
              </c:ext>
            </c:extLst>
          </c:dPt>
          <c:dPt>
            <c:idx val="4"/>
            <c:invertIfNegative val="0"/>
            <c:bubble3D val="0"/>
            <c:spPr>
              <a:solidFill>
                <a:srgbClr val="7030A0"/>
              </a:solidFill>
            </c:spPr>
            <c:extLst>
              <c:ext xmlns:c16="http://schemas.microsoft.com/office/drawing/2014/chart" uri="{C3380CC4-5D6E-409C-BE32-E72D297353CC}">
                <c16:uniqueId val="{00000009-5702-41C7-9B3E-F14676C6EA9C}"/>
              </c:ext>
            </c:extLst>
          </c:dPt>
          <c:cat>
            <c:strRef>
              <c:f>Sheet1!$A$2:$A$6</c:f>
              <c:strCache>
                <c:ptCount val="5"/>
                <c:pt idx="0">
                  <c:v>LIME</c:v>
                </c:pt>
                <c:pt idx="1">
                  <c:v>iBreakdown</c:v>
                </c:pt>
                <c:pt idx="2">
                  <c:v>SHAP</c:v>
                </c:pt>
                <c:pt idx="3">
                  <c:v>ELI5</c:v>
                </c:pt>
                <c:pt idx="4">
                  <c:v>Anchors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4</c:v>
                </c:pt>
                <c:pt idx="1">
                  <c:v>1</c:v>
                </c:pt>
                <c:pt idx="2">
                  <c:v>13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5702-41C7-9B3E-F14676C6EA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63455488"/>
        <c:axId val="263457024"/>
      </c:barChart>
      <c:catAx>
        <c:axId val="2634554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3457024"/>
        <c:crosses val="autoZero"/>
        <c:auto val="1"/>
        <c:lblAlgn val="ctr"/>
        <c:lblOffset val="100"/>
        <c:noMultiLvlLbl val="0"/>
      </c:catAx>
      <c:valAx>
        <c:axId val="2634570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3455488"/>
        <c:crosses val="autoZero"/>
        <c:crossBetween val="between"/>
        <c:majorUnit val="1"/>
      </c:valAx>
      <c:spPr>
        <a:ln cap="flat">
          <a:round/>
        </a:ln>
      </c:spPr>
    </c:plotArea>
    <c:plotVisOnly val="1"/>
    <c:dispBlanksAs val="gap"/>
    <c:showDLblsOverMax val="0"/>
  </c:chart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3622776319626706E-2"/>
          <c:y val="0.199239295088114"/>
          <c:w val="0.83218059778068898"/>
          <c:h val="0.730536782902136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Sci-kit learn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pPr>
                <a:noFill/>
                <a:ln>
                  <a:solidFill>
                    <a:schemeClr val="bg1"/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lang="en-US" sz="9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0A4-41A3-868C-A5ACB952E005}"/>
                </c:ext>
              </c:extLst>
            </c:dLbl>
            <c:spPr>
              <a:noFill/>
              <a:ln>
                <a:solidFill>
                  <a:schemeClr val="bg1"/>
                </a:solidFill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Sheet1!$B$2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A4-41A3-868C-A5ACB952E00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Mlextend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0A4-41A3-868C-A5ACB952E005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Tensorflow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Lbl>
              <c:idx val="0"/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0A4-41A3-868C-A5ACB952E00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0A4-41A3-868C-A5ACB952E005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Not mentioned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lang="en-US" sz="800" b="1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0A4-41A3-868C-A5ACB952E00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Sheet1!$E$2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0A4-41A3-868C-A5ACB952E005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caret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dLbl>
              <c:idx val="0"/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0A4-41A3-868C-A5ACB952E00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Sheet1!$F$2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0A4-41A3-868C-A5ACB952E005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pytorch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B0A4-41A3-868C-A5ACB952E00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8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Sheet1!$G$2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0A4-41A3-868C-A5ACB952E00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264320896"/>
        <c:axId val="264327168"/>
      </c:barChart>
      <c:catAx>
        <c:axId val="264320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en-US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Name of ML Libraries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4327168"/>
        <c:crosses val="autoZero"/>
        <c:auto val="1"/>
        <c:lblAlgn val="ctr"/>
        <c:lblOffset val="100"/>
        <c:noMultiLvlLbl val="0"/>
      </c:catAx>
      <c:valAx>
        <c:axId val="264327168"/>
        <c:scaling>
          <c:orientation val="minMax"/>
        </c:scaling>
        <c:delete val="0"/>
        <c:axPos val="l"/>
        <c:majorGridlines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en-US" sz="1100" b="0" i="0" u="none" strike="noStrike" kern="1200" cap="none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cap="none"/>
                  <a:t>No.</a:t>
                </a:r>
                <a:r>
                  <a:rPr lang="en-US" sz="1100" cap="none" baseline="0"/>
                  <a:t> of libraries</a:t>
                </a:r>
                <a:endParaRPr lang="en-US" sz="1100" cap="none"/>
              </a:p>
            </c:rich>
          </c:tx>
          <c:layout>
            <c:manualLayout>
              <c:xMode val="edge"/>
              <c:yMode val="edge"/>
              <c:x val="1.1867441803419432E-3"/>
              <c:y val="0.3105051187131470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4320896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prstDash val="solid"/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Local explanations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Sheet1!$B$2</c:f>
              <c:numCache>
                <c:formatCode>General</c:formatCode>
                <c:ptCount val="1"/>
                <c:pt idx="0">
                  <c:v>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0B-450E-A990-BA62AA18375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Combination of Local &amp; Global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Sheet1!$C$2</c:f>
              <c:numCache>
                <c:formatCode>General</c:formatCode>
                <c:ptCount val="1"/>
                <c:pt idx="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0B-450E-A990-BA62AA18375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74"/>
        <c:overlap val="-52"/>
        <c:axId val="273946496"/>
        <c:axId val="273948032"/>
      </c:barChart>
      <c:catAx>
        <c:axId val="273946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3948032"/>
        <c:crosses val="autoZero"/>
        <c:auto val="1"/>
        <c:lblAlgn val="ctr"/>
        <c:lblOffset val="100"/>
        <c:noMultiLvlLbl val="0"/>
      </c:catAx>
      <c:valAx>
        <c:axId val="2739480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39464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prstDash val="solid"/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en-US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Tools</a:t>
            </a:r>
            <a:r>
              <a:rPr lang="en-US" baseline="0"/>
              <a:t> used as local explanations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6.4841668858190371E-2"/>
          <c:y val="0.21733941152092831"/>
          <c:w val="0.76227031542471724"/>
          <c:h val="0.578337247317769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SHAP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Sheet1!$B$2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1A-4E3F-B4EE-416C3190813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LIME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en-US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Sheet1!$C$2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F1A-4E3F-B4EE-416C3190813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Breakdown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en-US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Sheet1!$A$2</c:f>
              <c:numCache>
                <c:formatCode>General</c:formatCode>
                <c:ptCount val="1"/>
              </c:numCache>
            </c:numRef>
          </c:cat>
          <c:val>
            <c:numRef>
              <c:f>Sheet1!$D$2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F1A-4E3F-B4EE-416C3190813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500"/>
        <c:overlap val="-100"/>
        <c:axId val="273988608"/>
        <c:axId val="273990400"/>
      </c:barChart>
      <c:catAx>
        <c:axId val="273988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3990400"/>
        <c:crosses val="autoZero"/>
        <c:auto val="1"/>
        <c:lblAlgn val="ctr"/>
        <c:lblOffset val="100"/>
        <c:noMultiLvlLbl val="0"/>
      </c:catAx>
      <c:valAx>
        <c:axId val="273990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3988608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4221875911344402"/>
          <c:y val="0.90629890013748304"/>
          <c:w val="0.33408081802274697"/>
          <c:h val="6.592332208473940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prstDash val="solid"/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en-US"/>
              <a:t>No of libraries</a:t>
            </a:r>
          </a:p>
        </c:rich>
      </c:tx>
      <c:layout>
        <c:manualLayout>
          <c:xMode val="edge"/>
          <c:yMode val="edge"/>
          <c:x val="0.31816214195627474"/>
          <c:y val="0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3.4174321959754998E-2"/>
          <c:y val="0.122677521789068"/>
          <c:w val="0.94962197433654105"/>
          <c:h val="0.65691323256125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Sci-kit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sz="900">
                        <a:solidFill>
                          <a:schemeClr val="tx1"/>
                        </a:solidFill>
                      </a:rPr>
                      <a:t>Sci-kit, 7</a:t>
                    </a:r>
                    <a:endParaRPr lang="en-US" sz="1000"/>
                  </a:p>
                </c:rich>
              </c:tx>
              <c:dLblPos val="outEnd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E5D9-46EB-B3DD-D60E6B21B7E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5D9-46EB-B3DD-D60E6B21B7E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Tensorflow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5D9-46EB-B3DD-D60E6B21B7E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rpart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Sheet1!$D$2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5D9-46EB-B3DD-D60E6B21B7ED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mlr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Sheet1!$E$2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5D9-46EB-B3DD-D60E6B21B7ED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not mentioned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Sheet1!$F$2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5D9-46EB-B3DD-D60E6B21B7ED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missingpy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Sheet1!$G$2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5D9-46EB-B3DD-D60E6B21B7ED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PyTorch</c:v>
                </c:pt>
              </c:strCache>
            </c:strRef>
          </c:tx>
          <c:spPr>
            <a:solidFill>
              <a:schemeClr val="tx1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vert="horz"/>
              <a:lstStyle/>
              <a:p>
                <a:pPr>
                  <a:defRPr/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</c:f>
              <c:strCache>
                <c:ptCount val="1"/>
                <c:pt idx="0">
                  <c:v>Category 1</c:v>
                </c:pt>
              </c:strCache>
            </c:strRef>
          </c:cat>
          <c:val>
            <c:numRef>
              <c:f>Sheet1!$H$2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5D9-46EB-B3DD-D60E6B21B7E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335363456"/>
        <c:axId val="335381632"/>
      </c:barChart>
      <c:catAx>
        <c:axId val="33536345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335381632"/>
        <c:crosses val="autoZero"/>
        <c:auto val="1"/>
        <c:lblAlgn val="ctr"/>
        <c:lblOffset val="100"/>
        <c:noMultiLvlLbl val="0"/>
      </c:catAx>
      <c:valAx>
        <c:axId val="335381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335363456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2155065107162803E-2"/>
          <c:y val="0.843748762173959"/>
          <c:w val="0.92823590163025405"/>
          <c:h val="8.1136396411987E-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prstDash val="solid"/>
      <a:round/>
    </a:ln>
    <a:effectLst/>
  </c:spPr>
  <c:txPr>
    <a:bodyPr/>
    <a:lstStyle/>
    <a:p>
      <a:pPr>
        <a:defRPr lang="en-US" sz="1050">
          <a:solidFill>
            <a:schemeClr val="tx1"/>
          </a:solidFill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1817</Words>
  <Characters>10361</Characters>
  <Application>Microsoft Office Word</Application>
  <DocSecurity>0</DocSecurity>
  <Lines>86</Lines>
  <Paragraphs>24</Paragraphs>
  <ScaleCrop>false</ScaleCrop>
  <Company/>
  <LinksUpToDate>false</LinksUpToDate>
  <CharactersWithSpaces>12154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fasee khalil</dc:creator>
  <cp:keywords/>
  <dc:description/>
  <cp:lastModifiedBy>fasee khalil</cp:lastModifiedBy>
  <cp:revision>3</cp:revision>
  <dcterms:created xsi:type="dcterms:W3CDTF">2023-08-22T09:14:00Z</dcterms:created>
  <dcterms:modified xsi:type="dcterms:W3CDTF">2023-09-04T06:23:00Z</dcterms:modified>
</cp:coreProperties>
</file>