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9DE2F7" w14:textId="77777777" w:rsidR="00A44C6F" w:rsidRDefault="00A44C6F" w:rsidP="00A44C6F">
      <w:pPr>
        <w:spacing w:line="480" w:lineRule="auto"/>
        <w:rPr>
          <w:rFonts w:ascii="Arial" w:eastAsia="Arial" w:hAnsi="Arial" w:cs="Arial"/>
          <w:b/>
          <w:bCs/>
          <w:color w:val="000000" w:themeColor="text1"/>
          <w:sz w:val="22"/>
          <w:szCs w:val="22"/>
        </w:rPr>
      </w:pPr>
      <w:r>
        <w:rPr>
          <w:rFonts w:ascii="Arial" w:eastAsia="Arial" w:hAnsi="Arial" w:cs="Arial"/>
          <w:b/>
          <w:bCs/>
          <w:color w:val="000000" w:themeColor="text1"/>
          <w:sz w:val="22"/>
          <w:szCs w:val="22"/>
        </w:rPr>
        <w:t>Online Supplements</w:t>
      </w:r>
    </w:p>
    <w:p w14:paraId="79190115" w14:textId="77777777" w:rsidR="00A44C6F" w:rsidRDefault="00A44C6F" w:rsidP="00A44C6F">
      <w:pPr>
        <w:spacing w:line="480" w:lineRule="auto"/>
        <w:jc w:val="both"/>
        <w:rPr>
          <w:rFonts w:ascii="Arial" w:eastAsia="Arial" w:hAnsi="Arial" w:cs="Arial"/>
          <w:color w:val="000000" w:themeColor="text1"/>
          <w:sz w:val="22"/>
          <w:szCs w:val="22"/>
        </w:rPr>
      </w:pPr>
      <w:r>
        <w:rPr>
          <w:rFonts w:ascii="Arial" w:eastAsia="Arial" w:hAnsi="Arial" w:cs="Arial"/>
          <w:b/>
          <w:bCs/>
          <w:color w:val="000000" w:themeColor="text1"/>
          <w:sz w:val="22"/>
          <w:szCs w:val="22"/>
        </w:rPr>
        <w:t>Video 1. Visual reconstruction of the flow and velocity assessed with 4D flow.</w:t>
      </w:r>
      <w:r>
        <w:rPr>
          <w:rFonts w:ascii="Arial" w:eastAsia="Arial" w:hAnsi="Arial" w:cs="Arial"/>
          <w:color w:val="000000" w:themeColor="text1"/>
          <w:sz w:val="22"/>
          <w:szCs w:val="22"/>
        </w:rPr>
        <w:t xml:space="preserve"> Flow and velocity assessed during baseline (A) and stress induced by dobutamine (B). The grey area represents the range of interest where the measurement in the pulmonary trunk was assessed. (</w:t>
      </w:r>
      <w:hyperlink r:id="rId4" w:history="1">
        <w:r>
          <w:rPr>
            <w:rStyle w:val="Hyperlink"/>
            <w:rFonts w:ascii="Arial" w:eastAsia="Arial" w:hAnsi="Arial" w:cs="Arial"/>
            <w:sz w:val="22"/>
            <w:szCs w:val="22"/>
          </w:rPr>
          <w:t>https://1drv.ms/p/s!AlU4t-DkOwAPvAtUKpTylArKpaQr?e=w3w5fv</w:t>
        </w:r>
      </w:hyperlink>
      <w:r>
        <w:rPr>
          <w:rFonts w:ascii="Arial" w:eastAsia="Arial" w:hAnsi="Arial" w:cs="Arial"/>
          <w:color w:val="000000" w:themeColor="text1"/>
          <w:sz w:val="22"/>
          <w:szCs w:val="22"/>
        </w:rPr>
        <w:t xml:space="preserve">). </w:t>
      </w:r>
    </w:p>
    <w:p w14:paraId="4F4B7D49" w14:textId="77777777" w:rsidR="00A44C6F" w:rsidRDefault="00A44C6F" w:rsidP="00A44C6F">
      <w:pPr>
        <w:spacing w:line="480" w:lineRule="auto"/>
        <w:jc w:val="both"/>
        <w:rPr>
          <w:rFonts w:ascii="Arial" w:eastAsia="Arial" w:hAnsi="Arial" w:cs="Arial"/>
          <w:color w:val="000000" w:themeColor="text1"/>
          <w:sz w:val="22"/>
          <w:szCs w:val="22"/>
        </w:rPr>
      </w:pPr>
    </w:p>
    <w:p w14:paraId="1E1240B3" w14:textId="77777777" w:rsidR="00A44C6F" w:rsidRDefault="00A44C6F" w:rsidP="00A44C6F">
      <w:pPr>
        <w:spacing w:line="480" w:lineRule="auto"/>
        <w:jc w:val="both"/>
        <w:rPr>
          <w:rFonts w:ascii="Arial" w:eastAsia="Arial" w:hAnsi="Arial" w:cs="Arial"/>
          <w:color w:val="000000" w:themeColor="text1"/>
          <w:sz w:val="22"/>
          <w:szCs w:val="22"/>
        </w:rPr>
      </w:pPr>
      <w:r>
        <w:rPr>
          <w:rFonts w:ascii="Arial" w:eastAsia="Arial" w:hAnsi="Arial" w:cs="Arial"/>
          <w:b/>
          <w:bCs/>
          <w:color w:val="000000" w:themeColor="text1"/>
          <w:sz w:val="22"/>
          <w:szCs w:val="22"/>
        </w:rPr>
        <w:t>Figure 1S. Intra- and Inter- observer reproducibility analysis of Flow and Velocity in the pulmonary trunk during baseline.</w:t>
      </w:r>
      <w:r>
        <w:rPr>
          <w:rFonts w:ascii="Arial" w:eastAsia="Arial" w:hAnsi="Arial" w:cs="Arial"/>
          <w:color w:val="000000" w:themeColor="text1"/>
          <w:sz w:val="22"/>
          <w:szCs w:val="22"/>
        </w:rPr>
        <w:t xml:space="preserve"> A) Bland-Altman plots evaluating the intra-observer reproducibility (green dots) of both Flow (left) and Velocity (right). The average bias (solid black line) is near zero. The upper and lower limits of agreement (dashed black lines) are calculated as the mean difference +/- 1.96 standard deviation.  B) same as A but for the inter-observer reproducibility (red dots).</w:t>
      </w:r>
    </w:p>
    <w:p w14:paraId="3D48CB13" w14:textId="77777777" w:rsidR="001760E5" w:rsidRDefault="00A44C6F"/>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C6F"/>
    <w:rsid w:val="006E225C"/>
    <w:rsid w:val="008A3324"/>
    <w:rsid w:val="0096107C"/>
    <w:rsid w:val="00996CDB"/>
    <w:rsid w:val="009B6A41"/>
    <w:rsid w:val="00A44C6F"/>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67973"/>
  <w15:chartTrackingRefBased/>
  <w15:docId w15:val="{BCEDD0D8-9C7A-4A62-9220-F6EA4BF90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4C6F"/>
    <w:pPr>
      <w:spacing w:after="0" w:line="240" w:lineRule="auto"/>
    </w:pPr>
    <w:rPr>
      <w:rFonts w:ascii="Calibri" w:eastAsia="Calibri" w:hAnsi="Calibri" w:cs="Calibri"/>
      <w:sz w:val="24"/>
      <w:szCs w:val="24"/>
      <w:lang w:val="en-GB"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44C6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4674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1drv.ms/p/s!AlU4t-DkOwAPvAtUKpTylArKpaQr?e=w3w5f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784</Characters>
  <Application>Microsoft Office Word</Application>
  <DocSecurity>0</DocSecurity>
  <Lines>6</Lines>
  <Paragraphs>1</Paragraphs>
  <ScaleCrop>false</ScaleCrop>
  <Company>Springer Nature</Company>
  <LinksUpToDate>false</LinksUpToDate>
  <CharactersWithSpaces>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2023-08-02T02:58:00Z</dcterms:created>
  <dcterms:modified xsi:type="dcterms:W3CDTF">2023-08-02T02:58:00Z</dcterms:modified>
</cp:coreProperties>
</file>