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68FF" w14:textId="12CA1FE7" w:rsidR="00D812CC" w:rsidRDefault="0047053C">
      <w:pPr>
        <w:ind w:firstLine="420"/>
        <w:rPr>
          <w:rStyle w:val="tlid-translation"/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Style w:val="tlid-translation"/>
          <w:rFonts w:ascii="Times New Roman" w:hAnsi="Times New Roman" w:cs="Times New Roman"/>
          <w:color w:val="000000" w:themeColor="text1"/>
          <w:sz w:val="21"/>
          <w:szCs w:val="21"/>
        </w:rPr>
        <w:t>Inclusion criteria for clinical diagnosis of neonatal sepsis</w:t>
      </w:r>
    </w:p>
    <w:tbl>
      <w:tblPr>
        <w:tblStyle w:val="ae"/>
        <w:tblpPr w:leftFromText="180" w:rightFromText="180" w:vertAnchor="text" w:horzAnchor="page" w:tblpX="1329" w:tblpY="453"/>
        <w:tblOverlap w:val="never"/>
        <w:tblW w:w="10632" w:type="dxa"/>
        <w:tblLook w:val="04A0" w:firstRow="1" w:lastRow="0" w:firstColumn="1" w:lastColumn="0" w:noHBand="0" w:noVBand="1"/>
      </w:tblPr>
      <w:tblGrid>
        <w:gridCol w:w="1418"/>
        <w:gridCol w:w="3302"/>
        <w:gridCol w:w="1517"/>
        <w:gridCol w:w="4395"/>
      </w:tblGrid>
      <w:tr w:rsidR="00D812CC" w14:paraId="72415921" w14:textId="77777777">
        <w:tc>
          <w:tcPr>
            <w:tcW w:w="1418" w:type="dxa"/>
            <w:vAlign w:val="center"/>
          </w:tcPr>
          <w:p w14:paraId="7A7FD76C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System position</w:t>
            </w:r>
          </w:p>
        </w:tc>
        <w:tc>
          <w:tcPr>
            <w:tcW w:w="3302" w:type="dxa"/>
            <w:vAlign w:val="center"/>
          </w:tcPr>
          <w:p w14:paraId="157853CE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There are clinical abnormalities symptoms</w:t>
            </w:r>
          </w:p>
        </w:tc>
        <w:tc>
          <w:tcPr>
            <w:tcW w:w="1517" w:type="dxa"/>
            <w:vAlign w:val="center"/>
          </w:tcPr>
          <w:p w14:paraId="4433CC3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>Check the number of project indicators</w:t>
            </w:r>
          </w:p>
        </w:tc>
        <w:tc>
          <w:tcPr>
            <w:tcW w:w="4395" w:type="dxa"/>
            <w:vAlign w:val="center"/>
          </w:tcPr>
          <w:p w14:paraId="122D6326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Specific contents of abnormal inspection index</w:t>
            </w:r>
          </w:p>
        </w:tc>
      </w:tr>
      <w:tr w:rsidR="00D812CC" w14:paraId="6BBCD892" w14:textId="77777777">
        <w:tc>
          <w:tcPr>
            <w:tcW w:w="1418" w:type="dxa"/>
            <w:vAlign w:val="center"/>
          </w:tcPr>
          <w:p w14:paraId="50054D4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whole body</w:t>
            </w:r>
          </w:p>
        </w:tc>
        <w:tc>
          <w:tcPr>
            <w:tcW w:w="3302" w:type="dxa"/>
            <w:vAlign w:val="center"/>
          </w:tcPr>
          <w:p w14:paraId="7671C9FF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Fever, hypothermia, poor response, poor feeding, edema, low APgar score</w:t>
            </w:r>
          </w:p>
        </w:tc>
        <w:tc>
          <w:tcPr>
            <w:tcW w:w="1517" w:type="dxa"/>
            <w:vMerge w:val="restart"/>
            <w:vAlign w:val="center"/>
          </w:tcPr>
          <w:p w14:paraId="065F207E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395" w:type="dxa"/>
            <w:vMerge w:val="restart"/>
            <w:vAlign w:val="center"/>
          </w:tcPr>
          <w:p w14:paraId="0A6E482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least two of the five items (white blood cell count and classification; C-reactive protein; platelet count; procalcitonin; and erythrocyte sedimentation rate) in non-specific blood tests that showed elevated levels</w:t>
            </w:r>
          </w:p>
          <w:p w14:paraId="43D20955" w14:textId="77777777" w:rsidR="00D812CC" w:rsidRDefault="00D812CC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812CC" w14:paraId="7AD78446" w14:textId="77777777">
        <w:tc>
          <w:tcPr>
            <w:tcW w:w="1418" w:type="dxa"/>
            <w:vAlign w:val="center"/>
          </w:tcPr>
          <w:p w14:paraId="46CD38F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digestive system</w:t>
            </w:r>
          </w:p>
        </w:tc>
        <w:tc>
          <w:tcPr>
            <w:tcW w:w="3302" w:type="dxa"/>
            <w:vAlign w:val="center"/>
          </w:tcPr>
          <w:p w14:paraId="4A0E88EF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Jaundice, abdominal distension, vomiting or gastric retention, diarrhea, and hepatomegaly</w:t>
            </w:r>
          </w:p>
        </w:tc>
        <w:tc>
          <w:tcPr>
            <w:tcW w:w="1517" w:type="dxa"/>
            <w:vMerge/>
            <w:vAlign w:val="center"/>
          </w:tcPr>
          <w:p w14:paraId="2AA81DAE" w14:textId="77777777" w:rsidR="00D812CC" w:rsidRDefault="00D812CC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vMerge/>
            <w:vAlign w:val="center"/>
          </w:tcPr>
          <w:p w14:paraId="0E87626C" w14:textId="77777777" w:rsidR="00D812CC" w:rsidRDefault="00D812CC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812CC" w14:paraId="63CE86FD" w14:textId="77777777">
        <w:tc>
          <w:tcPr>
            <w:tcW w:w="1418" w:type="dxa"/>
            <w:vAlign w:val="center"/>
          </w:tcPr>
          <w:p w14:paraId="38FA76BA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respiratory system</w:t>
            </w:r>
          </w:p>
        </w:tc>
        <w:tc>
          <w:tcPr>
            <w:tcW w:w="3302" w:type="dxa"/>
            <w:vAlign w:val="center"/>
          </w:tcPr>
          <w:p w14:paraId="7BA99CCD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Dyspnea, apnea, cyanosis, etc. The primary manifestation of premature sepsis is apnea or respiratory distress and lasts for more than 6h</w:t>
            </w:r>
          </w:p>
        </w:tc>
        <w:tc>
          <w:tcPr>
            <w:tcW w:w="1517" w:type="dxa"/>
            <w:vMerge w:val="restart"/>
            <w:vAlign w:val="center"/>
          </w:tcPr>
          <w:p w14:paraId="34F15F8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395" w:type="dxa"/>
            <w:vMerge w:val="restart"/>
            <w:vAlign w:val="center"/>
          </w:tcPr>
          <w:p w14:paraId="2AE9BB98" w14:textId="77777777" w:rsidR="00D812CC" w:rsidRDefault="00740AA6">
            <w:pPr>
              <w:snapToGrid w:val="0"/>
              <w:spacing w:line="480" w:lineRule="auto"/>
              <w:contextualSpacing/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blood samples tested positive for bacterial pathogens DNA</w:t>
            </w:r>
          </w:p>
        </w:tc>
      </w:tr>
      <w:tr w:rsidR="00D812CC" w14:paraId="763EB736" w14:textId="77777777">
        <w:tc>
          <w:tcPr>
            <w:tcW w:w="1418" w:type="dxa"/>
            <w:vAlign w:val="center"/>
          </w:tcPr>
          <w:p w14:paraId="051D90C6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circulatory system</w:t>
            </w:r>
          </w:p>
        </w:tc>
        <w:tc>
          <w:tcPr>
            <w:tcW w:w="3302" w:type="dxa"/>
            <w:vAlign w:val="center"/>
          </w:tcPr>
          <w:p w14:paraId="5A47AEE1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Pale complexion, cold extremities, tachycardia or bradycardia, marbled skin, hypotension or capillary filling time &gt;3s</w:t>
            </w:r>
          </w:p>
        </w:tc>
        <w:tc>
          <w:tcPr>
            <w:tcW w:w="1517" w:type="dxa"/>
            <w:vMerge/>
            <w:vAlign w:val="center"/>
          </w:tcPr>
          <w:p w14:paraId="0B0CDB5D" w14:textId="77777777" w:rsidR="00D812CC" w:rsidRDefault="00D812CC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4395" w:type="dxa"/>
            <w:vMerge/>
            <w:vAlign w:val="center"/>
          </w:tcPr>
          <w:p w14:paraId="0748284D" w14:textId="77777777" w:rsidR="00D812CC" w:rsidRDefault="00D812CC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812CC" w14:paraId="19BD8C40" w14:textId="77777777">
        <w:tc>
          <w:tcPr>
            <w:tcW w:w="1418" w:type="dxa"/>
            <w:vAlign w:val="center"/>
          </w:tcPr>
          <w:p w14:paraId="5F077705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Urinary system</w:t>
            </w:r>
          </w:p>
        </w:tc>
        <w:tc>
          <w:tcPr>
            <w:tcW w:w="3302" w:type="dxa"/>
            <w:vAlign w:val="center"/>
          </w:tcPr>
          <w:p w14:paraId="3C6DE3F1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Oliguria and renal failure</w:t>
            </w:r>
          </w:p>
        </w:tc>
        <w:tc>
          <w:tcPr>
            <w:tcW w:w="1517" w:type="dxa"/>
            <w:vMerge w:val="restart"/>
            <w:vAlign w:val="center"/>
          </w:tcPr>
          <w:p w14:paraId="5ECE685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395" w:type="dxa"/>
            <w:vMerge w:val="restart"/>
            <w:vAlign w:val="center"/>
          </w:tcPr>
          <w:p w14:paraId="2F84EE7A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Cerebrospinal</w:t>
            </w: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fluid examination that revealed purulent meningitis</w:t>
            </w:r>
          </w:p>
        </w:tc>
      </w:tr>
      <w:tr w:rsidR="00D812CC" w14:paraId="4AFA60D6" w14:textId="77777777">
        <w:tc>
          <w:tcPr>
            <w:tcW w:w="1418" w:type="dxa"/>
            <w:vAlign w:val="center"/>
          </w:tcPr>
          <w:p w14:paraId="17BA2322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blood system</w:t>
            </w:r>
          </w:p>
        </w:tc>
        <w:tc>
          <w:tcPr>
            <w:tcW w:w="3302" w:type="dxa"/>
            <w:vAlign w:val="center"/>
          </w:tcPr>
          <w:p w14:paraId="5AE28573" w14:textId="77777777" w:rsidR="00D812CC" w:rsidRDefault="00740AA6">
            <w:pPr>
              <w:jc w:val="center"/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Bleeding, purpura</w:t>
            </w:r>
          </w:p>
        </w:tc>
        <w:tc>
          <w:tcPr>
            <w:tcW w:w="1517" w:type="dxa"/>
            <w:vMerge/>
          </w:tcPr>
          <w:p w14:paraId="3F266C29" w14:textId="77777777" w:rsidR="00D812CC" w:rsidRDefault="00D812CC">
            <w:pPr>
              <w:rPr>
                <w:rStyle w:val="tlid-translation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95" w:type="dxa"/>
            <w:vMerge/>
          </w:tcPr>
          <w:p w14:paraId="40104380" w14:textId="77777777" w:rsidR="00D812CC" w:rsidRDefault="00D812CC">
            <w:pPr>
              <w:rPr>
                <w:rStyle w:val="tlid-translation"/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261DBB2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7F35E8FE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238545B" w14:textId="77777777" w:rsidR="00D812CC" w:rsidRDefault="00740AA6">
      <w:pP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Note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Abnormal clinical symptoms and any anomaly of the three test indicators can be diagno</w:t>
      </w:r>
    </w:p>
    <w:p w14:paraId="5609102F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34BEAED8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12467128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336FD975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64F633BF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542C02D9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37761E37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49720696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367383D5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089545F8" w14:textId="77777777" w:rsidR="00D812CC" w:rsidRDefault="00D812CC">
      <w:pPr>
        <w:ind w:firstLine="420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61A9E86C" w14:textId="77777777" w:rsidR="00D812CC" w:rsidRDefault="00D812CC">
      <w:pP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4E467351" w14:textId="197A9B66" w:rsidR="00D812CC" w:rsidRDefault="0047053C">
      <w:pPr>
        <w:ind w:firstLine="420"/>
        <w:rPr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lastRenderedPageBreak/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2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Partial case data of 20 patients with NS</w:t>
      </w:r>
    </w:p>
    <w:tbl>
      <w:tblPr>
        <w:tblpPr w:leftFromText="180" w:rightFromText="180" w:vertAnchor="text" w:horzAnchor="page" w:tblpX="1396" w:tblpY="41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1084"/>
        <w:gridCol w:w="1194"/>
        <w:gridCol w:w="1161"/>
        <w:gridCol w:w="983"/>
        <w:gridCol w:w="949"/>
        <w:gridCol w:w="1226"/>
      </w:tblGrid>
      <w:tr w:rsidR="00D812CC" w14:paraId="1B615BA9" w14:textId="77777777">
        <w:tc>
          <w:tcPr>
            <w:tcW w:w="1476" w:type="pct"/>
            <w:vMerge w:val="restart"/>
            <w:tcBorders>
              <w:left w:val="nil"/>
              <w:right w:val="nil"/>
            </w:tcBorders>
            <w:vAlign w:val="center"/>
          </w:tcPr>
          <w:p w14:paraId="7FC2BC78" w14:textId="77777777" w:rsidR="00D812CC" w:rsidRDefault="00740AA6">
            <w:pPr>
              <w:spacing w:line="480" w:lineRule="auto"/>
              <w:ind w:leftChars="118" w:left="2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disease</w:t>
            </w:r>
          </w:p>
        </w:tc>
        <w:tc>
          <w:tcPr>
            <w:tcW w:w="1837" w:type="pct"/>
            <w:gridSpan w:val="3"/>
            <w:tcBorders>
              <w:left w:val="nil"/>
              <w:bottom w:val="nil"/>
              <w:right w:val="nil"/>
            </w:tcBorders>
          </w:tcPr>
          <w:p w14:paraId="6CC543D3" w14:textId="77777777" w:rsidR="00D812CC" w:rsidRDefault="00740AA6">
            <w:pPr>
              <w:spacing w:line="480" w:lineRule="auto"/>
              <w:ind w:firstLineChars="500" w:firstLine="10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 drugs</w:t>
            </w:r>
          </w:p>
        </w:tc>
        <w:tc>
          <w:tcPr>
            <w:tcW w:w="1687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6C7D5C9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 efficacy</w:t>
            </w:r>
          </w:p>
        </w:tc>
      </w:tr>
      <w:tr w:rsidR="00D812CC" w14:paraId="6A6DEA21" w14:textId="77777777">
        <w:tc>
          <w:tcPr>
            <w:tcW w:w="1476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01061B7E" w14:textId="77777777" w:rsidR="00D812CC" w:rsidRDefault="00D812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5973FB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Latamoxef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C361C4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Ceftazidime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8A6BA1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Ceftriaxone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4FC7A4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Penicillin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AADBB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Effective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BB95C8" w14:textId="77777777" w:rsidR="00D812CC" w:rsidRDefault="00740AA6">
            <w:pPr>
              <w:spacing w:line="480" w:lineRule="auto"/>
              <w:ind w:rightChars="65" w:right="14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Ineffective</w:t>
            </w:r>
          </w:p>
        </w:tc>
      </w:tr>
      <w:tr w:rsidR="00D812CC" w14:paraId="456EDA92" w14:textId="77777777">
        <w:tc>
          <w:tcPr>
            <w:tcW w:w="1476" w:type="pct"/>
            <w:tcBorders>
              <w:left w:val="nil"/>
              <w:bottom w:val="nil"/>
              <w:right w:val="nil"/>
            </w:tcBorders>
            <w:vAlign w:val="center"/>
          </w:tcPr>
          <w:p w14:paraId="15BBD0FA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Neonatal infectious pneumonia</w:t>
            </w:r>
          </w:p>
        </w:tc>
        <w:tc>
          <w:tcPr>
            <w:tcW w:w="579" w:type="pct"/>
            <w:tcBorders>
              <w:left w:val="nil"/>
              <w:bottom w:val="nil"/>
              <w:right w:val="nil"/>
            </w:tcBorders>
            <w:vAlign w:val="center"/>
          </w:tcPr>
          <w:p w14:paraId="614CCA41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8" w:type="pct"/>
            <w:tcBorders>
              <w:left w:val="nil"/>
              <w:bottom w:val="nil"/>
              <w:right w:val="nil"/>
            </w:tcBorders>
            <w:vAlign w:val="center"/>
          </w:tcPr>
          <w:p w14:paraId="59F80BBC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vAlign w:val="center"/>
          </w:tcPr>
          <w:p w14:paraId="1BE70942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vAlign w:val="center"/>
          </w:tcPr>
          <w:p w14:paraId="095AFA47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7" w:type="pct"/>
            <w:tcBorders>
              <w:left w:val="nil"/>
              <w:bottom w:val="nil"/>
              <w:right w:val="nil"/>
            </w:tcBorders>
            <w:vAlign w:val="center"/>
          </w:tcPr>
          <w:p w14:paraId="02402C58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55" w:type="pct"/>
            <w:tcBorders>
              <w:left w:val="nil"/>
              <w:bottom w:val="nil"/>
              <w:right w:val="nil"/>
            </w:tcBorders>
            <w:vAlign w:val="center"/>
          </w:tcPr>
          <w:p w14:paraId="72F1E86F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2CC" w14:paraId="1A2E04B5" w14:textId="77777777"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E157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Neonatal hyperbilirubinemia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9954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EF35F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64C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AA91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3DB7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626E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2CC" w14:paraId="65C6FDF1" w14:textId="77777777">
        <w:tc>
          <w:tcPr>
            <w:tcW w:w="1476" w:type="pct"/>
            <w:tcBorders>
              <w:top w:val="nil"/>
              <w:left w:val="nil"/>
              <w:right w:val="nil"/>
            </w:tcBorders>
            <w:vAlign w:val="center"/>
          </w:tcPr>
          <w:p w14:paraId="7277590F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Neonatal meconium aspiration syndrome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vAlign w:val="center"/>
          </w:tcPr>
          <w:p w14:paraId="67A09553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8" w:type="pct"/>
            <w:tcBorders>
              <w:top w:val="nil"/>
              <w:left w:val="nil"/>
              <w:right w:val="nil"/>
            </w:tcBorders>
            <w:vAlign w:val="center"/>
          </w:tcPr>
          <w:p w14:paraId="168D7B2E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vAlign w:val="center"/>
          </w:tcPr>
          <w:p w14:paraId="4CBB4803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14:paraId="47C66CB0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  <w:vAlign w:val="center"/>
          </w:tcPr>
          <w:p w14:paraId="22446E5C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vAlign w:val="center"/>
          </w:tcPr>
          <w:p w14:paraId="364A91C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E08FC6A" w14:textId="77777777" w:rsidR="00D812CC" w:rsidRDefault="00D812CC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48187E8D" w14:textId="77777777" w:rsidR="0047053C" w:rsidRDefault="0047053C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9C83DA1" w14:textId="0FA856D9" w:rsidR="00D812CC" w:rsidRDefault="00740AA6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Note: Patients had double or multiple infections and were treated with various drug combinations. Therefore, a given drug in the table may be counted multiple times.</w:t>
      </w:r>
    </w:p>
    <w:p w14:paraId="71F1427F" w14:textId="77777777" w:rsidR="00D812CC" w:rsidRDefault="00740AA6">
      <w:pPr>
        <w:rPr>
          <w:rFonts w:ascii="Times New Roman" w:hAnsi="Times New Roman"/>
          <w:color w:val="000000" w:themeColor="text1"/>
          <w:sz w:val="21"/>
          <w:szCs w:val="21"/>
        </w:rPr>
      </w:pPr>
      <w:r>
        <w:rPr>
          <w:rFonts w:ascii="Times New Roman" w:hAnsi="Times New Roman"/>
          <w:color w:val="000000" w:themeColor="text1"/>
          <w:sz w:val="21"/>
          <w:szCs w:val="21"/>
        </w:rPr>
        <w:br w:type="page"/>
      </w:r>
    </w:p>
    <w:p w14:paraId="4F90E963" w14:textId="428E1DDF" w:rsidR="00D812CC" w:rsidRDefault="0047053C" w:rsidP="00DE6AA6">
      <w:pPr>
        <w:spacing w:line="480" w:lineRule="auto"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bookmarkStart w:id="0" w:name="_Hlk141347840"/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lastRenderedPageBreak/>
        <w:t>Additional file 3.</w:t>
      </w:r>
      <w:bookmarkEnd w:id="0"/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Primers for amplifying the V4 region of the 16S rRNA gene and fungal ITS1 region</w:t>
      </w:r>
    </w:p>
    <w:tbl>
      <w:tblPr>
        <w:tblW w:w="8184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2551"/>
        <w:gridCol w:w="3612"/>
      </w:tblGrid>
      <w:tr w:rsidR="00D812CC" w14:paraId="7368B341" w14:textId="77777777">
        <w:trPr>
          <w:trHeight w:val="186"/>
        </w:trPr>
        <w:tc>
          <w:tcPr>
            <w:tcW w:w="2021" w:type="dxa"/>
            <w:tcBorders>
              <w:right w:val="nil"/>
            </w:tcBorders>
            <w:vAlign w:val="center"/>
          </w:tcPr>
          <w:p w14:paraId="0556607F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Target region</w:t>
            </w: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5DC0A05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Primer </w:t>
            </w:r>
          </w:p>
        </w:tc>
        <w:tc>
          <w:tcPr>
            <w:tcW w:w="3612" w:type="dxa"/>
            <w:tcBorders>
              <w:left w:val="nil"/>
            </w:tcBorders>
            <w:vAlign w:val="center"/>
          </w:tcPr>
          <w:p w14:paraId="41D3BF8F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Nucleotide sequence (5′– 3′)</w:t>
            </w:r>
          </w:p>
        </w:tc>
      </w:tr>
      <w:tr w:rsidR="00D812CC" w14:paraId="7F047E32" w14:textId="77777777">
        <w:trPr>
          <w:trHeight w:val="47"/>
        </w:trPr>
        <w:tc>
          <w:tcPr>
            <w:tcW w:w="2021" w:type="dxa"/>
            <w:vMerge w:val="restart"/>
            <w:tcBorders>
              <w:right w:val="nil"/>
            </w:tcBorders>
            <w:vAlign w:val="center"/>
          </w:tcPr>
          <w:p w14:paraId="12B1AA72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V4</w:t>
            </w: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44E48532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3612" w:type="dxa"/>
            <w:tcBorders>
              <w:left w:val="nil"/>
            </w:tcBorders>
            <w:vAlign w:val="center"/>
          </w:tcPr>
          <w:p w14:paraId="0DD6A85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GTGCCAGCMGCCGCGGTAA</w:t>
            </w:r>
          </w:p>
        </w:tc>
      </w:tr>
      <w:tr w:rsidR="00D812CC" w14:paraId="6548CCC5" w14:textId="77777777">
        <w:trPr>
          <w:trHeight w:val="47"/>
        </w:trPr>
        <w:tc>
          <w:tcPr>
            <w:tcW w:w="2021" w:type="dxa"/>
            <w:vMerge/>
            <w:tcBorders>
              <w:right w:val="nil"/>
            </w:tcBorders>
            <w:vAlign w:val="center"/>
          </w:tcPr>
          <w:p w14:paraId="6A6A42A4" w14:textId="77777777" w:rsidR="00D812CC" w:rsidRDefault="00D812CC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098B7ECC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Reverse </w:t>
            </w:r>
          </w:p>
        </w:tc>
        <w:tc>
          <w:tcPr>
            <w:tcW w:w="3612" w:type="dxa"/>
            <w:tcBorders>
              <w:left w:val="nil"/>
            </w:tcBorders>
            <w:vAlign w:val="center"/>
          </w:tcPr>
          <w:p w14:paraId="478C1D31" w14:textId="77777777" w:rsidR="00D812CC" w:rsidRDefault="00740AA6">
            <w:pPr>
              <w:shd w:val="clear" w:color="auto" w:fill="FFFFFF"/>
              <w:spacing w:before="100" w:beforeAutospacing="1" w:after="100" w:afterAutospacing="1"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GGACTACHVGGGTWTCTAAT</w:t>
            </w:r>
          </w:p>
        </w:tc>
      </w:tr>
      <w:tr w:rsidR="00D812CC" w14:paraId="5E5841E2" w14:textId="77777777">
        <w:trPr>
          <w:trHeight w:val="47"/>
        </w:trPr>
        <w:tc>
          <w:tcPr>
            <w:tcW w:w="2021" w:type="dxa"/>
            <w:vMerge w:val="restart"/>
            <w:tcBorders>
              <w:right w:val="nil"/>
            </w:tcBorders>
            <w:vAlign w:val="center"/>
          </w:tcPr>
          <w:p w14:paraId="34E497F4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ITS1</w:t>
            </w: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40A6452E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Forward </w:t>
            </w:r>
          </w:p>
        </w:tc>
        <w:tc>
          <w:tcPr>
            <w:tcW w:w="3612" w:type="dxa"/>
            <w:tcBorders>
              <w:left w:val="nil"/>
            </w:tcBorders>
            <w:vAlign w:val="center"/>
          </w:tcPr>
          <w:p w14:paraId="45B8D1DF" w14:textId="77777777" w:rsidR="00D812CC" w:rsidRDefault="00740AA6">
            <w:pPr>
              <w:shd w:val="clear" w:color="auto" w:fill="FFFFFF"/>
              <w:spacing w:before="100" w:beforeAutospacing="1" w:after="100" w:afterAutospacing="1"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CTTGGTCATTTAGAGGAAGTAA</w:t>
            </w:r>
          </w:p>
        </w:tc>
      </w:tr>
      <w:tr w:rsidR="00D812CC" w14:paraId="451AA083" w14:textId="77777777">
        <w:trPr>
          <w:trHeight w:val="47"/>
        </w:trPr>
        <w:tc>
          <w:tcPr>
            <w:tcW w:w="2021" w:type="dxa"/>
            <w:vMerge/>
            <w:tcBorders>
              <w:right w:val="nil"/>
            </w:tcBorders>
            <w:vAlign w:val="center"/>
          </w:tcPr>
          <w:p w14:paraId="7AE46E30" w14:textId="77777777" w:rsidR="00D812CC" w:rsidRDefault="00D812CC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286427A4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Reverse </w:t>
            </w:r>
          </w:p>
        </w:tc>
        <w:tc>
          <w:tcPr>
            <w:tcW w:w="3612" w:type="dxa"/>
            <w:tcBorders>
              <w:left w:val="nil"/>
            </w:tcBorders>
            <w:vAlign w:val="center"/>
          </w:tcPr>
          <w:p w14:paraId="25519054" w14:textId="77777777" w:rsidR="00D812CC" w:rsidRDefault="00740AA6">
            <w:pPr>
              <w:shd w:val="clear" w:color="auto" w:fill="FFFFFF"/>
              <w:spacing w:before="100" w:beforeAutospacing="1" w:after="100" w:afterAutospacing="1"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GCTGCGTTCTTCATCGATGC</w:t>
            </w:r>
          </w:p>
        </w:tc>
      </w:tr>
    </w:tbl>
    <w:p w14:paraId="298C8BB2" w14:textId="77777777" w:rsidR="00D812CC" w:rsidRDefault="00D812CC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0FD7F7CB" w14:textId="77777777" w:rsidR="00D812CC" w:rsidRDefault="00D812CC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6B49EF33" w14:textId="77777777" w:rsidR="00D812CC" w:rsidRDefault="00D812CC">
      <w:pPr>
        <w:spacing w:line="480" w:lineRule="auto"/>
        <w:rPr>
          <w:rFonts w:cs="楷体"/>
          <w:color w:val="000000" w:themeColor="text1"/>
          <w:sz w:val="21"/>
          <w:szCs w:val="21"/>
        </w:rPr>
      </w:pPr>
    </w:p>
    <w:p w14:paraId="0E6A6A2C" w14:textId="77777777" w:rsidR="00D812CC" w:rsidRDefault="00740AA6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2377CA2A" w14:textId="23E5A6E7" w:rsidR="00D812CC" w:rsidRDefault="0047053C" w:rsidP="00DE6AA6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lastRenderedPageBreak/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4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Specific primer sequences for four bacterial species</w:t>
      </w:r>
    </w:p>
    <w:tbl>
      <w:tblPr>
        <w:tblStyle w:val="ae"/>
        <w:tblW w:w="8500" w:type="dxa"/>
        <w:jc w:val="center"/>
        <w:tblLook w:val="04A0" w:firstRow="1" w:lastRow="0" w:firstColumn="1" w:lastColumn="0" w:noHBand="0" w:noVBand="1"/>
      </w:tblPr>
      <w:tblGrid>
        <w:gridCol w:w="2406"/>
        <w:gridCol w:w="2976"/>
        <w:gridCol w:w="3118"/>
      </w:tblGrid>
      <w:tr w:rsidR="00D812CC" w14:paraId="1EE881CD" w14:textId="77777777">
        <w:trPr>
          <w:trHeight w:val="312"/>
          <w:jc w:val="center"/>
        </w:trPr>
        <w:tc>
          <w:tcPr>
            <w:tcW w:w="2406" w:type="dxa"/>
            <w:noWrap/>
          </w:tcPr>
          <w:p w14:paraId="45937F3B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2976" w:type="dxa"/>
          </w:tcPr>
          <w:p w14:paraId="4684C955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3118" w:type="dxa"/>
            <w:noWrap/>
          </w:tcPr>
          <w:p w14:paraId="6F2CA5FB" w14:textId="77777777" w:rsidR="00D812CC" w:rsidRDefault="00740AA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Primer sequence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(5′– 3′)</w:t>
            </w:r>
          </w:p>
        </w:tc>
      </w:tr>
      <w:tr w:rsidR="00D812CC" w14:paraId="5D195CBB" w14:textId="77777777">
        <w:trPr>
          <w:trHeight w:val="312"/>
          <w:jc w:val="center"/>
        </w:trPr>
        <w:tc>
          <w:tcPr>
            <w:tcW w:w="2406" w:type="dxa"/>
            <w:vMerge w:val="restart"/>
            <w:noWrap/>
            <w:vAlign w:val="center"/>
          </w:tcPr>
          <w:p w14:paraId="58C85370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Geobacillus vulcani</w:t>
            </w:r>
          </w:p>
        </w:tc>
        <w:tc>
          <w:tcPr>
            <w:tcW w:w="2976" w:type="dxa"/>
          </w:tcPr>
          <w:p w14:paraId="1835D1D9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Geobacillus vulcani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-F1</w:t>
            </w:r>
          </w:p>
        </w:tc>
        <w:tc>
          <w:tcPr>
            <w:tcW w:w="3118" w:type="dxa"/>
            <w:noWrap/>
          </w:tcPr>
          <w:p w14:paraId="63C0235C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AAGCTCTGTTGTGAGGGACG</w:t>
            </w:r>
          </w:p>
        </w:tc>
      </w:tr>
      <w:tr w:rsidR="00D812CC" w14:paraId="61F3B792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310769BF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7088E0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Geobacillus vulcani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-R1</w:t>
            </w:r>
          </w:p>
        </w:tc>
        <w:tc>
          <w:tcPr>
            <w:tcW w:w="3118" w:type="dxa"/>
            <w:noWrap/>
          </w:tcPr>
          <w:p w14:paraId="6C3FAD99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TTTCCAATGACCCTCCACGG</w:t>
            </w:r>
          </w:p>
        </w:tc>
      </w:tr>
      <w:tr w:rsidR="00D812CC" w14:paraId="0169AFE5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5DD658F1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31F0DE4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Geobacillus vulcani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-F2</w:t>
            </w:r>
          </w:p>
        </w:tc>
        <w:tc>
          <w:tcPr>
            <w:tcW w:w="3118" w:type="dxa"/>
            <w:noWrap/>
          </w:tcPr>
          <w:p w14:paraId="59648C5D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AGGGAATCTTCCGCAATGGG</w:t>
            </w:r>
          </w:p>
        </w:tc>
      </w:tr>
      <w:tr w:rsidR="00D812CC" w14:paraId="4F872256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4E8DA215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FDAD2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Geobacillus vulcani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-R2</w:t>
            </w:r>
          </w:p>
        </w:tc>
        <w:tc>
          <w:tcPr>
            <w:tcW w:w="3118" w:type="dxa"/>
            <w:noWrap/>
          </w:tcPr>
          <w:p w14:paraId="6BCA6B66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CGCGCTTTACGCCCAATAAT</w:t>
            </w:r>
          </w:p>
        </w:tc>
      </w:tr>
      <w:tr w:rsidR="00D812CC" w14:paraId="3C7C446E" w14:textId="77777777">
        <w:trPr>
          <w:trHeight w:val="312"/>
          <w:jc w:val="center"/>
        </w:trPr>
        <w:tc>
          <w:tcPr>
            <w:tcW w:w="2406" w:type="dxa"/>
            <w:vMerge w:val="restart"/>
            <w:noWrap/>
            <w:vAlign w:val="center"/>
          </w:tcPr>
          <w:p w14:paraId="0E3D27DE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Anoxybacillus kestanbolensis</w:t>
            </w:r>
          </w:p>
        </w:tc>
        <w:tc>
          <w:tcPr>
            <w:tcW w:w="2976" w:type="dxa"/>
          </w:tcPr>
          <w:p w14:paraId="5B2F3555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Anoxybacillus 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F1</w:t>
            </w:r>
          </w:p>
        </w:tc>
        <w:tc>
          <w:tcPr>
            <w:tcW w:w="3118" w:type="dxa"/>
            <w:noWrap/>
          </w:tcPr>
          <w:p w14:paraId="3D1DD4DF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GTGAGGTAACGGCTCACCAA</w:t>
            </w:r>
          </w:p>
        </w:tc>
      </w:tr>
      <w:tr w:rsidR="00D812CC" w14:paraId="7449DBE7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065A0C80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79E4A7D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Anoxybacillus 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R1</w:t>
            </w:r>
          </w:p>
        </w:tc>
        <w:tc>
          <w:tcPr>
            <w:tcW w:w="3118" w:type="dxa"/>
            <w:noWrap/>
          </w:tcPr>
          <w:p w14:paraId="1E9C7BE6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TTTCCAATGACCCTCCACGG</w:t>
            </w:r>
          </w:p>
        </w:tc>
      </w:tr>
      <w:tr w:rsidR="00D812CC" w14:paraId="6053F958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50861358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A0FC7F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Anoxybacillus 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F2</w:t>
            </w:r>
          </w:p>
        </w:tc>
        <w:tc>
          <w:tcPr>
            <w:tcW w:w="3118" w:type="dxa"/>
            <w:noWrap/>
          </w:tcPr>
          <w:p w14:paraId="350372B2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ACGAAAGGTCGCATGGTCTT</w:t>
            </w:r>
          </w:p>
        </w:tc>
      </w:tr>
      <w:tr w:rsidR="00D812CC" w14:paraId="0162D48F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10918747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9FF6E42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Anoxybacillus -R2</w:t>
            </w:r>
          </w:p>
        </w:tc>
        <w:tc>
          <w:tcPr>
            <w:tcW w:w="3118" w:type="dxa"/>
            <w:noWrap/>
          </w:tcPr>
          <w:p w14:paraId="1735AE0D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TGCCACCTACGTATTACCGC</w:t>
            </w:r>
          </w:p>
        </w:tc>
      </w:tr>
      <w:tr w:rsidR="00D812CC" w14:paraId="4E2495E9" w14:textId="77777777">
        <w:trPr>
          <w:trHeight w:val="312"/>
          <w:jc w:val="center"/>
        </w:trPr>
        <w:tc>
          <w:tcPr>
            <w:tcW w:w="2406" w:type="dxa"/>
            <w:vMerge w:val="restart"/>
            <w:noWrap/>
            <w:vAlign w:val="center"/>
          </w:tcPr>
          <w:p w14:paraId="47812F64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Klebsiella oxytoca</w:t>
            </w:r>
          </w:p>
        </w:tc>
        <w:tc>
          <w:tcPr>
            <w:tcW w:w="2976" w:type="dxa"/>
          </w:tcPr>
          <w:p w14:paraId="4203E712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Klebsiella oxytoca 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F1</w:t>
            </w:r>
          </w:p>
        </w:tc>
        <w:tc>
          <w:tcPr>
            <w:tcW w:w="3118" w:type="dxa"/>
            <w:noWrap/>
          </w:tcPr>
          <w:p w14:paraId="2AC47761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TCTGAGAGGATGACCAGCCA</w:t>
            </w:r>
          </w:p>
        </w:tc>
      </w:tr>
      <w:tr w:rsidR="00D812CC" w14:paraId="01D7B5CF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6C97E508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A3A587F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Klebsiella oxytoca-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R1</w:t>
            </w:r>
          </w:p>
        </w:tc>
        <w:tc>
          <w:tcPr>
            <w:tcW w:w="3118" w:type="dxa"/>
            <w:noWrap/>
          </w:tcPr>
          <w:p w14:paraId="4B61CBE4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CAGCCTGCCAGTTTCGAATG</w:t>
            </w:r>
          </w:p>
        </w:tc>
      </w:tr>
      <w:tr w:rsidR="00D812CC" w14:paraId="7D4BAF55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4B6680B8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664E75E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Klebsiella oxytoca-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F2</w:t>
            </w:r>
          </w:p>
        </w:tc>
        <w:tc>
          <w:tcPr>
            <w:tcW w:w="3118" w:type="dxa"/>
            <w:noWrap/>
          </w:tcPr>
          <w:p w14:paraId="580CC76E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GCCACACTGGAACTGAGACA</w:t>
            </w:r>
          </w:p>
        </w:tc>
      </w:tr>
      <w:tr w:rsidR="00D812CC" w14:paraId="16C846A6" w14:textId="77777777">
        <w:trPr>
          <w:trHeight w:val="312"/>
          <w:jc w:val="center"/>
        </w:trPr>
        <w:tc>
          <w:tcPr>
            <w:tcW w:w="2406" w:type="dxa"/>
            <w:vMerge/>
            <w:noWrap/>
            <w:vAlign w:val="center"/>
          </w:tcPr>
          <w:p w14:paraId="5B92510E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73C659F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Klebsiella oxytoca-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R2</w:t>
            </w:r>
          </w:p>
        </w:tc>
        <w:tc>
          <w:tcPr>
            <w:tcW w:w="3118" w:type="dxa"/>
            <w:noWrap/>
          </w:tcPr>
          <w:p w14:paraId="03134EF2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CGGGGATTTCACATCCGACT</w:t>
            </w:r>
          </w:p>
        </w:tc>
      </w:tr>
      <w:tr w:rsidR="00D812CC" w14:paraId="7963FE8F" w14:textId="77777777">
        <w:trPr>
          <w:trHeight w:val="312"/>
          <w:jc w:val="center"/>
        </w:trPr>
        <w:tc>
          <w:tcPr>
            <w:tcW w:w="2406" w:type="dxa"/>
            <w:vMerge w:val="restart"/>
            <w:noWrap/>
            <w:vAlign w:val="center"/>
          </w:tcPr>
          <w:p w14:paraId="1C4B12A5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Acinetobacter guillouiae</w:t>
            </w:r>
          </w:p>
        </w:tc>
        <w:tc>
          <w:tcPr>
            <w:tcW w:w="2976" w:type="dxa"/>
          </w:tcPr>
          <w:p w14:paraId="0717013D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Acinetobacter guillouiae 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F1</w:t>
            </w:r>
          </w:p>
        </w:tc>
        <w:tc>
          <w:tcPr>
            <w:tcW w:w="3118" w:type="dxa"/>
            <w:noWrap/>
          </w:tcPr>
          <w:p w14:paraId="1897249B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GACGATCTGTAGCGGGTCTG</w:t>
            </w:r>
          </w:p>
        </w:tc>
      </w:tr>
      <w:tr w:rsidR="00D812CC" w14:paraId="3E93DFD2" w14:textId="77777777">
        <w:trPr>
          <w:trHeight w:val="312"/>
          <w:jc w:val="center"/>
        </w:trPr>
        <w:tc>
          <w:tcPr>
            <w:tcW w:w="2406" w:type="dxa"/>
            <w:vMerge/>
            <w:noWrap/>
          </w:tcPr>
          <w:p w14:paraId="0C29B342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6CE8F78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Acinetobacter guillouiae-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R1</w:t>
            </w:r>
          </w:p>
        </w:tc>
        <w:tc>
          <w:tcPr>
            <w:tcW w:w="3118" w:type="dxa"/>
            <w:noWrap/>
          </w:tcPr>
          <w:p w14:paraId="2D62B3AE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TCGGGGATTTCACATCCGAC</w:t>
            </w:r>
          </w:p>
        </w:tc>
      </w:tr>
      <w:tr w:rsidR="00D812CC" w14:paraId="00CCA2B0" w14:textId="77777777">
        <w:trPr>
          <w:trHeight w:val="312"/>
          <w:jc w:val="center"/>
        </w:trPr>
        <w:tc>
          <w:tcPr>
            <w:tcW w:w="2406" w:type="dxa"/>
            <w:vMerge/>
            <w:noWrap/>
          </w:tcPr>
          <w:p w14:paraId="49FE4B50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9C159A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Acinetobacter guillouiae-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F2</w:t>
            </w:r>
          </w:p>
        </w:tc>
        <w:tc>
          <w:tcPr>
            <w:tcW w:w="3118" w:type="dxa"/>
            <w:noWrap/>
          </w:tcPr>
          <w:p w14:paraId="6DF5911B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AGGCGGCTTTTTAAGTCGGA</w:t>
            </w:r>
          </w:p>
        </w:tc>
      </w:tr>
      <w:tr w:rsidR="00D812CC" w14:paraId="5D90F79A" w14:textId="77777777">
        <w:trPr>
          <w:trHeight w:val="312"/>
          <w:jc w:val="center"/>
        </w:trPr>
        <w:tc>
          <w:tcPr>
            <w:tcW w:w="2406" w:type="dxa"/>
            <w:vMerge/>
            <w:noWrap/>
          </w:tcPr>
          <w:p w14:paraId="4589E060" w14:textId="77777777" w:rsidR="00D812CC" w:rsidRDefault="00D812CC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571A3AF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i/>
                <w:iCs/>
                <w:color w:val="000000" w:themeColor="text1"/>
                <w:sz w:val="20"/>
                <w:szCs w:val="20"/>
              </w:rPr>
              <w:t>Acinetobacter guillouiae-</w:t>
            </w: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R2</w:t>
            </w:r>
          </w:p>
        </w:tc>
        <w:tc>
          <w:tcPr>
            <w:tcW w:w="3118" w:type="dxa"/>
            <w:noWrap/>
          </w:tcPr>
          <w:p w14:paraId="03A14998" w14:textId="77777777" w:rsidR="00D812CC" w:rsidRDefault="00740AA6">
            <w:pPr>
              <w:spacing w:line="48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仿宋" w:hAnsi="Times New Roman" w:cs="Times New Roman"/>
                <w:color w:val="000000" w:themeColor="text1"/>
                <w:sz w:val="20"/>
                <w:szCs w:val="20"/>
              </w:rPr>
              <w:t>TCTGGTGCAACAAACTCCCA</w:t>
            </w:r>
          </w:p>
        </w:tc>
      </w:tr>
    </w:tbl>
    <w:p w14:paraId="1D77AF4E" w14:textId="77777777" w:rsidR="00D812CC" w:rsidRDefault="00D812CC">
      <w:pPr>
        <w:pStyle w:val="ab"/>
        <w:shd w:val="clear" w:color="auto" w:fill="FFFFFF"/>
        <w:spacing w:line="480" w:lineRule="auto"/>
        <w:outlineLvl w:val="0"/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</w:pPr>
    </w:p>
    <w:p w14:paraId="2549742E" w14:textId="261175EA" w:rsidR="00D812CC" w:rsidRDefault="00740AA6" w:rsidP="00DE6AA6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br w:type="page"/>
      </w:r>
    </w:p>
    <w:p w14:paraId="0DFAD12C" w14:textId="77777777" w:rsidR="00D812CC" w:rsidRDefault="00740AA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7907B5D8" wp14:editId="37D81A94">
            <wp:extent cx="5274310" cy="292989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72AE5" w14:textId="2126B1C7" w:rsidR="00D812CC" w:rsidRDefault="0047053C">
      <w:pPr>
        <w:pStyle w:val="ab"/>
        <w:shd w:val="clear" w:color="auto" w:fill="FFFFFF"/>
        <w:ind w:firstLine="240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 xml:space="preserve">Additional file </w:t>
      </w:r>
      <w:r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5</w:t>
      </w: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Histogram of phylum-level bacterial composition in samples</w:t>
      </w:r>
    </w:p>
    <w:p w14:paraId="61758FF2" w14:textId="77777777" w:rsidR="00D812CC" w:rsidRDefault="00740AA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0" distR="0" wp14:anchorId="78806406" wp14:editId="708A2639">
            <wp:extent cx="5274310" cy="376745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0214F" w14:textId="54499C59" w:rsidR="00D812CC" w:rsidRDefault="0047053C">
      <w:pPr>
        <w:pStyle w:val="ab"/>
        <w:shd w:val="clear" w:color="auto" w:fill="FFFFFF"/>
        <w:ind w:firstLine="240"/>
        <w:jc w:val="center"/>
        <w:outlineLvl w:val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 xml:space="preserve">Additional file </w:t>
      </w:r>
      <w:r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6</w:t>
      </w: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Histogram of class-level bacterial composition in samples</w:t>
      </w:r>
    </w:p>
    <w:p w14:paraId="49AAD134" w14:textId="77777777" w:rsidR="00D812CC" w:rsidRDefault="00D812CC">
      <w:pPr>
        <w:pStyle w:val="ab"/>
        <w:shd w:val="clear" w:color="auto" w:fill="FFFFFF"/>
        <w:ind w:firstLine="240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9289B52" w14:textId="77777777" w:rsidR="00D812CC" w:rsidRDefault="00740AA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0" distR="0" wp14:anchorId="7EE95635" wp14:editId="589D390C">
            <wp:extent cx="5274310" cy="37674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B740D" w14:textId="76D95C45" w:rsidR="00D812CC" w:rsidRDefault="0047053C">
      <w:pPr>
        <w:pStyle w:val="ab"/>
        <w:shd w:val="clear" w:color="auto" w:fill="FFFFFF"/>
        <w:ind w:firstLine="240"/>
        <w:jc w:val="center"/>
        <w:outlineLvl w:val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 xml:space="preserve">Additional file </w:t>
      </w:r>
      <w:r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7</w:t>
      </w: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Histogram of order-level bacterial composition in samples </w:t>
      </w: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0" distR="0" wp14:anchorId="22A25CB3" wp14:editId="49CB029D">
            <wp:extent cx="5274310" cy="376745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F9B4" w14:textId="06440598" w:rsidR="00D812CC" w:rsidRDefault="0047053C">
      <w:pPr>
        <w:pStyle w:val="ab"/>
        <w:shd w:val="clear" w:color="auto" w:fill="FFFFFF"/>
        <w:ind w:firstLineChars="100" w:firstLine="210"/>
        <w:jc w:val="center"/>
        <w:outlineLvl w:val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 xml:space="preserve">Additional file </w:t>
      </w:r>
      <w:r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8</w:t>
      </w:r>
      <w:r w:rsidRPr="0047053C">
        <w:rPr>
          <w:rFonts w:ascii="Times New Roman" w:eastAsiaTheme="minorEastAsia" w:hAnsi="Times New Roman" w:cstheme="minorBidi"/>
          <w:iCs/>
          <w:color w:val="000000" w:themeColor="text1"/>
          <w:sz w:val="21"/>
          <w:szCs w:val="21"/>
          <w:lang w:eastAsia="ja-JP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Histogram of family-level bacterial composition in samples</w:t>
      </w:r>
    </w:p>
    <w:p w14:paraId="2D1B4635" w14:textId="77777777" w:rsidR="00D812CC" w:rsidRDefault="00740AA6">
      <w:pPr>
        <w:pStyle w:val="src"/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1"/>
          <w:szCs w:val="21"/>
          <w:shd w:val="clear" w:color="auto" w:fill="FFFFFF"/>
        </w:rPr>
        <w:lastRenderedPageBreak/>
        <w:drawing>
          <wp:inline distT="0" distB="0" distL="0" distR="0" wp14:anchorId="0C3014BC" wp14:editId="2B981FA7">
            <wp:extent cx="4031615" cy="3493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262" cy="359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1349A" w14:textId="059BE2A2" w:rsidR="00D812CC" w:rsidRDefault="0047053C">
      <w:pPr>
        <w:spacing w:line="240" w:lineRule="auto"/>
        <w:ind w:firstLineChars="100" w:firstLine="210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9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  <w:t>Alpha-diversity rarefaction curves of 20 samples</w:t>
      </w:r>
    </w:p>
    <w:p w14:paraId="4E2BA726" w14:textId="77777777" w:rsidR="00D812CC" w:rsidRDefault="00D812CC">
      <w:pPr>
        <w:spacing w:line="240" w:lineRule="auto"/>
        <w:ind w:firstLineChars="100" w:firstLine="210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</w:p>
    <w:p w14:paraId="7BB84746" w14:textId="77777777" w:rsidR="00D812CC" w:rsidRDefault="00D812CC">
      <w:pPr>
        <w:spacing w:line="240" w:lineRule="auto"/>
        <w:ind w:firstLineChars="100" w:firstLine="210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</w:p>
    <w:p w14:paraId="67934CE7" w14:textId="77777777" w:rsidR="00D812CC" w:rsidRDefault="00D812CC">
      <w:pPr>
        <w:spacing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</w:p>
    <w:p w14:paraId="18FA1928" w14:textId="77777777" w:rsidR="00D812CC" w:rsidRDefault="00D812CC">
      <w:pPr>
        <w:spacing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1"/>
          <w:szCs w:val="21"/>
          <w:shd w:val="clear" w:color="auto" w:fill="FFFFFF"/>
        </w:rPr>
      </w:pPr>
    </w:p>
    <w:p w14:paraId="4DA3C1D6" w14:textId="77777777" w:rsidR="00D812CC" w:rsidRDefault="00740AA6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  <w:r>
        <w:rPr>
          <w:rFonts w:cs="Arial"/>
          <w:noProof/>
          <w:color w:val="000000"/>
          <w:sz w:val="21"/>
          <w:szCs w:val="21"/>
          <w:shd w:val="clear" w:color="auto" w:fill="FFFFFF"/>
        </w:rPr>
        <w:lastRenderedPageBreak/>
        <w:drawing>
          <wp:inline distT="0" distB="0" distL="0" distR="0" wp14:anchorId="06031BB8" wp14:editId="404B1159">
            <wp:extent cx="3491230" cy="349123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751" cy="356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1253" w14:textId="2E11ECAF" w:rsidR="00D812CC" w:rsidRDefault="0047053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10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UPGMA clustering of samples based on weighted UniFrac distances (grouped by description, weighted_unifrac)</w:t>
      </w:r>
    </w:p>
    <w:p w14:paraId="00DBBCFE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Note: Samples with the same color in the diagram belong to the sample group; two samples showing greater similarity in bacterial composition were considered similar to each other and showed shorter branch lengths between the samples</w:t>
      </w:r>
    </w:p>
    <w:p w14:paraId="08EE10A7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300188DF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45ECACD0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23AE88EF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79C8010D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08DD53D3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2DE5821F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p w14:paraId="58BDA924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zh-CN"/>
        </w:rPr>
      </w:pPr>
    </w:p>
    <w:p w14:paraId="7F0EA7A9" w14:textId="77777777" w:rsidR="00D812CC" w:rsidRDefault="00740AA6">
      <w:pPr>
        <w:spacing w:line="240" w:lineRule="auto"/>
        <w:jc w:val="center"/>
        <w:rPr>
          <w:rFonts w:eastAsia="宋体"/>
          <w:sz w:val="21"/>
          <w:szCs w:val="21"/>
          <w:lang w:eastAsia="zh-CN"/>
        </w:rPr>
      </w:pPr>
      <w:r>
        <w:rPr>
          <w:rFonts w:hint="eastAsia"/>
          <w:noProof/>
          <w:sz w:val="21"/>
          <w:szCs w:val="21"/>
        </w:rPr>
        <w:lastRenderedPageBreak/>
        <w:drawing>
          <wp:inline distT="0" distB="0" distL="0" distR="0" wp14:anchorId="1AE56351" wp14:editId="6D1FE80D">
            <wp:extent cx="5270500" cy="18669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F993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546D6DEB" w14:textId="1C965105" w:rsidR="00D812CC" w:rsidRDefault="0047053C">
      <w:pPr>
        <w:spacing w:line="480" w:lineRule="auto"/>
        <w:outlineLvl w:val="0"/>
        <w:rPr>
          <w:rFonts w:ascii="Times New Roman" w:eastAsia="楷体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11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eastAsia="楷体" w:hAnsi="Times New Roman" w:cs="Times New Roman"/>
          <w:color w:val="000000" w:themeColor="text1"/>
          <w:sz w:val="21"/>
          <w:szCs w:val="21"/>
        </w:rPr>
        <w:t xml:space="preserve"> Electrophoretogram of PCR products specific to four bacterial species</w:t>
      </w:r>
    </w:p>
    <w:p w14:paraId="051EB168" w14:textId="77777777" w:rsidR="00D812CC" w:rsidRDefault="00740AA6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Note: The PCR products confirmed the presence of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Anoxybacillus kestanbolensis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 (388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Anoxybacillus kestanbolensis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 (372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Geobacillus vulcani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 (213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Geobacillus vulcani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 (222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Klebsiella oxytoca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 (360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Klebsiella oxytoca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 (306 bp),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Acinetobacter guillouiae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 (340 bp), and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Acinetobacter guillouiae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2 (840 bp)</w:t>
      </w:r>
    </w:p>
    <w:p w14:paraId="05889EE1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6543C4C6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73E0D21E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12E9C236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2CCC4817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33F67638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11221059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62D9DD2E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5B07060D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3780007B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449F4DC5" w14:textId="77777777" w:rsidR="00D812CC" w:rsidRDefault="00D812CC">
      <w:pPr>
        <w:spacing w:line="240" w:lineRule="auto"/>
        <w:jc w:val="center"/>
        <w:outlineLvl w:val="0"/>
        <w:rPr>
          <w:rFonts w:cs="Arial"/>
          <w:color w:val="000000"/>
          <w:sz w:val="21"/>
          <w:szCs w:val="21"/>
          <w:shd w:val="clear" w:color="auto" w:fill="FFFFFF"/>
        </w:rPr>
      </w:pPr>
    </w:p>
    <w:p w14:paraId="2E77454D" w14:textId="77777777" w:rsidR="00D812CC" w:rsidRDefault="00D812CC">
      <w:pPr>
        <w:snapToGrid w:val="0"/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30AA606F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114300" distR="114300" wp14:anchorId="7C161B74" wp14:editId="77281E29">
            <wp:extent cx="5262880" cy="1461135"/>
            <wp:effectExtent l="0" t="0" r="13970" b="571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446A" w14:textId="3084FE91" w:rsidR="00D812CC" w:rsidRDefault="0047053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12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PCR products of </w:t>
      </w:r>
      <w:r>
        <w:rPr>
          <w:rFonts w:ascii="Times New Roman" w:eastAsia="仿宋" w:hAnsi="Times New Roman" w:cs="Times New Roman"/>
          <w:i/>
          <w:iCs/>
          <w:color w:val="000000" w:themeColor="text1"/>
          <w:sz w:val="21"/>
          <w:szCs w:val="21"/>
        </w:rPr>
        <w:t>Anoxybacillus kestanbolensis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 amplified using its first pair of specific primers </w:t>
      </w:r>
    </w:p>
    <w:p w14:paraId="704751EC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114300" distR="114300" wp14:anchorId="5919EFD2" wp14:editId="53123EE7">
            <wp:extent cx="5262880" cy="1461135"/>
            <wp:effectExtent l="0" t="0" r="13970" b="571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ECC82" w14:textId="1C09BC99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3.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eastAsia="仿宋" w:hAnsi="Times New Roman" w:cs="Times New Roman"/>
          <w:i/>
          <w:iCs/>
          <w:color w:val="000000" w:themeColor="text1"/>
          <w:sz w:val="21"/>
          <w:szCs w:val="21"/>
        </w:rPr>
        <w:t>Anoxybacillus kestanbolensis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 amplified using second pair of specific primers </w:t>
      </w:r>
    </w:p>
    <w:p w14:paraId="67988824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61ABC317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1568266B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5796A146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48B5E26E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04BC744D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4CC65562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6FC67F45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2D0D5EC6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74F98A33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2437B02E" w14:textId="77777777" w:rsidR="00D812CC" w:rsidRDefault="00D812C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</w:p>
    <w:p w14:paraId="076E8CB0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717E35A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114300" distR="114300" wp14:anchorId="7E04082B" wp14:editId="7BBA5B2B">
            <wp:extent cx="5262880" cy="1461135"/>
            <wp:effectExtent l="0" t="0" r="13970" b="571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BC01" w14:textId="39550F32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14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PCR products of </w:t>
      </w:r>
      <w:r>
        <w:rPr>
          <w:rFonts w:ascii="Times New Roman" w:eastAsia="仿宋" w:hAnsi="Times New Roman" w:cs="Times New Roman"/>
          <w:i/>
          <w:iCs/>
          <w:color w:val="000000" w:themeColor="text1"/>
          <w:sz w:val="21"/>
          <w:szCs w:val="21"/>
        </w:rPr>
        <w:t xml:space="preserve">Geobacillus vulcani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first pair of specific primers </w:t>
      </w:r>
    </w:p>
    <w:p w14:paraId="1B2E30B5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60F4806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114300" distR="114300" wp14:anchorId="37488312" wp14:editId="73D92C84">
            <wp:extent cx="5262880" cy="1461135"/>
            <wp:effectExtent l="0" t="0" r="13970" b="5715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AF7D5" w14:textId="781DF6B1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15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eastAsia="仿宋" w:hAnsi="Times New Roman" w:cs="Times New Roman"/>
          <w:i/>
          <w:iCs/>
          <w:color w:val="000000" w:themeColor="text1"/>
          <w:sz w:val="21"/>
          <w:szCs w:val="21"/>
        </w:rPr>
        <w:t xml:space="preserve">Geobacillus vulcani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its second pair of specific primers </w:t>
      </w:r>
    </w:p>
    <w:p w14:paraId="0E125E34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71B4B0BA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3BECC67B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058740B7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30CA72C4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61A18B37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0D6697CC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33DA2648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52FB6256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10F85057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212EDDF1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E053334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114300" distR="114300" wp14:anchorId="6D8DC221" wp14:editId="725D67B1">
            <wp:extent cx="5262880" cy="1461135"/>
            <wp:effectExtent l="0" t="0" r="13970" b="571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24C3" w14:textId="7028C69E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16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Klebsiella oxytoca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first pair of specific primers </w:t>
      </w:r>
    </w:p>
    <w:p w14:paraId="76B122A1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048A79DF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F720B65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114300" distR="114300" wp14:anchorId="045FED50" wp14:editId="6F1FBADA">
            <wp:extent cx="5262880" cy="1461135"/>
            <wp:effectExtent l="0" t="0" r="13970" b="571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C020C" w14:textId="1A6346FE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17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Klebsiella oxytoca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second pair of specific primers </w:t>
      </w:r>
    </w:p>
    <w:p w14:paraId="645776D3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0A766F25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7C92A6E5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211991D5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6CFC6EEB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2B3825B5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240B5FCE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63672D83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0849E5F7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1607F360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4A1057A8" w14:textId="77777777" w:rsidR="00D812CC" w:rsidRDefault="00D812CC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6FFFA131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lastRenderedPageBreak/>
        <w:drawing>
          <wp:inline distT="0" distB="0" distL="114300" distR="114300" wp14:anchorId="2F501E27" wp14:editId="2FA199CE">
            <wp:extent cx="5262880" cy="1461135"/>
            <wp:effectExtent l="0" t="0" r="13970" b="57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7DAD9" w14:textId="01649C14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18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1"/>
          <w:szCs w:val="21"/>
        </w:rPr>
        <w:t>Acinetobacter guillouiae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first pair of specific primers </w:t>
      </w:r>
    </w:p>
    <w:p w14:paraId="3FF38F06" w14:textId="77777777" w:rsidR="00D812CC" w:rsidRDefault="00D812CC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14:paraId="7DC2AAFF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0270654" w14:textId="77777777" w:rsidR="00D812CC" w:rsidRDefault="00740AA6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drawing>
          <wp:inline distT="0" distB="0" distL="114300" distR="114300" wp14:anchorId="6596534B" wp14:editId="53064DD2">
            <wp:extent cx="5262880" cy="1461135"/>
            <wp:effectExtent l="0" t="0" r="13970" b="571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8A92" w14:textId="77777777" w:rsidR="00D812CC" w:rsidRDefault="00D812CC">
      <w:pPr>
        <w:spacing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F12FCDF" w14:textId="470ABD76" w:rsidR="00D812CC" w:rsidRDefault="0047053C">
      <w:pPr>
        <w:spacing w:line="240" w:lineRule="auto"/>
        <w:rPr>
          <w:rFonts w:ascii="Times New Roman" w:eastAsia="仿宋" w:hAnsi="Times New Roman" w:cs="Times New Roman"/>
          <w:color w:val="000000" w:themeColor="text1"/>
          <w:sz w:val="21"/>
          <w:szCs w:val="21"/>
        </w:rPr>
      </w:pP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Additional file </w:t>
      </w:r>
      <w:r>
        <w:rPr>
          <w:rFonts w:ascii="Times New Roman" w:hAnsi="Times New Roman"/>
          <w:iCs/>
          <w:color w:val="000000" w:themeColor="text1"/>
          <w:sz w:val="21"/>
          <w:szCs w:val="21"/>
        </w:rPr>
        <w:t>19</w:t>
      </w:r>
      <w:r w:rsidRPr="0047053C">
        <w:rPr>
          <w:rFonts w:ascii="Times New Roman" w:hAnsi="Times New Roman"/>
          <w:i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Part of the Sanger sequencing chromatogram of polymerase chain reaction products of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1"/>
          <w:szCs w:val="21"/>
        </w:rPr>
        <w:t>Acinetobacter guillouiae</w:t>
      </w:r>
      <w:r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>
        <w:rPr>
          <w:rFonts w:ascii="Times New Roman" w:eastAsia="仿宋" w:hAnsi="Times New Roman" w:cs="Times New Roman"/>
          <w:color w:val="000000" w:themeColor="text1"/>
          <w:sz w:val="21"/>
          <w:szCs w:val="21"/>
        </w:rPr>
        <w:t xml:space="preserve">amplified using second pair of specific primers </w:t>
      </w:r>
    </w:p>
    <w:p w14:paraId="267BDE31" w14:textId="77777777" w:rsidR="00D812CC" w:rsidRDefault="00D812C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sectPr w:rsidR="00D812CC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54888" w14:textId="77777777" w:rsidR="00B84ADF" w:rsidRDefault="00B84ADF">
      <w:pPr>
        <w:spacing w:after="0" w:line="240" w:lineRule="auto"/>
      </w:pPr>
      <w:r>
        <w:separator/>
      </w:r>
    </w:p>
  </w:endnote>
  <w:endnote w:type="continuationSeparator" w:id="0">
    <w:p w14:paraId="1DEA6110" w14:textId="77777777" w:rsidR="00B84ADF" w:rsidRDefault="00B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983558"/>
    </w:sdtPr>
    <w:sdtContent>
      <w:p w14:paraId="199CF75B" w14:textId="77777777" w:rsidR="00D812CC" w:rsidRDefault="00740AA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CA1A87" w14:textId="77777777" w:rsidR="00D812CC" w:rsidRDefault="00D812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8A314" w14:textId="77777777" w:rsidR="00B84ADF" w:rsidRDefault="00B84ADF">
      <w:pPr>
        <w:spacing w:after="0" w:line="240" w:lineRule="auto"/>
      </w:pPr>
      <w:r>
        <w:separator/>
      </w:r>
    </w:p>
  </w:footnote>
  <w:footnote w:type="continuationSeparator" w:id="0">
    <w:p w14:paraId="4A6DA949" w14:textId="77777777" w:rsidR="00B84ADF" w:rsidRDefault="00B84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yMjM2NTYwtTAwMbBU0lEKTi0uzszPAykwrAUA6qt90SwAAAA="/>
  </w:docVars>
  <w:rsids>
    <w:rsidRoot w:val="0056645A"/>
    <w:rsid w:val="00036B9A"/>
    <w:rsid w:val="000559E5"/>
    <w:rsid w:val="00095786"/>
    <w:rsid w:val="000B0034"/>
    <w:rsid w:val="000B19E6"/>
    <w:rsid w:val="00144173"/>
    <w:rsid w:val="00152672"/>
    <w:rsid w:val="001F6380"/>
    <w:rsid w:val="00207500"/>
    <w:rsid w:val="0024249D"/>
    <w:rsid w:val="002D739C"/>
    <w:rsid w:val="003147CA"/>
    <w:rsid w:val="00367DC7"/>
    <w:rsid w:val="003941F5"/>
    <w:rsid w:val="003F5B6E"/>
    <w:rsid w:val="0047053C"/>
    <w:rsid w:val="00483DA1"/>
    <w:rsid w:val="004D2A80"/>
    <w:rsid w:val="005253A5"/>
    <w:rsid w:val="00537674"/>
    <w:rsid w:val="0056645A"/>
    <w:rsid w:val="005D0239"/>
    <w:rsid w:val="00670B88"/>
    <w:rsid w:val="0069017F"/>
    <w:rsid w:val="006E3865"/>
    <w:rsid w:val="006F08C2"/>
    <w:rsid w:val="006F6C05"/>
    <w:rsid w:val="007203B0"/>
    <w:rsid w:val="00740AA6"/>
    <w:rsid w:val="007526EC"/>
    <w:rsid w:val="00781C2A"/>
    <w:rsid w:val="007B0304"/>
    <w:rsid w:val="00807313"/>
    <w:rsid w:val="00837CCD"/>
    <w:rsid w:val="0098328E"/>
    <w:rsid w:val="009C27FB"/>
    <w:rsid w:val="009C4E89"/>
    <w:rsid w:val="009E7DD5"/>
    <w:rsid w:val="00A03C02"/>
    <w:rsid w:val="00A67F7E"/>
    <w:rsid w:val="00A71C94"/>
    <w:rsid w:val="00A75DD8"/>
    <w:rsid w:val="00B84ADF"/>
    <w:rsid w:val="00BC27D2"/>
    <w:rsid w:val="00BD7501"/>
    <w:rsid w:val="00BE6D5F"/>
    <w:rsid w:val="00C300CC"/>
    <w:rsid w:val="00D37D0C"/>
    <w:rsid w:val="00D812CC"/>
    <w:rsid w:val="00D82C61"/>
    <w:rsid w:val="00D85BF8"/>
    <w:rsid w:val="00D947E2"/>
    <w:rsid w:val="00DE3D15"/>
    <w:rsid w:val="00DE6AA6"/>
    <w:rsid w:val="00E03359"/>
    <w:rsid w:val="00E06C45"/>
    <w:rsid w:val="00E2677A"/>
    <w:rsid w:val="00E72A5F"/>
    <w:rsid w:val="00F42119"/>
    <w:rsid w:val="00F86322"/>
    <w:rsid w:val="00FD2EAD"/>
    <w:rsid w:val="080B31D1"/>
    <w:rsid w:val="0CF0648A"/>
    <w:rsid w:val="133F6D19"/>
    <w:rsid w:val="1BDB148E"/>
    <w:rsid w:val="1E812C10"/>
    <w:rsid w:val="295232BE"/>
    <w:rsid w:val="2C4B4D42"/>
    <w:rsid w:val="2FFF68C2"/>
    <w:rsid w:val="44AC2D11"/>
    <w:rsid w:val="57722F42"/>
    <w:rsid w:val="586A37D5"/>
    <w:rsid w:val="5D0339F8"/>
    <w:rsid w:val="5E79485B"/>
    <w:rsid w:val="66DC2D3C"/>
    <w:rsid w:val="717055E0"/>
    <w:rsid w:val="7F79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5FB2D3"/>
  <w15:docId w15:val="{3D2A58C4-24BF-4578-A38E-25380421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qFormat/>
    <w:pPr>
      <w:widowControl w:val="0"/>
    </w:pPr>
    <w:rPr>
      <w:rFonts w:ascii="Calibri" w:hAnsi="Calibri" w:cs="Times New Roman"/>
      <w:kern w:val="2"/>
      <w:sz w:val="21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pPr>
      <w:widowControl/>
      <w:spacing w:line="240" w:lineRule="auto"/>
    </w:pPr>
    <w:rPr>
      <w:rFonts w:asciiTheme="minorHAnsi" w:hAnsiTheme="minorHAnsi" w:cstheme="minorBidi"/>
      <w:b/>
      <w:bCs/>
      <w:kern w:val="0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src">
    <w:name w:val="src"/>
    <w:basedOn w:val="a"/>
    <w:uiPriority w:val="99"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aa">
    <w:name w:val="页眉 字符"/>
    <w:basedOn w:val="a0"/>
    <w:link w:val="a9"/>
    <w:uiPriority w:val="99"/>
    <w:qFormat/>
  </w:style>
  <w:style w:type="character" w:customStyle="1" w:styleId="a8">
    <w:name w:val="页脚 字符"/>
    <w:basedOn w:val="a0"/>
    <w:link w:val="a7"/>
    <w:uiPriority w:val="99"/>
    <w:qFormat/>
  </w:style>
  <w:style w:type="character" w:customStyle="1" w:styleId="tgt">
    <w:name w:val="tgt"/>
    <w:basedOn w:val="a0"/>
    <w:qFormat/>
  </w:style>
  <w:style w:type="character" w:customStyle="1" w:styleId="tgthighlight">
    <w:name w:val="tgt highlight"/>
    <w:qFormat/>
    <w:rPr>
      <w:rFonts w:cs="Times New Roman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hAnsi="Calibri" w:cs="Times New Roman"/>
      <w:kern w:val="2"/>
      <w:sz w:val="21"/>
      <w:szCs w:val="22"/>
      <w:lang w:val="en-US" w:eastAsia="ja-JP" w:bidi="ar-SA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hAnsi="Calibri" w:cs="Times New Roman"/>
      <w:b/>
      <w:bCs/>
      <w:kern w:val="2"/>
      <w:sz w:val="21"/>
      <w:szCs w:val="22"/>
      <w:lang w:val="en-US" w:eastAsia="ja-JP" w:bidi="ar-SA"/>
    </w:rPr>
  </w:style>
  <w:style w:type="character" w:customStyle="1" w:styleId="tlid-translation">
    <w:name w:val="tlid-translation"/>
    <w:basedOn w:val="a0"/>
    <w:qFormat/>
    <w:rPr>
      <w:rFonts w:eastAsia="宋体"/>
      <w:lang w:val="en-US" w:eastAsia="en-US"/>
    </w:rPr>
  </w:style>
  <w:style w:type="paragraph" w:styleId="af0">
    <w:name w:val="Revision"/>
    <w:hidden/>
    <w:uiPriority w:val="99"/>
    <w:unhideWhenUsed/>
    <w:rsid w:val="0047053C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3507255353@qq.com</cp:lastModifiedBy>
  <cp:revision>20</cp:revision>
  <dcterms:created xsi:type="dcterms:W3CDTF">2020-09-30T03:10:00Z</dcterms:created>
  <dcterms:modified xsi:type="dcterms:W3CDTF">2023-07-27T05:46:00Z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