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BEE06" w14:textId="31D8FAF8" w:rsidR="00D10F6A" w:rsidRPr="00833471" w:rsidRDefault="00D10F6A" w:rsidP="004A1FEC">
      <w:pPr>
        <w:spacing w:line="276" w:lineRule="auto"/>
        <w:jc w:val="center"/>
        <w:rPr>
          <w:rFonts w:cs="Arial"/>
          <w:b/>
          <w:bCs/>
          <w:sz w:val="24"/>
          <w:szCs w:val="24"/>
        </w:rPr>
      </w:pPr>
      <w:r w:rsidRPr="00833471">
        <w:rPr>
          <w:rFonts w:cs="Arial"/>
          <w:b/>
          <w:bCs/>
          <w:sz w:val="24"/>
          <w:szCs w:val="24"/>
        </w:rPr>
        <w:t xml:space="preserve">Supplementary </w:t>
      </w:r>
      <w:r w:rsidR="00FF6104">
        <w:rPr>
          <w:rFonts w:cs="Arial"/>
          <w:b/>
          <w:bCs/>
          <w:sz w:val="24"/>
          <w:szCs w:val="24"/>
        </w:rPr>
        <w:t>i</w:t>
      </w:r>
      <w:r w:rsidRPr="00833471">
        <w:rPr>
          <w:rFonts w:cs="Arial"/>
          <w:b/>
          <w:bCs/>
          <w:sz w:val="24"/>
          <w:szCs w:val="24"/>
        </w:rPr>
        <w:t>nformation</w:t>
      </w:r>
      <w:r w:rsidR="00471F44" w:rsidRPr="00833471">
        <w:rPr>
          <w:rFonts w:cs="Arial"/>
          <w:b/>
          <w:bCs/>
          <w:sz w:val="24"/>
          <w:szCs w:val="24"/>
        </w:rPr>
        <w:t xml:space="preserve"> </w:t>
      </w:r>
      <w:r w:rsidR="00FF6104">
        <w:rPr>
          <w:rFonts w:cs="Arial"/>
          <w:b/>
          <w:bCs/>
          <w:sz w:val="24"/>
          <w:szCs w:val="24"/>
        </w:rPr>
        <w:t>for</w:t>
      </w:r>
    </w:p>
    <w:p w14:paraId="68554D7D" w14:textId="77777777" w:rsidR="00D10F6A" w:rsidRPr="00833471" w:rsidRDefault="00D10F6A" w:rsidP="00FA3D6A">
      <w:pPr>
        <w:spacing w:line="276" w:lineRule="auto"/>
        <w:rPr>
          <w:rFonts w:cs="Arial"/>
          <w:b/>
          <w:bCs/>
          <w:sz w:val="28"/>
          <w:szCs w:val="28"/>
        </w:rPr>
      </w:pPr>
    </w:p>
    <w:p w14:paraId="0466031A" w14:textId="77777777" w:rsidR="00886D67" w:rsidRDefault="00886D67" w:rsidP="00886D67">
      <w:pPr>
        <w:spacing w:line="480" w:lineRule="auto"/>
        <w:jc w:val="center"/>
        <w:rPr>
          <w:rFonts w:cs="Arial"/>
          <w:b/>
          <w:bCs/>
          <w:sz w:val="24"/>
          <w:szCs w:val="24"/>
        </w:rPr>
      </w:pPr>
      <w:r>
        <w:rPr>
          <w:rFonts w:cs="Arial"/>
          <w:b/>
          <w:bCs/>
          <w:sz w:val="24"/>
          <w:szCs w:val="24"/>
        </w:rPr>
        <w:t>Biocatalytic stereocontrolled head-to-tail cyclizations as a tool for streamlined hybrid synthesis of terpenes</w:t>
      </w:r>
    </w:p>
    <w:p w14:paraId="25855745" w14:textId="64F555E1" w:rsidR="00EA36BB" w:rsidRPr="00D515AF" w:rsidRDefault="00D10F6A" w:rsidP="00FA3D6A">
      <w:pPr>
        <w:spacing w:line="276" w:lineRule="auto"/>
        <w:rPr>
          <w:rFonts w:cs="Arial"/>
          <w:sz w:val="18"/>
          <w:szCs w:val="18"/>
          <w:lang w:val="de-DE"/>
        </w:rPr>
      </w:pPr>
      <w:r w:rsidRPr="00D515AF">
        <w:rPr>
          <w:rFonts w:cs="Arial"/>
          <w:sz w:val="18"/>
          <w:szCs w:val="18"/>
          <w:lang w:val="de-DE"/>
        </w:rPr>
        <w:t>Andreas Schneider</w:t>
      </w:r>
      <w:r w:rsidRPr="00D515AF">
        <w:rPr>
          <w:rFonts w:cs="Arial"/>
          <w:sz w:val="18"/>
          <w:szCs w:val="18"/>
          <w:vertAlign w:val="superscript"/>
          <w:lang w:val="de-DE"/>
        </w:rPr>
        <w:t>1</w:t>
      </w:r>
      <w:r w:rsidRPr="00D515AF">
        <w:rPr>
          <w:rFonts w:cs="Arial"/>
          <w:sz w:val="18"/>
          <w:szCs w:val="18"/>
          <w:lang w:val="de-DE"/>
        </w:rPr>
        <w:t>, Thomas B. Lystbæk</w:t>
      </w:r>
      <w:r w:rsidRPr="00D515AF">
        <w:rPr>
          <w:rFonts w:cs="Arial"/>
          <w:sz w:val="18"/>
          <w:szCs w:val="18"/>
          <w:vertAlign w:val="superscript"/>
          <w:lang w:val="de-DE"/>
        </w:rPr>
        <w:t>1</w:t>
      </w:r>
      <w:r w:rsidRPr="00D515AF">
        <w:rPr>
          <w:rFonts w:cs="Arial"/>
          <w:sz w:val="18"/>
          <w:szCs w:val="18"/>
          <w:lang w:val="de-DE"/>
        </w:rPr>
        <w:t>, Daniel Markthaler</w:t>
      </w:r>
      <w:r w:rsidRPr="00D515AF">
        <w:rPr>
          <w:rFonts w:cs="Arial"/>
          <w:sz w:val="18"/>
          <w:szCs w:val="18"/>
          <w:vertAlign w:val="superscript"/>
          <w:lang w:val="de-DE"/>
        </w:rPr>
        <w:t>2</w:t>
      </w:r>
      <w:r w:rsidRPr="00D515AF">
        <w:rPr>
          <w:rFonts w:cs="Arial"/>
          <w:sz w:val="18"/>
          <w:szCs w:val="18"/>
          <w:lang w:val="de-DE"/>
        </w:rPr>
        <w:t>, Niels Hansen</w:t>
      </w:r>
      <w:r w:rsidRPr="00D515AF">
        <w:rPr>
          <w:rFonts w:cs="Arial"/>
          <w:sz w:val="18"/>
          <w:szCs w:val="18"/>
          <w:vertAlign w:val="superscript"/>
          <w:lang w:val="de-DE"/>
        </w:rPr>
        <w:t>2</w:t>
      </w:r>
      <w:r w:rsidRPr="00D515AF">
        <w:rPr>
          <w:rFonts w:cs="Arial"/>
          <w:sz w:val="18"/>
          <w:szCs w:val="18"/>
          <w:lang w:val="de-DE"/>
        </w:rPr>
        <w:t xml:space="preserve"> &amp; Bernhard Hauer</w:t>
      </w:r>
      <w:r w:rsidRPr="00D515AF">
        <w:rPr>
          <w:rFonts w:cs="Arial"/>
          <w:sz w:val="18"/>
          <w:szCs w:val="18"/>
          <w:vertAlign w:val="superscript"/>
          <w:lang w:val="de-DE"/>
        </w:rPr>
        <w:t>1</w:t>
      </w:r>
      <w:r w:rsidRPr="00D515AF">
        <w:rPr>
          <w:rFonts w:cs="Arial"/>
          <w:sz w:val="18"/>
          <w:szCs w:val="18"/>
          <w:lang w:val="de-DE"/>
        </w:rPr>
        <w:t>*</w:t>
      </w:r>
    </w:p>
    <w:p w14:paraId="74A4812E" w14:textId="76E21E8B" w:rsidR="00DE0E57" w:rsidRPr="00833471" w:rsidRDefault="00D10F6A" w:rsidP="00FA3D6A">
      <w:pPr>
        <w:pStyle w:val="Paragraph"/>
        <w:spacing w:line="276" w:lineRule="auto"/>
        <w:ind w:firstLine="0"/>
        <w:rPr>
          <w:rFonts w:ascii="Arial" w:hAnsi="Arial" w:cs="Arial"/>
          <w:sz w:val="20"/>
          <w:szCs w:val="20"/>
        </w:rPr>
      </w:pPr>
      <w:r w:rsidRPr="00833471">
        <w:rPr>
          <w:rFonts w:ascii="Arial" w:hAnsi="Arial" w:cs="Arial"/>
          <w:sz w:val="20"/>
          <w:szCs w:val="20"/>
          <w:vertAlign w:val="superscript"/>
        </w:rPr>
        <w:t>1</w:t>
      </w:r>
      <w:r w:rsidRPr="00833471">
        <w:rPr>
          <w:rFonts w:ascii="Arial" w:hAnsi="Arial" w:cs="Arial"/>
          <w:sz w:val="20"/>
          <w:szCs w:val="20"/>
        </w:rPr>
        <w:t>Institute of Biochemistry and Technical Biochemistry, University of Stuttgart, Stuttgart-Vaihingen, Germany</w:t>
      </w:r>
    </w:p>
    <w:p w14:paraId="0BDE7F67" w14:textId="65FCB4B9" w:rsidR="00D10F6A" w:rsidRPr="00833471" w:rsidRDefault="00D10F6A" w:rsidP="00FA3D6A">
      <w:pPr>
        <w:pStyle w:val="Paragraph"/>
        <w:spacing w:line="276" w:lineRule="auto"/>
        <w:ind w:firstLine="0"/>
        <w:rPr>
          <w:rFonts w:ascii="Arial" w:hAnsi="Arial" w:cs="Arial"/>
          <w:sz w:val="20"/>
          <w:szCs w:val="20"/>
        </w:rPr>
      </w:pPr>
      <w:r w:rsidRPr="00833471">
        <w:rPr>
          <w:rFonts w:ascii="Arial" w:hAnsi="Arial" w:cs="Arial"/>
          <w:sz w:val="20"/>
          <w:szCs w:val="20"/>
          <w:vertAlign w:val="superscript"/>
        </w:rPr>
        <w:t>2</w:t>
      </w:r>
      <w:r w:rsidRPr="00833471">
        <w:rPr>
          <w:rFonts w:ascii="Arial" w:hAnsi="Arial" w:cs="Arial"/>
          <w:sz w:val="20"/>
          <w:szCs w:val="20"/>
        </w:rPr>
        <w:t>Institute of Thermodynamics and Thermal Process Engineering, University of Stuttgart, Stuttgart-Vaihingen, Germany</w:t>
      </w:r>
    </w:p>
    <w:p w14:paraId="71CA442B" w14:textId="0AFDE993" w:rsidR="00D10F6A" w:rsidRPr="00833471" w:rsidRDefault="00D10F6A" w:rsidP="00FA3D6A">
      <w:pPr>
        <w:pStyle w:val="Paragraph"/>
        <w:spacing w:line="480" w:lineRule="auto"/>
        <w:ind w:firstLine="0"/>
        <w:rPr>
          <w:rStyle w:val="Hyperlink"/>
          <w:rFonts w:ascii="Arial" w:hAnsi="Arial" w:cs="Arial"/>
          <w:u w:val="none"/>
        </w:rPr>
      </w:pPr>
    </w:p>
    <w:p w14:paraId="49F66666" w14:textId="48B8A27A" w:rsidR="00D10F6A" w:rsidRDefault="00FD31F5" w:rsidP="00FA3D6A">
      <w:pPr>
        <w:pStyle w:val="Paragraph"/>
        <w:spacing w:line="480" w:lineRule="auto"/>
        <w:ind w:firstLine="0"/>
        <w:rPr>
          <w:rStyle w:val="Hyperlink"/>
          <w:rFonts w:ascii="Arial" w:hAnsi="Arial" w:cs="Arial"/>
          <w:color w:val="auto"/>
          <w:u w:val="none"/>
        </w:rPr>
      </w:pPr>
      <w:r w:rsidRPr="00833471">
        <w:rPr>
          <w:rStyle w:val="Hyperlink"/>
          <w:rFonts w:ascii="Arial" w:hAnsi="Arial" w:cs="Arial"/>
          <w:color w:val="auto"/>
          <w:u w:val="none"/>
        </w:rPr>
        <w:t>This file contains:</w:t>
      </w:r>
    </w:p>
    <w:p w14:paraId="15286076" w14:textId="77777777" w:rsidR="00633013" w:rsidRDefault="00633013" w:rsidP="00FA3D6A">
      <w:pPr>
        <w:pStyle w:val="Paragraph"/>
        <w:spacing w:line="480" w:lineRule="auto"/>
        <w:ind w:firstLine="0"/>
        <w:rPr>
          <w:rStyle w:val="Hyperlink"/>
          <w:rFonts w:ascii="Arial" w:hAnsi="Arial" w:cs="Arial"/>
          <w:color w:val="auto"/>
          <w:u w:val="none"/>
        </w:rPr>
      </w:pPr>
    </w:p>
    <w:p w14:paraId="0D115541" w14:textId="77777777" w:rsidR="00633013" w:rsidRDefault="00633013">
      <w:pPr>
        <w:spacing w:line="259" w:lineRule="auto"/>
        <w:jc w:val="left"/>
        <w:rPr>
          <w:rStyle w:val="Hyperlink"/>
          <w:rFonts w:cs="Arial"/>
          <w:color w:val="auto"/>
          <w:u w:val="none"/>
        </w:rPr>
      </w:pPr>
      <w:r>
        <w:rPr>
          <w:rStyle w:val="Hyperlink"/>
          <w:rFonts w:cs="Arial"/>
          <w:color w:val="auto"/>
          <w:u w:val="none"/>
        </w:rPr>
        <w:t>Figure S1-18</w:t>
      </w:r>
    </w:p>
    <w:p w14:paraId="0F30B01A" w14:textId="77777777" w:rsidR="00633013" w:rsidRDefault="00633013">
      <w:pPr>
        <w:spacing w:line="259" w:lineRule="auto"/>
        <w:jc w:val="left"/>
        <w:rPr>
          <w:rStyle w:val="Hyperlink"/>
          <w:rFonts w:cs="Arial"/>
          <w:color w:val="auto"/>
          <w:u w:val="none"/>
        </w:rPr>
      </w:pPr>
      <w:r>
        <w:rPr>
          <w:rStyle w:val="Hyperlink"/>
          <w:rFonts w:cs="Arial"/>
          <w:color w:val="auto"/>
          <w:u w:val="none"/>
        </w:rPr>
        <w:t>Supporting Table S1-8</w:t>
      </w:r>
    </w:p>
    <w:p w14:paraId="62E9D480" w14:textId="77777777" w:rsidR="006C2A8B" w:rsidRDefault="006C2A8B">
      <w:pPr>
        <w:spacing w:line="259" w:lineRule="auto"/>
        <w:jc w:val="left"/>
        <w:rPr>
          <w:rStyle w:val="Hyperlink"/>
          <w:rFonts w:cs="Arial"/>
          <w:color w:val="auto"/>
          <w:u w:val="none"/>
        </w:rPr>
      </w:pPr>
      <w:r>
        <w:rPr>
          <w:rStyle w:val="Hyperlink"/>
          <w:rFonts w:cs="Arial"/>
          <w:color w:val="auto"/>
          <w:u w:val="none"/>
        </w:rPr>
        <w:t>General materials</w:t>
      </w:r>
    </w:p>
    <w:p w14:paraId="7813A3D7" w14:textId="77777777" w:rsidR="006C2A8B" w:rsidRDefault="006C2A8B">
      <w:pPr>
        <w:spacing w:line="259" w:lineRule="auto"/>
        <w:jc w:val="left"/>
        <w:rPr>
          <w:rStyle w:val="Hyperlink"/>
          <w:rFonts w:cs="Arial"/>
          <w:color w:val="auto"/>
          <w:u w:val="none"/>
        </w:rPr>
      </w:pPr>
      <w:r>
        <w:rPr>
          <w:rStyle w:val="Hyperlink"/>
          <w:rFonts w:cs="Arial"/>
          <w:color w:val="auto"/>
          <w:u w:val="none"/>
        </w:rPr>
        <w:t>General analytics</w:t>
      </w:r>
    </w:p>
    <w:p w14:paraId="12D5EF9F" w14:textId="77777777" w:rsidR="006C2A8B" w:rsidRDefault="006C2A8B">
      <w:pPr>
        <w:spacing w:line="259" w:lineRule="auto"/>
        <w:jc w:val="left"/>
        <w:rPr>
          <w:rStyle w:val="Hyperlink"/>
          <w:rFonts w:cs="Arial"/>
          <w:color w:val="auto"/>
          <w:u w:val="none"/>
        </w:rPr>
      </w:pPr>
      <w:r>
        <w:rPr>
          <w:rStyle w:val="Hyperlink"/>
          <w:rFonts w:cs="Arial"/>
          <w:color w:val="auto"/>
          <w:u w:val="none"/>
        </w:rPr>
        <w:t>General methods</w:t>
      </w:r>
    </w:p>
    <w:p w14:paraId="03323837" w14:textId="77777777" w:rsidR="00007FD7" w:rsidRDefault="006C2A8B">
      <w:pPr>
        <w:spacing w:line="259" w:lineRule="auto"/>
        <w:jc w:val="left"/>
        <w:rPr>
          <w:rStyle w:val="Hyperlink"/>
          <w:rFonts w:cs="Arial"/>
          <w:color w:val="auto"/>
          <w:u w:val="none"/>
        </w:rPr>
      </w:pPr>
      <w:r>
        <w:rPr>
          <w:rStyle w:val="Hyperlink"/>
          <w:rFonts w:cs="Arial"/>
          <w:color w:val="auto"/>
          <w:u w:val="none"/>
        </w:rPr>
        <w:t>Computational methods</w:t>
      </w:r>
    </w:p>
    <w:p w14:paraId="406B7BEB" w14:textId="77777777" w:rsidR="00007FD7" w:rsidRDefault="00007FD7">
      <w:pPr>
        <w:spacing w:line="259" w:lineRule="auto"/>
        <w:jc w:val="left"/>
        <w:rPr>
          <w:rStyle w:val="Hyperlink"/>
          <w:rFonts w:cs="Arial"/>
          <w:color w:val="auto"/>
          <w:u w:val="none"/>
        </w:rPr>
      </w:pPr>
      <w:r>
        <w:rPr>
          <w:rStyle w:val="Hyperlink"/>
          <w:rFonts w:cs="Arial"/>
          <w:color w:val="auto"/>
          <w:u w:val="none"/>
        </w:rPr>
        <w:t>Preparative scale biotransformations</w:t>
      </w:r>
    </w:p>
    <w:p w14:paraId="591E4846" w14:textId="37D90D18" w:rsidR="00007FD7" w:rsidRDefault="00007FD7">
      <w:pPr>
        <w:spacing w:line="259" w:lineRule="auto"/>
        <w:jc w:val="left"/>
        <w:rPr>
          <w:rStyle w:val="Hyperlink"/>
          <w:rFonts w:cs="Arial"/>
          <w:color w:val="auto"/>
          <w:u w:val="none"/>
        </w:rPr>
      </w:pPr>
      <w:r>
        <w:rPr>
          <w:rStyle w:val="Hyperlink"/>
          <w:rFonts w:cs="Arial"/>
          <w:color w:val="auto"/>
          <w:u w:val="none"/>
        </w:rPr>
        <w:t>Chemical synthesis</w:t>
      </w:r>
    </w:p>
    <w:p w14:paraId="5D35EF8F" w14:textId="77777777" w:rsidR="00007FD7" w:rsidRDefault="00007FD7">
      <w:pPr>
        <w:spacing w:line="259" w:lineRule="auto"/>
        <w:jc w:val="left"/>
        <w:rPr>
          <w:rStyle w:val="Hyperlink"/>
          <w:rFonts w:cs="Arial"/>
          <w:color w:val="auto"/>
          <w:u w:val="none"/>
        </w:rPr>
      </w:pPr>
      <w:r>
        <w:rPr>
          <w:rStyle w:val="Hyperlink"/>
          <w:rFonts w:cs="Arial"/>
          <w:color w:val="auto"/>
          <w:u w:val="none"/>
        </w:rPr>
        <w:t>Supporting chromatograms</w:t>
      </w:r>
    </w:p>
    <w:p w14:paraId="1AE79A53" w14:textId="77777777" w:rsidR="00007FD7" w:rsidRDefault="00007FD7">
      <w:pPr>
        <w:spacing w:line="259" w:lineRule="auto"/>
        <w:jc w:val="left"/>
        <w:rPr>
          <w:rStyle w:val="Hyperlink"/>
          <w:rFonts w:cs="Arial"/>
          <w:color w:val="auto"/>
          <w:u w:val="none"/>
        </w:rPr>
      </w:pPr>
      <w:r>
        <w:rPr>
          <w:rStyle w:val="Hyperlink"/>
          <w:rFonts w:cs="Arial"/>
          <w:color w:val="auto"/>
          <w:u w:val="none"/>
        </w:rPr>
        <w:t>Supporting mass spectra</w:t>
      </w:r>
    </w:p>
    <w:p w14:paraId="66D51A3C" w14:textId="77777777" w:rsidR="00007FD7" w:rsidRDefault="00007FD7">
      <w:pPr>
        <w:spacing w:line="259" w:lineRule="auto"/>
        <w:jc w:val="left"/>
        <w:rPr>
          <w:rStyle w:val="Hyperlink"/>
          <w:rFonts w:cs="Arial"/>
          <w:color w:val="auto"/>
          <w:u w:val="none"/>
        </w:rPr>
      </w:pPr>
      <w:r>
        <w:rPr>
          <w:rStyle w:val="Hyperlink"/>
          <w:rFonts w:cs="Arial"/>
          <w:color w:val="auto"/>
          <w:u w:val="none"/>
        </w:rPr>
        <w:t>NMR spectra</w:t>
      </w:r>
    </w:p>
    <w:p w14:paraId="713EB816" w14:textId="77777777" w:rsidR="00007FD7" w:rsidRDefault="00007FD7">
      <w:pPr>
        <w:spacing w:line="259" w:lineRule="auto"/>
        <w:jc w:val="left"/>
        <w:rPr>
          <w:rStyle w:val="Hyperlink"/>
          <w:rFonts w:cs="Arial"/>
          <w:color w:val="auto"/>
          <w:u w:val="none"/>
        </w:rPr>
      </w:pPr>
      <w:r>
        <w:rPr>
          <w:rStyle w:val="Hyperlink"/>
          <w:rFonts w:cs="Arial"/>
          <w:color w:val="auto"/>
          <w:u w:val="none"/>
        </w:rPr>
        <w:t xml:space="preserve">Amino acid sequences </w:t>
      </w:r>
    </w:p>
    <w:p w14:paraId="2AD6D33F" w14:textId="70EEBF1C" w:rsidR="002843EE" w:rsidRDefault="00C17E83">
      <w:pPr>
        <w:spacing w:line="259" w:lineRule="auto"/>
        <w:jc w:val="left"/>
        <w:rPr>
          <w:rStyle w:val="Hyperlink"/>
          <w:rFonts w:eastAsia="Times New Roman" w:cs="Arial"/>
          <w:color w:val="auto"/>
          <w:sz w:val="24"/>
          <w:szCs w:val="24"/>
          <w:u w:val="none"/>
        </w:rPr>
      </w:pPr>
      <w:r>
        <w:rPr>
          <w:rStyle w:val="Hyperlink"/>
          <w:rFonts w:cs="Arial"/>
          <w:color w:val="auto"/>
          <w:u w:val="none"/>
        </w:rPr>
        <w:t>References</w:t>
      </w:r>
      <w:r w:rsidR="002843EE">
        <w:rPr>
          <w:rStyle w:val="Hyperlink"/>
          <w:rFonts w:cs="Arial"/>
          <w:color w:val="auto"/>
          <w:u w:val="none"/>
        </w:rPr>
        <w:br w:type="page"/>
      </w:r>
    </w:p>
    <w:sdt>
      <w:sdtPr>
        <w:rPr>
          <w:rFonts w:ascii="Arial" w:eastAsiaTheme="minorHAnsi" w:hAnsi="Arial" w:cs="Arial"/>
          <w:color w:val="auto"/>
          <w:sz w:val="22"/>
          <w:szCs w:val="22"/>
        </w:rPr>
        <w:id w:val="1403102575"/>
        <w:docPartObj>
          <w:docPartGallery w:val="Table of Contents"/>
          <w:docPartUnique/>
        </w:docPartObj>
      </w:sdtPr>
      <w:sdtEndPr>
        <w:rPr>
          <w:b/>
          <w:bCs/>
          <w:noProof/>
        </w:rPr>
      </w:sdtEndPr>
      <w:sdtContent>
        <w:p w14:paraId="3B0774E1" w14:textId="2E54057B" w:rsidR="008468CD" w:rsidRPr="001D2AFB" w:rsidRDefault="005B60AE" w:rsidP="0021266D">
          <w:pPr>
            <w:pStyle w:val="TOCHeading"/>
            <w:spacing w:line="240" w:lineRule="auto"/>
            <w:rPr>
              <w:rFonts w:ascii="Arial" w:hAnsi="Arial" w:cs="Arial"/>
              <w:b/>
              <w:bCs/>
              <w:i/>
              <w:iCs/>
              <w:color w:val="auto"/>
            </w:rPr>
          </w:pPr>
          <w:r w:rsidRPr="001D2AFB">
            <w:rPr>
              <w:rFonts w:ascii="Arial" w:hAnsi="Arial" w:cs="Arial"/>
              <w:b/>
              <w:bCs/>
              <w:i/>
              <w:iCs/>
              <w:color w:val="auto"/>
            </w:rPr>
            <w:t>Table of contents</w:t>
          </w:r>
        </w:p>
        <w:p w14:paraId="33B02B9C" w14:textId="77777777" w:rsidR="0029072C" w:rsidRPr="0029072C" w:rsidRDefault="0029072C" w:rsidP="0029072C"/>
        <w:p w14:paraId="6B20C51B" w14:textId="777BDA4D" w:rsidR="00377CDA" w:rsidRPr="00377CDA" w:rsidRDefault="005B60AE">
          <w:pPr>
            <w:pStyle w:val="TOC1"/>
            <w:rPr>
              <w:rFonts w:eastAsiaTheme="minorEastAsia" w:cstheme="minorBidi"/>
              <w:b w:val="0"/>
              <w:bCs w:val="0"/>
              <w:noProof/>
              <w:kern w:val="2"/>
              <w:sz w:val="22"/>
              <w:szCs w:val="22"/>
              <w:lang w:eastAsia="de-DE" w:bidi="he-IL"/>
              <w14:ligatures w14:val="standardContextual"/>
            </w:rPr>
          </w:pPr>
          <w:r w:rsidRPr="0029072C">
            <w:rPr>
              <w:rFonts w:ascii="Arial" w:hAnsi="Arial" w:cs="Arial"/>
              <w:caps/>
              <w:sz w:val="24"/>
              <w:szCs w:val="24"/>
            </w:rPr>
            <w:fldChar w:fldCharType="begin"/>
          </w:r>
          <w:r w:rsidRPr="0029072C">
            <w:rPr>
              <w:rFonts w:ascii="Arial" w:hAnsi="Arial" w:cs="Arial"/>
              <w:caps/>
              <w:sz w:val="24"/>
              <w:szCs w:val="24"/>
            </w:rPr>
            <w:instrText xml:space="preserve"> TOC \o "1-3" \u </w:instrText>
          </w:r>
          <w:r w:rsidRPr="0029072C">
            <w:rPr>
              <w:rFonts w:ascii="Arial" w:hAnsi="Arial" w:cs="Arial"/>
              <w:caps/>
              <w:sz w:val="24"/>
              <w:szCs w:val="24"/>
            </w:rPr>
            <w:fldChar w:fldCharType="separate"/>
          </w:r>
          <w:r w:rsidR="00377CDA" w:rsidRPr="00121D1C">
            <w:rPr>
              <w:noProof/>
              <w:color w:val="000000" w:themeColor="text1"/>
            </w:rPr>
            <w:t>Figure S 1</w:t>
          </w:r>
          <w:r w:rsidR="00377CDA">
            <w:rPr>
              <w:noProof/>
            </w:rPr>
            <w:tab/>
          </w:r>
          <w:r w:rsidR="00377CDA">
            <w:rPr>
              <w:noProof/>
            </w:rPr>
            <w:fldChar w:fldCharType="begin"/>
          </w:r>
          <w:r w:rsidR="00377CDA">
            <w:rPr>
              <w:noProof/>
            </w:rPr>
            <w:instrText xml:space="preserve"> PAGEREF _Toc134623348 \h </w:instrText>
          </w:r>
          <w:r w:rsidR="00377CDA">
            <w:rPr>
              <w:noProof/>
            </w:rPr>
          </w:r>
          <w:r w:rsidR="00377CDA">
            <w:rPr>
              <w:noProof/>
            </w:rPr>
            <w:fldChar w:fldCharType="separate"/>
          </w:r>
          <w:r w:rsidR="00AA5E09">
            <w:rPr>
              <w:noProof/>
            </w:rPr>
            <w:t>5</w:t>
          </w:r>
          <w:r w:rsidR="00377CDA">
            <w:rPr>
              <w:noProof/>
            </w:rPr>
            <w:fldChar w:fldCharType="end"/>
          </w:r>
        </w:p>
        <w:p w14:paraId="63369DAF" w14:textId="7BC13214"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noProof/>
              <w:color w:val="000000" w:themeColor="text1"/>
            </w:rPr>
            <w:t>Figure S 2</w:t>
          </w:r>
          <w:r>
            <w:rPr>
              <w:noProof/>
            </w:rPr>
            <w:tab/>
          </w:r>
          <w:r>
            <w:rPr>
              <w:noProof/>
            </w:rPr>
            <w:fldChar w:fldCharType="begin"/>
          </w:r>
          <w:r>
            <w:rPr>
              <w:noProof/>
            </w:rPr>
            <w:instrText xml:space="preserve"> PAGEREF _Toc134623349 \h </w:instrText>
          </w:r>
          <w:r>
            <w:rPr>
              <w:noProof/>
            </w:rPr>
          </w:r>
          <w:r>
            <w:rPr>
              <w:noProof/>
            </w:rPr>
            <w:fldChar w:fldCharType="separate"/>
          </w:r>
          <w:r w:rsidR="00AA5E09">
            <w:rPr>
              <w:noProof/>
            </w:rPr>
            <w:t>6</w:t>
          </w:r>
          <w:r>
            <w:rPr>
              <w:noProof/>
            </w:rPr>
            <w:fldChar w:fldCharType="end"/>
          </w:r>
        </w:p>
        <w:p w14:paraId="414C2C99" w14:textId="671E37E6"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noProof/>
              <w:color w:val="000000" w:themeColor="text1"/>
            </w:rPr>
            <w:t>Figure S 3</w:t>
          </w:r>
          <w:r>
            <w:rPr>
              <w:noProof/>
            </w:rPr>
            <w:tab/>
          </w:r>
          <w:r>
            <w:rPr>
              <w:noProof/>
            </w:rPr>
            <w:fldChar w:fldCharType="begin"/>
          </w:r>
          <w:r>
            <w:rPr>
              <w:noProof/>
            </w:rPr>
            <w:instrText xml:space="preserve"> PAGEREF _Toc134623350 \h </w:instrText>
          </w:r>
          <w:r>
            <w:rPr>
              <w:noProof/>
            </w:rPr>
          </w:r>
          <w:r>
            <w:rPr>
              <w:noProof/>
            </w:rPr>
            <w:fldChar w:fldCharType="separate"/>
          </w:r>
          <w:r w:rsidR="00AA5E09">
            <w:rPr>
              <w:noProof/>
            </w:rPr>
            <w:t>7</w:t>
          </w:r>
          <w:r>
            <w:rPr>
              <w:noProof/>
            </w:rPr>
            <w:fldChar w:fldCharType="end"/>
          </w:r>
        </w:p>
        <w:p w14:paraId="2257C43F" w14:textId="51139FF0"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4</w:t>
          </w:r>
          <w:r>
            <w:rPr>
              <w:noProof/>
            </w:rPr>
            <w:tab/>
          </w:r>
          <w:r>
            <w:rPr>
              <w:noProof/>
            </w:rPr>
            <w:fldChar w:fldCharType="begin"/>
          </w:r>
          <w:r>
            <w:rPr>
              <w:noProof/>
            </w:rPr>
            <w:instrText xml:space="preserve"> PAGEREF _Toc134623351 \h </w:instrText>
          </w:r>
          <w:r>
            <w:rPr>
              <w:noProof/>
            </w:rPr>
          </w:r>
          <w:r>
            <w:rPr>
              <w:noProof/>
            </w:rPr>
            <w:fldChar w:fldCharType="separate"/>
          </w:r>
          <w:r w:rsidR="00AA5E09">
            <w:rPr>
              <w:noProof/>
            </w:rPr>
            <w:t>8</w:t>
          </w:r>
          <w:r>
            <w:rPr>
              <w:noProof/>
            </w:rPr>
            <w:fldChar w:fldCharType="end"/>
          </w:r>
        </w:p>
        <w:p w14:paraId="1C10767C" w14:textId="02976B54"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5</w:t>
          </w:r>
          <w:r>
            <w:rPr>
              <w:noProof/>
            </w:rPr>
            <w:tab/>
          </w:r>
          <w:r>
            <w:rPr>
              <w:noProof/>
            </w:rPr>
            <w:fldChar w:fldCharType="begin"/>
          </w:r>
          <w:r>
            <w:rPr>
              <w:noProof/>
            </w:rPr>
            <w:instrText xml:space="preserve"> PAGEREF _Toc134623352 \h </w:instrText>
          </w:r>
          <w:r>
            <w:rPr>
              <w:noProof/>
            </w:rPr>
          </w:r>
          <w:r>
            <w:rPr>
              <w:noProof/>
            </w:rPr>
            <w:fldChar w:fldCharType="separate"/>
          </w:r>
          <w:r w:rsidR="00AA5E09">
            <w:rPr>
              <w:noProof/>
            </w:rPr>
            <w:t>9</w:t>
          </w:r>
          <w:r>
            <w:rPr>
              <w:noProof/>
            </w:rPr>
            <w:fldChar w:fldCharType="end"/>
          </w:r>
        </w:p>
        <w:p w14:paraId="3E9E4578" w14:textId="5BF7EB80"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6</w:t>
          </w:r>
          <w:r>
            <w:rPr>
              <w:noProof/>
            </w:rPr>
            <w:tab/>
          </w:r>
          <w:r>
            <w:rPr>
              <w:noProof/>
            </w:rPr>
            <w:fldChar w:fldCharType="begin"/>
          </w:r>
          <w:r>
            <w:rPr>
              <w:noProof/>
            </w:rPr>
            <w:instrText xml:space="preserve"> PAGEREF _Toc134623353 \h </w:instrText>
          </w:r>
          <w:r>
            <w:rPr>
              <w:noProof/>
            </w:rPr>
          </w:r>
          <w:r>
            <w:rPr>
              <w:noProof/>
            </w:rPr>
            <w:fldChar w:fldCharType="separate"/>
          </w:r>
          <w:r w:rsidR="00AA5E09">
            <w:rPr>
              <w:noProof/>
            </w:rPr>
            <w:t>10</w:t>
          </w:r>
          <w:r>
            <w:rPr>
              <w:noProof/>
            </w:rPr>
            <w:fldChar w:fldCharType="end"/>
          </w:r>
        </w:p>
        <w:p w14:paraId="58DBDEF0" w14:textId="495DD26A"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7</w:t>
          </w:r>
          <w:r>
            <w:rPr>
              <w:noProof/>
            </w:rPr>
            <w:tab/>
          </w:r>
          <w:r>
            <w:rPr>
              <w:noProof/>
            </w:rPr>
            <w:fldChar w:fldCharType="begin"/>
          </w:r>
          <w:r>
            <w:rPr>
              <w:noProof/>
            </w:rPr>
            <w:instrText xml:space="preserve"> PAGEREF _Toc134623354 \h </w:instrText>
          </w:r>
          <w:r>
            <w:rPr>
              <w:noProof/>
            </w:rPr>
          </w:r>
          <w:r>
            <w:rPr>
              <w:noProof/>
            </w:rPr>
            <w:fldChar w:fldCharType="separate"/>
          </w:r>
          <w:r w:rsidR="00AA5E09">
            <w:rPr>
              <w:noProof/>
            </w:rPr>
            <w:t>11</w:t>
          </w:r>
          <w:r>
            <w:rPr>
              <w:noProof/>
            </w:rPr>
            <w:fldChar w:fldCharType="end"/>
          </w:r>
        </w:p>
        <w:p w14:paraId="06048EEF" w14:textId="436E89CA"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8</w:t>
          </w:r>
          <w:r>
            <w:rPr>
              <w:noProof/>
            </w:rPr>
            <w:tab/>
          </w:r>
          <w:r>
            <w:rPr>
              <w:noProof/>
            </w:rPr>
            <w:fldChar w:fldCharType="begin"/>
          </w:r>
          <w:r>
            <w:rPr>
              <w:noProof/>
            </w:rPr>
            <w:instrText xml:space="preserve"> PAGEREF _Toc134623355 \h </w:instrText>
          </w:r>
          <w:r>
            <w:rPr>
              <w:noProof/>
            </w:rPr>
          </w:r>
          <w:r>
            <w:rPr>
              <w:noProof/>
            </w:rPr>
            <w:fldChar w:fldCharType="separate"/>
          </w:r>
          <w:r w:rsidR="00AA5E09">
            <w:rPr>
              <w:noProof/>
            </w:rPr>
            <w:t>12</w:t>
          </w:r>
          <w:r>
            <w:rPr>
              <w:noProof/>
            </w:rPr>
            <w:fldChar w:fldCharType="end"/>
          </w:r>
        </w:p>
        <w:p w14:paraId="77EC0FF5" w14:textId="26B7F451"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9</w:t>
          </w:r>
          <w:r>
            <w:rPr>
              <w:noProof/>
            </w:rPr>
            <w:tab/>
          </w:r>
          <w:r>
            <w:rPr>
              <w:noProof/>
            </w:rPr>
            <w:fldChar w:fldCharType="begin"/>
          </w:r>
          <w:r>
            <w:rPr>
              <w:noProof/>
            </w:rPr>
            <w:instrText xml:space="preserve"> PAGEREF _Toc134623356 \h </w:instrText>
          </w:r>
          <w:r>
            <w:rPr>
              <w:noProof/>
            </w:rPr>
          </w:r>
          <w:r>
            <w:rPr>
              <w:noProof/>
            </w:rPr>
            <w:fldChar w:fldCharType="separate"/>
          </w:r>
          <w:r w:rsidR="00AA5E09">
            <w:rPr>
              <w:noProof/>
            </w:rPr>
            <w:t>13</w:t>
          </w:r>
          <w:r>
            <w:rPr>
              <w:noProof/>
            </w:rPr>
            <w:fldChar w:fldCharType="end"/>
          </w:r>
        </w:p>
        <w:p w14:paraId="362D1F7E" w14:textId="68714BB7"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10</w:t>
          </w:r>
          <w:r>
            <w:rPr>
              <w:noProof/>
            </w:rPr>
            <w:tab/>
          </w:r>
          <w:r>
            <w:rPr>
              <w:noProof/>
            </w:rPr>
            <w:fldChar w:fldCharType="begin"/>
          </w:r>
          <w:r>
            <w:rPr>
              <w:noProof/>
            </w:rPr>
            <w:instrText xml:space="preserve"> PAGEREF _Toc134623357 \h </w:instrText>
          </w:r>
          <w:r>
            <w:rPr>
              <w:noProof/>
            </w:rPr>
          </w:r>
          <w:r>
            <w:rPr>
              <w:noProof/>
            </w:rPr>
            <w:fldChar w:fldCharType="separate"/>
          </w:r>
          <w:r w:rsidR="00AA5E09">
            <w:rPr>
              <w:noProof/>
            </w:rPr>
            <w:t>14</w:t>
          </w:r>
          <w:r>
            <w:rPr>
              <w:noProof/>
            </w:rPr>
            <w:fldChar w:fldCharType="end"/>
          </w:r>
        </w:p>
        <w:p w14:paraId="7C1DF76A" w14:textId="102ECCE9"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11</w:t>
          </w:r>
          <w:r>
            <w:rPr>
              <w:noProof/>
            </w:rPr>
            <w:tab/>
          </w:r>
          <w:r>
            <w:rPr>
              <w:noProof/>
            </w:rPr>
            <w:fldChar w:fldCharType="begin"/>
          </w:r>
          <w:r>
            <w:rPr>
              <w:noProof/>
            </w:rPr>
            <w:instrText xml:space="preserve"> PAGEREF _Toc134623358 \h </w:instrText>
          </w:r>
          <w:r>
            <w:rPr>
              <w:noProof/>
            </w:rPr>
          </w:r>
          <w:r>
            <w:rPr>
              <w:noProof/>
            </w:rPr>
            <w:fldChar w:fldCharType="separate"/>
          </w:r>
          <w:r w:rsidR="00AA5E09">
            <w:rPr>
              <w:noProof/>
            </w:rPr>
            <w:t>15</w:t>
          </w:r>
          <w:r>
            <w:rPr>
              <w:noProof/>
            </w:rPr>
            <w:fldChar w:fldCharType="end"/>
          </w:r>
        </w:p>
        <w:p w14:paraId="24A9AB20" w14:textId="00E457AE"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12</w:t>
          </w:r>
          <w:r>
            <w:rPr>
              <w:noProof/>
            </w:rPr>
            <w:tab/>
          </w:r>
          <w:r>
            <w:rPr>
              <w:noProof/>
            </w:rPr>
            <w:fldChar w:fldCharType="begin"/>
          </w:r>
          <w:r>
            <w:rPr>
              <w:noProof/>
            </w:rPr>
            <w:instrText xml:space="preserve"> PAGEREF _Toc134623359 \h </w:instrText>
          </w:r>
          <w:r>
            <w:rPr>
              <w:noProof/>
            </w:rPr>
          </w:r>
          <w:r>
            <w:rPr>
              <w:noProof/>
            </w:rPr>
            <w:fldChar w:fldCharType="separate"/>
          </w:r>
          <w:r w:rsidR="00AA5E09">
            <w:rPr>
              <w:noProof/>
            </w:rPr>
            <w:t>16</w:t>
          </w:r>
          <w:r>
            <w:rPr>
              <w:noProof/>
            </w:rPr>
            <w:fldChar w:fldCharType="end"/>
          </w:r>
        </w:p>
        <w:p w14:paraId="1C16A9CB" w14:textId="6B7D5F17"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13</w:t>
          </w:r>
          <w:r>
            <w:rPr>
              <w:noProof/>
            </w:rPr>
            <w:tab/>
          </w:r>
          <w:r>
            <w:rPr>
              <w:noProof/>
            </w:rPr>
            <w:fldChar w:fldCharType="begin"/>
          </w:r>
          <w:r>
            <w:rPr>
              <w:noProof/>
            </w:rPr>
            <w:instrText xml:space="preserve"> PAGEREF _Toc134623360 \h </w:instrText>
          </w:r>
          <w:r>
            <w:rPr>
              <w:noProof/>
            </w:rPr>
          </w:r>
          <w:r>
            <w:rPr>
              <w:noProof/>
            </w:rPr>
            <w:fldChar w:fldCharType="separate"/>
          </w:r>
          <w:r w:rsidR="00AA5E09">
            <w:rPr>
              <w:noProof/>
            </w:rPr>
            <w:t>17</w:t>
          </w:r>
          <w:r>
            <w:rPr>
              <w:noProof/>
            </w:rPr>
            <w:fldChar w:fldCharType="end"/>
          </w:r>
        </w:p>
        <w:p w14:paraId="2C7C88F2" w14:textId="332208BC"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14</w:t>
          </w:r>
          <w:r>
            <w:rPr>
              <w:noProof/>
            </w:rPr>
            <w:tab/>
          </w:r>
          <w:r>
            <w:rPr>
              <w:noProof/>
            </w:rPr>
            <w:fldChar w:fldCharType="begin"/>
          </w:r>
          <w:r>
            <w:rPr>
              <w:noProof/>
            </w:rPr>
            <w:instrText xml:space="preserve"> PAGEREF _Toc134623361 \h </w:instrText>
          </w:r>
          <w:r>
            <w:rPr>
              <w:noProof/>
            </w:rPr>
          </w:r>
          <w:r>
            <w:rPr>
              <w:noProof/>
            </w:rPr>
            <w:fldChar w:fldCharType="separate"/>
          </w:r>
          <w:r w:rsidR="00AA5E09">
            <w:rPr>
              <w:noProof/>
            </w:rPr>
            <w:t>18</w:t>
          </w:r>
          <w:r>
            <w:rPr>
              <w:noProof/>
            </w:rPr>
            <w:fldChar w:fldCharType="end"/>
          </w:r>
        </w:p>
        <w:p w14:paraId="409E683B" w14:textId="4ADFC485"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15</w:t>
          </w:r>
          <w:r>
            <w:rPr>
              <w:noProof/>
            </w:rPr>
            <w:tab/>
          </w:r>
          <w:r>
            <w:rPr>
              <w:noProof/>
            </w:rPr>
            <w:fldChar w:fldCharType="begin"/>
          </w:r>
          <w:r>
            <w:rPr>
              <w:noProof/>
            </w:rPr>
            <w:instrText xml:space="preserve"> PAGEREF _Toc134623362 \h </w:instrText>
          </w:r>
          <w:r>
            <w:rPr>
              <w:noProof/>
            </w:rPr>
          </w:r>
          <w:r>
            <w:rPr>
              <w:noProof/>
            </w:rPr>
            <w:fldChar w:fldCharType="separate"/>
          </w:r>
          <w:r w:rsidR="00AA5E09">
            <w:rPr>
              <w:noProof/>
            </w:rPr>
            <w:t>19</w:t>
          </w:r>
          <w:r>
            <w:rPr>
              <w:noProof/>
            </w:rPr>
            <w:fldChar w:fldCharType="end"/>
          </w:r>
        </w:p>
        <w:p w14:paraId="181181BE" w14:textId="0D2A3B0B"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16</w:t>
          </w:r>
          <w:r>
            <w:rPr>
              <w:noProof/>
            </w:rPr>
            <w:tab/>
          </w:r>
          <w:r>
            <w:rPr>
              <w:noProof/>
            </w:rPr>
            <w:fldChar w:fldCharType="begin"/>
          </w:r>
          <w:r>
            <w:rPr>
              <w:noProof/>
            </w:rPr>
            <w:instrText xml:space="preserve"> PAGEREF _Toc134623363 \h </w:instrText>
          </w:r>
          <w:r>
            <w:rPr>
              <w:noProof/>
            </w:rPr>
          </w:r>
          <w:r>
            <w:rPr>
              <w:noProof/>
            </w:rPr>
            <w:fldChar w:fldCharType="separate"/>
          </w:r>
          <w:r w:rsidR="00AA5E09">
            <w:rPr>
              <w:noProof/>
            </w:rPr>
            <w:t>20</w:t>
          </w:r>
          <w:r>
            <w:rPr>
              <w:noProof/>
            </w:rPr>
            <w:fldChar w:fldCharType="end"/>
          </w:r>
        </w:p>
        <w:p w14:paraId="72AB157C" w14:textId="19623A35"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17</w:t>
          </w:r>
          <w:r>
            <w:rPr>
              <w:noProof/>
            </w:rPr>
            <w:tab/>
          </w:r>
          <w:r>
            <w:rPr>
              <w:noProof/>
            </w:rPr>
            <w:fldChar w:fldCharType="begin"/>
          </w:r>
          <w:r>
            <w:rPr>
              <w:noProof/>
            </w:rPr>
            <w:instrText xml:space="preserve"> PAGEREF _Toc134623364 \h </w:instrText>
          </w:r>
          <w:r>
            <w:rPr>
              <w:noProof/>
            </w:rPr>
          </w:r>
          <w:r>
            <w:rPr>
              <w:noProof/>
            </w:rPr>
            <w:fldChar w:fldCharType="separate"/>
          </w:r>
          <w:r w:rsidR="00AA5E09">
            <w:rPr>
              <w:noProof/>
            </w:rPr>
            <w:t>21</w:t>
          </w:r>
          <w:r>
            <w:rPr>
              <w:noProof/>
            </w:rPr>
            <w:fldChar w:fldCharType="end"/>
          </w:r>
        </w:p>
        <w:p w14:paraId="2864307B" w14:textId="3F952032"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Figure S 18</w:t>
          </w:r>
          <w:r>
            <w:rPr>
              <w:noProof/>
            </w:rPr>
            <w:tab/>
          </w:r>
          <w:r>
            <w:rPr>
              <w:noProof/>
            </w:rPr>
            <w:fldChar w:fldCharType="begin"/>
          </w:r>
          <w:r>
            <w:rPr>
              <w:noProof/>
            </w:rPr>
            <w:instrText xml:space="preserve"> PAGEREF _Toc134623365 \h </w:instrText>
          </w:r>
          <w:r>
            <w:rPr>
              <w:noProof/>
            </w:rPr>
          </w:r>
          <w:r>
            <w:rPr>
              <w:noProof/>
            </w:rPr>
            <w:fldChar w:fldCharType="separate"/>
          </w:r>
          <w:r w:rsidR="00AA5E09">
            <w:rPr>
              <w:noProof/>
            </w:rPr>
            <w:t>22</w:t>
          </w:r>
          <w:r>
            <w:rPr>
              <w:noProof/>
            </w:rPr>
            <w:fldChar w:fldCharType="end"/>
          </w:r>
        </w:p>
        <w:p w14:paraId="26A4B108" w14:textId="590C48FE"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1</w:t>
          </w:r>
          <w:r>
            <w:rPr>
              <w:noProof/>
            </w:rPr>
            <w:tab/>
          </w:r>
          <w:r>
            <w:rPr>
              <w:noProof/>
            </w:rPr>
            <w:fldChar w:fldCharType="begin"/>
          </w:r>
          <w:r>
            <w:rPr>
              <w:noProof/>
            </w:rPr>
            <w:instrText xml:space="preserve"> PAGEREF _Toc134623366 \h </w:instrText>
          </w:r>
          <w:r>
            <w:rPr>
              <w:noProof/>
            </w:rPr>
          </w:r>
          <w:r>
            <w:rPr>
              <w:noProof/>
            </w:rPr>
            <w:fldChar w:fldCharType="separate"/>
          </w:r>
          <w:r w:rsidR="00AA5E09">
            <w:rPr>
              <w:noProof/>
            </w:rPr>
            <w:t>23</w:t>
          </w:r>
          <w:r>
            <w:rPr>
              <w:noProof/>
            </w:rPr>
            <w:fldChar w:fldCharType="end"/>
          </w:r>
        </w:p>
        <w:p w14:paraId="17284B49" w14:textId="433D647C"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2</w:t>
          </w:r>
          <w:r>
            <w:rPr>
              <w:noProof/>
            </w:rPr>
            <w:tab/>
          </w:r>
          <w:r>
            <w:rPr>
              <w:noProof/>
            </w:rPr>
            <w:fldChar w:fldCharType="begin"/>
          </w:r>
          <w:r>
            <w:rPr>
              <w:noProof/>
            </w:rPr>
            <w:instrText xml:space="preserve"> PAGEREF _Toc134623367 \h </w:instrText>
          </w:r>
          <w:r>
            <w:rPr>
              <w:noProof/>
            </w:rPr>
          </w:r>
          <w:r>
            <w:rPr>
              <w:noProof/>
            </w:rPr>
            <w:fldChar w:fldCharType="separate"/>
          </w:r>
          <w:r w:rsidR="00AA5E09">
            <w:rPr>
              <w:noProof/>
            </w:rPr>
            <w:t>23</w:t>
          </w:r>
          <w:r>
            <w:rPr>
              <w:noProof/>
            </w:rPr>
            <w:fldChar w:fldCharType="end"/>
          </w:r>
        </w:p>
        <w:p w14:paraId="7FDCFF04" w14:textId="5BF7D8FC"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3</w:t>
          </w:r>
          <w:r>
            <w:rPr>
              <w:noProof/>
            </w:rPr>
            <w:tab/>
          </w:r>
          <w:r>
            <w:rPr>
              <w:noProof/>
            </w:rPr>
            <w:fldChar w:fldCharType="begin"/>
          </w:r>
          <w:r>
            <w:rPr>
              <w:noProof/>
            </w:rPr>
            <w:instrText xml:space="preserve"> PAGEREF _Toc134623368 \h </w:instrText>
          </w:r>
          <w:r>
            <w:rPr>
              <w:noProof/>
            </w:rPr>
          </w:r>
          <w:r>
            <w:rPr>
              <w:noProof/>
            </w:rPr>
            <w:fldChar w:fldCharType="separate"/>
          </w:r>
          <w:r w:rsidR="00AA5E09">
            <w:rPr>
              <w:noProof/>
            </w:rPr>
            <w:t>24</w:t>
          </w:r>
          <w:r>
            <w:rPr>
              <w:noProof/>
            </w:rPr>
            <w:fldChar w:fldCharType="end"/>
          </w:r>
        </w:p>
        <w:p w14:paraId="5C3031F0" w14:textId="5C3B7654"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4</w:t>
          </w:r>
          <w:r>
            <w:rPr>
              <w:noProof/>
            </w:rPr>
            <w:tab/>
          </w:r>
          <w:r>
            <w:rPr>
              <w:noProof/>
            </w:rPr>
            <w:fldChar w:fldCharType="begin"/>
          </w:r>
          <w:r>
            <w:rPr>
              <w:noProof/>
            </w:rPr>
            <w:instrText xml:space="preserve"> PAGEREF _Toc134623369 \h </w:instrText>
          </w:r>
          <w:r>
            <w:rPr>
              <w:noProof/>
            </w:rPr>
          </w:r>
          <w:r>
            <w:rPr>
              <w:noProof/>
            </w:rPr>
            <w:fldChar w:fldCharType="separate"/>
          </w:r>
          <w:r w:rsidR="00AA5E09">
            <w:rPr>
              <w:noProof/>
            </w:rPr>
            <w:t>25</w:t>
          </w:r>
          <w:r>
            <w:rPr>
              <w:noProof/>
            </w:rPr>
            <w:fldChar w:fldCharType="end"/>
          </w:r>
        </w:p>
        <w:p w14:paraId="3FF8BD32" w14:textId="15EDDD6A"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5</w:t>
          </w:r>
          <w:r>
            <w:rPr>
              <w:noProof/>
            </w:rPr>
            <w:tab/>
          </w:r>
          <w:r>
            <w:rPr>
              <w:noProof/>
            </w:rPr>
            <w:fldChar w:fldCharType="begin"/>
          </w:r>
          <w:r>
            <w:rPr>
              <w:noProof/>
            </w:rPr>
            <w:instrText xml:space="preserve"> PAGEREF _Toc134623370 \h </w:instrText>
          </w:r>
          <w:r>
            <w:rPr>
              <w:noProof/>
            </w:rPr>
          </w:r>
          <w:r>
            <w:rPr>
              <w:noProof/>
            </w:rPr>
            <w:fldChar w:fldCharType="separate"/>
          </w:r>
          <w:r w:rsidR="00AA5E09">
            <w:rPr>
              <w:noProof/>
            </w:rPr>
            <w:t>25</w:t>
          </w:r>
          <w:r>
            <w:rPr>
              <w:noProof/>
            </w:rPr>
            <w:fldChar w:fldCharType="end"/>
          </w:r>
        </w:p>
        <w:p w14:paraId="447F0E6A" w14:textId="69310022"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noProof/>
            </w:rPr>
            <w:t>Supporting Table S 6</w:t>
          </w:r>
          <w:r>
            <w:rPr>
              <w:noProof/>
            </w:rPr>
            <w:tab/>
          </w:r>
          <w:r>
            <w:rPr>
              <w:noProof/>
            </w:rPr>
            <w:fldChar w:fldCharType="begin"/>
          </w:r>
          <w:r>
            <w:rPr>
              <w:noProof/>
            </w:rPr>
            <w:instrText xml:space="preserve"> PAGEREF _Toc134623371 \h </w:instrText>
          </w:r>
          <w:r>
            <w:rPr>
              <w:noProof/>
            </w:rPr>
          </w:r>
          <w:r>
            <w:rPr>
              <w:noProof/>
            </w:rPr>
            <w:fldChar w:fldCharType="separate"/>
          </w:r>
          <w:r w:rsidR="00AA5E09">
            <w:rPr>
              <w:noProof/>
            </w:rPr>
            <w:t>25</w:t>
          </w:r>
          <w:r>
            <w:rPr>
              <w:noProof/>
            </w:rPr>
            <w:fldChar w:fldCharType="end"/>
          </w:r>
        </w:p>
        <w:p w14:paraId="5958DDE2" w14:textId="5F658ED1"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7</w:t>
          </w:r>
          <w:r>
            <w:rPr>
              <w:noProof/>
            </w:rPr>
            <w:tab/>
          </w:r>
          <w:r>
            <w:rPr>
              <w:noProof/>
            </w:rPr>
            <w:fldChar w:fldCharType="begin"/>
          </w:r>
          <w:r>
            <w:rPr>
              <w:noProof/>
            </w:rPr>
            <w:instrText xml:space="preserve"> PAGEREF _Toc134623372 \h </w:instrText>
          </w:r>
          <w:r>
            <w:rPr>
              <w:noProof/>
            </w:rPr>
          </w:r>
          <w:r>
            <w:rPr>
              <w:noProof/>
            </w:rPr>
            <w:fldChar w:fldCharType="separate"/>
          </w:r>
          <w:r w:rsidR="00AA5E09">
            <w:rPr>
              <w:noProof/>
            </w:rPr>
            <w:t>25</w:t>
          </w:r>
          <w:r>
            <w:rPr>
              <w:noProof/>
            </w:rPr>
            <w:fldChar w:fldCharType="end"/>
          </w:r>
        </w:p>
        <w:p w14:paraId="41451E17" w14:textId="5BDC85DB"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Pr>
              <w:noProof/>
            </w:rPr>
            <w:t>Supporting Table S 8</w:t>
          </w:r>
          <w:r>
            <w:rPr>
              <w:noProof/>
            </w:rPr>
            <w:tab/>
          </w:r>
          <w:r>
            <w:rPr>
              <w:noProof/>
            </w:rPr>
            <w:fldChar w:fldCharType="begin"/>
          </w:r>
          <w:r>
            <w:rPr>
              <w:noProof/>
            </w:rPr>
            <w:instrText xml:space="preserve"> PAGEREF _Toc134623373 \h </w:instrText>
          </w:r>
          <w:r>
            <w:rPr>
              <w:noProof/>
            </w:rPr>
          </w:r>
          <w:r>
            <w:rPr>
              <w:noProof/>
            </w:rPr>
            <w:fldChar w:fldCharType="separate"/>
          </w:r>
          <w:r w:rsidR="00AA5E09">
            <w:rPr>
              <w:noProof/>
            </w:rPr>
            <w:t>26</w:t>
          </w:r>
          <w:r>
            <w:rPr>
              <w:noProof/>
            </w:rPr>
            <w:fldChar w:fldCharType="end"/>
          </w:r>
        </w:p>
        <w:p w14:paraId="13A01CEB" w14:textId="6D4D90FF"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A.</w:t>
          </w:r>
          <w:r w:rsidRPr="00377CDA">
            <w:rPr>
              <w:rFonts w:eastAsiaTheme="minorEastAsia" w:cstheme="minorBidi"/>
              <w:b w:val="0"/>
              <w:bCs w:val="0"/>
              <w:noProof/>
              <w:kern w:val="2"/>
              <w:sz w:val="22"/>
              <w:szCs w:val="22"/>
              <w:lang w:eastAsia="de-DE" w:bidi="he-IL"/>
              <w14:ligatures w14:val="standardContextual"/>
            </w:rPr>
            <w:tab/>
          </w:r>
          <w:r>
            <w:rPr>
              <w:noProof/>
            </w:rPr>
            <w:t>Materials</w:t>
          </w:r>
          <w:r>
            <w:rPr>
              <w:noProof/>
            </w:rPr>
            <w:tab/>
          </w:r>
          <w:r>
            <w:rPr>
              <w:noProof/>
            </w:rPr>
            <w:fldChar w:fldCharType="begin"/>
          </w:r>
          <w:r>
            <w:rPr>
              <w:noProof/>
            </w:rPr>
            <w:instrText xml:space="preserve"> PAGEREF _Toc134623374 \h </w:instrText>
          </w:r>
          <w:r>
            <w:rPr>
              <w:noProof/>
            </w:rPr>
          </w:r>
          <w:r>
            <w:rPr>
              <w:noProof/>
            </w:rPr>
            <w:fldChar w:fldCharType="separate"/>
          </w:r>
          <w:r w:rsidR="00AA5E09">
            <w:rPr>
              <w:noProof/>
            </w:rPr>
            <w:t>26</w:t>
          </w:r>
          <w:r>
            <w:rPr>
              <w:noProof/>
            </w:rPr>
            <w:fldChar w:fldCharType="end"/>
          </w:r>
        </w:p>
        <w:p w14:paraId="00821E92" w14:textId="1BAB7BBC"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Chemicals</w:t>
          </w:r>
          <w:r>
            <w:rPr>
              <w:noProof/>
            </w:rPr>
            <w:tab/>
          </w:r>
          <w:r>
            <w:rPr>
              <w:noProof/>
            </w:rPr>
            <w:fldChar w:fldCharType="begin"/>
          </w:r>
          <w:r>
            <w:rPr>
              <w:noProof/>
            </w:rPr>
            <w:instrText xml:space="preserve"> PAGEREF _Toc134623375 \h </w:instrText>
          </w:r>
          <w:r>
            <w:rPr>
              <w:noProof/>
            </w:rPr>
          </w:r>
          <w:r>
            <w:rPr>
              <w:noProof/>
            </w:rPr>
            <w:fldChar w:fldCharType="separate"/>
          </w:r>
          <w:r w:rsidR="00AA5E09">
            <w:rPr>
              <w:noProof/>
            </w:rPr>
            <w:t>26</w:t>
          </w:r>
          <w:r>
            <w:rPr>
              <w:noProof/>
            </w:rPr>
            <w:fldChar w:fldCharType="end"/>
          </w:r>
        </w:p>
        <w:p w14:paraId="1ADB6730" w14:textId="24D1D99C"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Molecular biological kits</w:t>
          </w:r>
          <w:r>
            <w:rPr>
              <w:noProof/>
            </w:rPr>
            <w:tab/>
          </w:r>
          <w:r>
            <w:rPr>
              <w:noProof/>
            </w:rPr>
            <w:fldChar w:fldCharType="begin"/>
          </w:r>
          <w:r>
            <w:rPr>
              <w:noProof/>
            </w:rPr>
            <w:instrText xml:space="preserve"> PAGEREF _Toc134623376 \h </w:instrText>
          </w:r>
          <w:r>
            <w:rPr>
              <w:noProof/>
            </w:rPr>
          </w:r>
          <w:r>
            <w:rPr>
              <w:noProof/>
            </w:rPr>
            <w:fldChar w:fldCharType="separate"/>
          </w:r>
          <w:r w:rsidR="00AA5E09">
            <w:rPr>
              <w:noProof/>
            </w:rPr>
            <w:t>27</w:t>
          </w:r>
          <w:r>
            <w:rPr>
              <w:noProof/>
            </w:rPr>
            <w:fldChar w:fldCharType="end"/>
          </w:r>
        </w:p>
        <w:p w14:paraId="6E124CFD" w14:textId="1165AE3A"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B.</w:t>
          </w:r>
          <w:r w:rsidRPr="00377CDA">
            <w:rPr>
              <w:rFonts w:eastAsiaTheme="minorEastAsia" w:cstheme="minorBidi"/>
              <w:b w:val="0"/>
              <w:bCs w:val="0"/>
              <w:noProof/>
              <w:kern w:val="2"/>
              <w:sz w:val="22"/>
              <w:szCs w:val="22"/>
              <w:lang w:eastAsia="de-DE" w:bidi="he-IL"/>
              <w14:ligatures w14:val="standardContextual"/>
            </w:rPr>
            <w:tab/>
          </w:r>
          <w:r>
            <w:rPr>
              <w:noProof/>
            </w:rPr>
            <w:t>General analytics</w:t>
          </w:r>
          <w:r>
            <w:rPr>
              <w:noProof/>
            </w:rPr>
            <w:tab/>
          </w:r>
          <w:r>
            <w:rPr>
              <w:noProof/>
            </w:rPr>
            <w:fldChar w:fldCharType="begin"/>
          </w:r>
          <w:r>
            <w:rPr>
              <w:noProof/>
            </w:rPr>
            <w:instrText xml:space="preserve"> PAGEREF _Toc134623377 \h </w:instrText>
          </w:r>
          <w:r>
            <w:rPr>
              <w:noProof/>
            </w:rPr>
          </w:r>
          <w:r>
            <w:rPr>
              <w:noProof/>
            </w:rPr>
            <w:fldChar w:fldCharType="separate"/>
          </w:r>
          <w:r w:rsidR="00AA5E09">
            <w:rPr>
              <w:noProof/>
            </w:rPr>
            <w:t>27</w:t>
          </w:r>
          <w:r>
            <w:rPr>
              <w:noProof/>
            </w:rPr>
            <w:fldChar w:fldCharType="end"/>
          </w:r>
        </w:p>
        <w:p w14:paraId="4F208639" w14:textId="2C161281"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Nuclear Magnetic Resonance</w:t>
          </w:r>
          <w:r>
            <w:rPr>
              <w:noProof/>
            </w:rPr>
            <w:tab/>
          </w:r>
          <w:r>
            <w:rPr>
              <w:noProof/>
            </w:rPr>
            <w:fldChar w:fldCharType="begin"/>
          </w:r>
          <w:r>
            <w:rPr>
              <w:noProof/>
            </w:rPr>
            <w:instrText xml:space="preserve"> PAGEREF _Toc134623378 \h </w:instrText>
          </w:r>
          <w:r>
            <w:rPr>
              <w:noProof/>
            </w:rPr>
          </w:r>
          <w:r>
            <w:rPr>
              <w:noProof/>
            </w:rPr>
            <w:fldChar w:fldCharType="separate"/>
          </w:r>
          <w:r w:rsidR="00AA5E09">
            <w:rPr>
              <w:noProof/>
            </w:rPr>
            <w:t>27</w:t>
          </w:r>
          <w:r>
            <w:rPr>
              <w:noProof/>
            </w:rPr>
            <w:fldChar w:fldCharType="end"/>
          </w:r>
        </w:p>
        <w:p w14:paraId="2DCA2820" w14:textId="1347C332"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Gas chromatography (GC)</w:t>
          </w:r>
          <w:r>
            <w:rPr>
              <w:noProof/>
            </w:rPr>
            <w:tab/>
          </w:r>
          <w:r>
            <w:rPr>
              <w:noProof/>
            </w:rPr>
            <w:fldChar w:fldCharType="begin"/>
          </w:r>
          <w:r>
            <w:rPr>
              <w:noProof/>
            </w:rPr>
            <w:instrText xml:space="preserve"> PAGEREF _Toc134623379 \h </w:instrText>
          </w:r>
          <w:r>
            <w:rPr>
              <w:noProof/>
            </w:rPr>
          </w:r>
          <w:r>
            <w:rPr>
              <w:noProof/>
            </w:rPr>
            <w:fldChar w:fldCharType="separate"/>
          </w:r>
          <w:r w:rsidR="00AA5E09">
            <w:rPr>
              <w:noProof/>
            </w:rPr>
            <w:t>27</w:t>
          </w:r>
          <w:r>
            <w:rPr>
              <w:noProof/>
            </w:rPr>
            <w:fldChar w:fldCharType="end"/>
          </w:r>
        </w:p>
        <w:p w14:paraId="3F723149" w14:textId="0C9D26EB"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Circular dichroism</w:t>
          </w:r>
          <w:r>
            <w:rPr>
              <w:noProof/>
            </w:rPr>
            <w:tab/>
          </w:r>
          <w:r>
            <w:rPr>
              <w:noProof/>
            </w:rPr>
            <w:fldChar w:fldCharType="begin"/>
          </w:r>
          <w:r>
            <w:rPr>
              <w:noProof/>
            </w:rPr>
            <w:instrText xml:space="preserve"> PAGEREF _Toc134623380 \h </w:instrText>
          </w:r>
          <w:r>
            <w:rPr>
              <w:noProof/>
            </w:rPr>
          </w:r>
          <w:r>
            <w:rPr>
              <w:noProof/>
            </w:rPr>
            <w:fldChar w:fldCharType="separate"/>
          </w:r>
          <w:r w:rsidR="00AA5E09">
            <w:rPr>
              <w:noProof/>
            </w:rPr>
            <w:t>27</w:t>
          </w:r>
          <w:r>
            <w:rPr>
              <w:noProof/>
            </w:rPr>
            <w:fldChar w:fldCharType="end"/>
          </w:r>
        </w:p>
        <w:p w14:paraId="1AD9994F" w14:textId="5D2CE0BD"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C.</w:t>
          </w:r>
          <w:r w:rsidRPr="00377CDA">
            <w:rPr>
              <w:rFonts w:eastAsiaTheme="minorEastAsia" w:cstheme="minorBidi"/>
              <w:b w:val="0"/>
              <w:bCs w:val="0"/>
              <w:noProof/>
              <w:kern w:val="2"/>
              <w:sz w:val="22"/>
              <w:szCs w:val="22"/>
              <w:lang w:eastAsia="de-DE" w:bidi="he-IL"/>
              <w14:ligatures w14:val="standardContextual"/>
            </w:rPr>
            <w:tab/>
          </w:r>
          <w:r>
            <w:rPr>
              <w:noProof/>
            </w:rPr>
            <w:t>General Methods</w:t>
          </w:r>
          <w:r>
            <w:rPr>
              <w:noProof/>
            </w:rPr>
            <w:tab/>
          </w:r>
          <w:r>
            <w:rPr>
              <w:noProof/>
            </w:rPr>
            <w:fldChar w:fldCharType="begin"/>
          </w:r>
          <w:r>
            <w:rPr>
              <w:noProof/>
            </w:rPr>
            <w:instrText xml:space="preserve"> PAGEREF _Toc134623381 \h </w:instrText>
          </w:r>
          <w:r>
            <w:rPr>
              <w:noProof/>
            </w:rPr>
          </w:r>
          <w:r>
            <w:rPr>
              <w:noProof/>
            </w:rPr>
            <w:fldChar w:fldCharType="separate"/>
          </w:r>
          <w:r w:rsidR="00AA5E09">
            <w:rPr>
              <w:noProof/>
            </w:rPr>
            <w:t>28</w:t>
          </w:r>
          <w:r>
            <w:rPr>
              <w:noProof/>
            </w:rPr>
            <w:fldChar w:fldCharType="end"/>
          </w:r>
        </w:p>
        <w:p w14:paraId="28DB32BC" w14:textId="7FFF333F"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Plasmid isolation</w:t>
          </w:r>
          <w:r>
            <w:rPr>
              <w:noProof/>
            </w:rPr>
            <w:tab/>
          </w:r>
          <w:r>
            <w:rPr>
              <w:noProof/>
            </w:rPr>
            <w:fldChar w:fldCharType="begin"/>
          </w:r>
          <w:r>
            <w:rPr>
              <w:noProof/>
            </w:rPr>
            <w:instrText xml:space="preserve"> PAGEREF _Toc134623382 \h </w:instrText>
          </w:r>
          <w:r>
            <w:rPr>
              <w:noProof/>
            </w:rPr>
          </w:r>
          <w:r>
            <w:rPr>
              <w:noProof/>
            </w:rPr>
            <w:fldChar w:fldCharType="separate"/>
          </w:r>
          <w:r w:rsidR="00AA5E09">
            <w:rPr>
              <w:noProof/>
            </w:rPr>
            <w:t>28</w:t>
          </w:r>
          <w:r>
            <w:rPr>
              <w:noProof/>
            </w:rPr>
            <w:fldChar w:fldCharType="end"/>
          </w:r>
        </w:p>
        <w:p w14:paraId="7C361143" w14:textId="3993983E"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Site-saturation/-directed mutagenesis</w:t>
          </w:r>
          <w:r>
            <w:rPr>
              <w:noProof/>
            </w:rPr>
            <w:tab/>
          </w:r>
          <w:r>
            <w:rPr>
              <w:noProof/>
            </w:rPr>
            <w:fldChar w:fldCharType="begin"/>
          </w:r>
          <w:r>
            <w:rPr>
              <w:noProof/>
            </w:rPr>
            <w:instrText xml:space="preserve"> PAGEREF _Toc134623383 \h </w:instrText>
          </w:r>
          <w:r>
            <w:rPr>
              <w:noProof/>
            </w:rPr>
          </w:r>
          <w:r>
            <w:rPr>
              <w:noProof/>
            </w:rPr>
            <w:fldChar w:fldCharType="separate"/>
          </w:r>
          <w:r w:rsidR="00AA5E09">
            <w:rPr>
              <w:noProof/>
            </w:rPr>
            <w:t>28</w:t>
          </w:r>
          <w:r>
            <w:rPr>
              <w:noProof/>
            </w:rPr>
            <w:fldChar w:fldCharType="end"/>
          </w:r>
        </w:p>
        <w:p w14:paraId="414135AB" w14:textId="4DA9C3B3"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Plasmid transformation via heat-shock method</w:t>
          </w:r>
          <w:r>
            <w:rPr>
              <w:noProof/>
            </w:rPr>
            <w:tab/>
          </w:r>
          <w:r>
            <w:rPr>
              <w:noProof/>
            </w:rPr>
            <w:fldChar w:fldCharType="begin"/>
          </w:r>
          <w:r>
            <w:rPr>
              <w:noProof/>
            </w:rPr>
            <w:instrText xml:space="preserve"> PAGEREF _Toc134623384 \h </w:instrText>
          </w:r>
          <w:r>
            <w:rPr>
              <w:noProof/>
            </w:rPr>
          </w:r>
          <w:r>
            <w:rPr>
              <w:noProof/>
            </w:rPr>
            <w:fldChar w:fldCharType="separate"/>
          </w:r>
          <w:r w:rsidR="00AA5E09">
            <w:rPr>
              <w:noProof/>
            </w:rPr>
            <w:t>28</w:t>
          </w:r>
          <w:r>
            <w:rPr>
              <w:noProof/>
            </w:rPr>
            <w:fldChar w:fldCharType="end"/>
          </w:r>
        </w:p>
        <w:p w14:paraId="7DB4C48C" w14:textId="2B128E4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Expression of SHC in Erlenmeyer flasks</w:t>
          </w:r>
          <w:r>
            <w:rPr>
              <w:noProof/>
            </w:rPr>
            <w:tab/>
          </w:r>
          <w:r>
            <w:rPr>
              <w:noProof/>
            </w:rPr>
            <w:fldChar w:fldCharType="begin"/>
          </w:r>
          <w:r>
            <w:rPr>
              <w:noProof/>
            </w:rPr>
            <w:instrText xml:space="preserve"> PAGEREF _Toc134623385 \h </w:instrText>
          </w:r>
          <w:r>
            <w:rPr>
              <w:noProof/>
            </w:rPr>
          </w:r>
          <w:r>
            <w:rPr>
              <w:noProof/>
            </w:rPr>
            <w:fldChar w:fldCharType="separate"/>
          </w:r>
          <w:r w:rsidR="00AA5E09">
            <w:rPr>
              <w:noProof/>
            </w:rPr>
            <w:t>29</w:t>
          </w:r>
          <w:r>
            <w:rPr>
              <w:noProof/>
            </w:rPr>
            <w:fldChar w:fldCharType="end"/>
          </w:r>
        </w:p>
        <w:p w14:paraId="1AE5307D" w14:textId="6C936F9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Expression of SHC libraries in 96-DW plates</w:t>
          </w:r>
          <w:r>
            <w:rPr>
              <w:noProof/>
            </w:rPr>
            <w:tab/>
          </w:r>
          <w:r>
            <w:rPr>
              <w:noProof/>
            </w:rPr>
            <w:fldChar w:fldCharType="begin"/>
          </w:r>
          <w:r>
            <w:rPr>
              <w:noProof/>
            </w:rPr>
            <w:instrText xml:space="preserve"> PAGEREF _Toc134623386 \h </w:instrText>
          </w:r>
          <w:r>
            <w:rPr>
              <w:noProof/>
            </w:rPr>
          </w:r>
          <w:r>
            <w:rPr>
              <w:noProof/>
            </w:rPr>
            <w:fldChar w:fldCharType="separate"/>
          </w:r>
          <w:r w:rsidR="00AA5E09">
            <w:rPr>
              <w:noProof/>
            </w:rPr>
            <w:t>29</w:t>
          </w:r>
          <w:r>
            <w:rPr>
              <w:noProof/>
            </w:rPr>
            <w:fldChar w:fldCharType="end"/>
          </w:r>
        </w:p>
        <w:p w14:paraId="6581E82D" w14:textId="33D0E214"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Expression in 24 DW-plates</w:t>
          </w:r>
          <w:r>
            <w:rPr>
              <w:noProof/>
            </w:rPr>
            <w:tab/>
          </w:r>
          <w:r>
            <w:rPr>
              <w:noProof/>
            </w:rPr>
            <w:fldChar w:fldCharType="begin"/>
          </w:r>
          <w:r>
            <w:rPr>
              <w:noProof/>
            </w:rPr>
            <w:instrText xml:space="preserve"> PAGEREF _Toc134623387 \h </w:instrText>
          </w:r>
          <w:r>
            <w:rPr>
              <w:noProof/>
            </w:rPr>
          </w:r>
          <w:r>
            <w:rPr>
              <w:noProof/>
            </w:rPr>
            <w:fldChar w:fldCharType="separate"/>
          </w:r>
          <w:r w:rsidR="00AA5E09">
            <w:rPr>
              <w:noProof/>
            </w:rPr>
            <w:t>29</w:t>
          </w:r>
          <w:r>
            <w:rPr>
              <w:noProof/>
            </w:rPr>
            <w:fldChar w:fldCharType="end"/>
          </w:r>
        </w:p>
        <w:p w14:paraId="43B4EC1A" w14:textId="4BFB7A77"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Thermolysis purification</w:t>
          </w:r>
          <w:r w:rsidRPr="00121D1C">
            <w:rPr>
              <w:noProof/>
              <w:vertAlign w:val="superscript"/>
            </w:rPr>
            <w:t>25,26</w:t>
          </w:r>
          <w:r>
            <w:rPr>
              <w:noProof/>
            </w:rPr>
            <w:tab/>
          </w:r>
          <w:r>
            <w:rPr>
              <w:noProof/>
            </w:rPr>
            <w:fldChar w:fldCharType="begin"/>
          </w:r>
          <w:r>
            <w:rPr>
              <w:noProof/>
            </w:rPr>
            <w:instrText xml:space="preserve"> PAGEREF _Toc134623388 \h </w:instrText>
          </w:r>
          <w:r>
            <w:rPr>
              <w:noProof/>
            </w:rPr>
          </w:r>
          <w:r>
            <w:rPr>
              <w:noProof/>
            </w:rPr>
            <w:fldChar w:fldCharType="separate"/>
          </w:r>
          <w:r w:rsidR="00AA5E09">
            <w:rPr>
              <w:noProof/>
            </w:rPr>
            <w:t>29</w:t>
          </w:r>
          <w:r>
            <w:rPr>
              <w:noProof/>
            </w:rPr>
            <w:fldChar w:fldCharType="end"/>
          </w:r>
        </w:p>
        <w:p w14:paraId="0ED26E8D" w14:textId="5C23D0A8"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SDS-PAGE</w:t>
          </w:r>
          <w:r>
            <w:rPr>
              <w:noProof/>
            </w:rPr>
            <w:tab/>
          </w:r>
          <w:r>
            <w:rPr>
              <w:noProof/>
            </w:rPr>
            <w:fldChar w:fldCharType="begin"/>
          </w:r>
          <w:r>
            <w:rPr>
              <w:noProof/>
            </w:rPr>
            <w:instrText xml:space="preserve"> PAGEREF _Toc134623389 \h </w:instrText>
          </w:r>
          <w:r>
            <w:rPr>
              <w:noProof/>
            </w:rPr>
          </w:r>
          <w:r>
            <w:rPr>
              <w:noProof/>
            </w:rPr>
            <w:fldChar w:fldCharType="separate"/>
          </w:r>
          <w:r w:rsidR="00AA5E09">
            <w:rPr>
              <w:noProof/>
            </w:rPr>
            <w:t>30</w:t>
          </w:r>
          <w:r>
            <w:rPr>
              <w:noProof/>
            </w:rPr>
            <w:fldChar w:fldCharType="end"/>
          </w:r>
        </w:p>
        <w:p w14:paraId="39E7C72D" w14:textId="16EF6AE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Analytical biotransformations in GC screw-cap-vials</w:t>
          </w:r>
          <w:r>
            <w:rPr>
              <w:noProof/>
            </w:rPr>
            <w:tab/>
          </w:r>
          <w:r>
            <w:rPr>
              <w:noProof/>
            </w:rPr>
            <w:fldChar w:fldCharType="begin"/>
          </w:r>
          <w:r>
            <w:rPr>
              <w:noProof/>
            </w:rPr>
            <w:instrText xml:space="preserve"> PAGEREF _Toc134623390 \h </w:instrText>
          </w:r>
          <w:r>
            <w:rPr>
              <w:noProof/>
            </w:rPr>
          </w:r>
          <w:r>
            <w:rPr>
              <w:noProof/>
            </w:rPr>
            <w:fldChar w:fldCharType="separate"/>
          </w:r>
          <w:r w:rsidR="00AA5E09">
            <w:rPr>
              <w:noProof/>
            </w:rPr>
            <w:t>30</w:t>
          </w:r>
          <w:r>
            <w:rPr>
              <w:noProof/>
            </w:rPr>
            <w:fldChar w:fldCharType="end"/>
          </w:r>
        </w:p>
        <w:p w14:paraId="0BD0ECC8" w14:textId="65619EB1"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lastRenderedPageBreak/>
            <w:t>Screening of AacSHC libraries via GC-MS</w:t>
          </w:r>
          <w:r>
            <w:rPr>
              <w:noProof/>
            </w:rPr>
            <w:tab/>
          </w:r>
          <w:r>
            <w:rPr>
              <w:noProof/>
            </w:rPr>
            <w:fldChar w:fldCharType="begin"/>
          </w:r>
          <w:r>
            <w:rPr>
              <w:noProof/>
            </w:rPr>
            <w:instrText xml:space="preserve"> PAGEREF _Toc134623391 \h </w:instrText>
          </w:r>
          <w:r>
            <w:rPr>
              <w:noProof/>
            </w:rPr>
          </w:r>
          <w:r>
            <w:rPr>
              <w:noProof/>
            </w:rPr>
            <w:fldChar w:fldCharType="separate"/>
          </w:r>
          <w:r w:rsidR="00AA5E09">
            <w:rPr>
              <w:noProof/>
            </w:rPr>
            <w:t>30</w:t>
          </w:r>
          <w:r>
            <w:rPr>
              <w:noProof/>
            </w:rPr>
            <w:fldChar w:fldCharType="end"/>
          </w:r>
        </w:p>
        <w:p w14:paraId="6918698E" w14:textId="606F07C8"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Verification of promising hits</w:t>
          </w:r>
          <w:r>
            <w:rPr>
              <w:noProof/>
            </w:rPr>
            <w:tab/>
          </w:r>
          <w:r>
            <w:rPr>
              <w:noProof/>
            </w:rPr>
            <w:fldChar w:fldCharType="begin"/>
          </w:r>
          <w:r>
            <w:rPr>
              <w:noProof/>
            </w:rPr>
            <w:instrText xml:space="preserve"> PAGEREF _Toc134623392 \h </w:instrText>
          </w:r>
          <w:r>
            <w:rPr>
              <w:noProof/>
            </w:rPr>
          </w:r>
          <w:r>
            <w:rPr>
              <w:noProof/>
            </w:rPr>
            <w:fldChar w:fldCharType="separate"/>
          </w:r>
          <w:r w:rsidR="00AA5E09">
            <w:rPr>
              <w:noProof/>
            </w:rPr>
            <w:t>30</w:t>
          </w:r>
          <w:r>
            <w:rPr>
              <w:noProof/>
            </w:rPr>
            <w:fldChar w:fldCharType="end"/>
          </w:r>
        </w:p>
        <w:p w14:paraId="68964F90" w14:textId="3CCA2777"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Determination of turnover frequency and total turnover in vivo</w:t>
          </w:r>
          <w:r>
            <w:rPr>
              <w:noProof/>
            </w:rPr>
            <w:tab/>
          </w:r>
          <w:r>
            <w:rPr>
              <w:noProof/>
            </w:rPr>
            <w:fldChar w:fldCharType="begin"/>
          </w:r>
          <w:r>
            <w:rPr>
              <w:noProof/>
            </w:rPr>
            <w:instrText xml:space="preserve"> PAGEREF _Toc134623393 \h </w:instrText>
          </w:r>
          <w:r>
            <w:rPr>
              <w:noProof/>
            </w:rPr>
          </w:r>
          <w:r>
            <w:rPr>
              <w:noProof/>
            </w:rPr>
            <w:fldChar w:fldCharType="separate"/>
          </w:r>
          <w:r w:rsidR="00AA5E09">
            <w:rPr>
              <w:noProof/>
            </w:rPr>
            <w:t>31</w:t>
          </w:r>
          <w:r>
            <w:rPr>
              <w:noProof/>
            </w:rPr>
            <w:fldChar w:fldCharType="end"/>
          </w:r>
        </w:p>
        <w:p w14:paraId="6977457D" w14:textId="14DDFFC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Fluorescence microscopy</w:t>
          </w:r>
          <w:r>
            <w:rPr>
              <w:noProof/>
            </w:rPr>
            <w:tab/>
          </w:r>
          <w:r>
            <w:rPr>
              <w:noProof/>
            </w:rPr>
            <w:fldChar w:fldCharType="begin"/>
          </w:r>
          <w:r>
            <w:rPr>
              <w:noProof/>
            </w:rPr>
            <w:instrText xml:space="preserve"> PAGEREF _Toc134623394 \h </w:instrText>
          </w:r>
          <w:r>
            <w:rPr>
              <w:noProof/>
            </w:rPr>
          </w:r>
          <w:r>
            <w:rPr>
              <w:noProof/>
            </w:rPr>
            <w:fldChar w:fldCharType="separate"/>
          </w:r>
          <w:r w:rsidR="00AA5E09">
            <w:rPr>
              <w:noProof/>
            </w:rPr>
            <w:t>31</w:t>
          </w:r>
          <w:r>
            <w:rPr>
              <w:noProof/>
            </w:rPr>
            <w:fldChar w:fldCharType="end"/>
          </w:r>
        </w:p>
        <w:p w14:paraId="1FB1C81E" w14:textId="5D0E5EF2"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D.</w:t>
          </w:r>
          <w:r w:rsidRPr="00377CDA">
            <w:rPr>
              <w:rFonts w:eastAsiaTheme="minorEastAsia" w:cstheme="minorBidi"/>
              <w:b w:val="0"/>
              <w:bCs w:val="0"/>
              <w:noProof/>
              <w:kern w:val="2"/>
              <w:sz w:val="22"/>
              <w:szCs w:val="22"/>
              <w:lang w:eastAsia="de-DE" w:bidi="he-IL"/>
              <w14:ligatures w14:val="standardContextual"/>
            </w:rPr>
            <w:tab/>
          </w:r>
          <w:r>
            <w:rPr>
              <w:noProof/>
            </w:rPr>
            <w:t>Computational methods</w:t>
          </w:r>
          <w:r>
            <w:rPr>
              <w:noProof/>
            </w:rPr>
            <w:tab/>
          </w:r>
          <w:r>
            <w:rPr>
              <w:noProof/>
            </w:rPr>
            <w:fldChar w:fldCharType="begin"/>
          </w:r>
          <w:r>
            <w:rPr>
              <w:noProof/>
            </w:rPr>
            <w:instrText xml:space="preserve"> PAGEREF _Toc134623395 \h </w:instrText>
          </w:r>
          <w:r>
            <w:rPr>
              <w:noProof/>
            </w:rPr>
          </w:r>
          <w:r>
            <w:rPr>
              <w:noProof/>
            </w:rPr>
            <w:fldChar w:fldCharType="separate"/>
          </w:r>
          <w:r w:rsidR="00AA5E09">
            <w:rPr>
              <w:noProof/>
            </w:rPr>
            <w:t>31</w:t>
          </w:r>
          <w:r>
            <w:rPr>
              <w:noProof/>
            </w:rPr>
            <w:fldChar w:fldCharType="end"/>
          </w:r>
        </w:p>
        <w:p w14:paraId="0256FC78" w14:textId="166FB898"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Pr>
              <w:noProof/>
            </w:rPr>
            <w:t>Docking simulations</w:t>
          </w:r>
          <w:r>
            <w:rPr>
              <w:noProof/>
            </w:rPr>
            <w:tab/>
          </w:r>
          <w:r>
            <w:rPr>
              <w:noProof/>
            </w:rPr>
            <w:fldChar w:fldCharType="begin"/>
          </w:r>
          <w:r>
            <w:rPr>
              <w:noProof/>
            </w:rPr>
            <w:instrText xml:space="preserve"> PAGEREF _Toc134623396 \h </w:instrText>
          </w:r>
          <w:r>
            <w:rPr>
              <w:noProof/>
            </w:rPr>
          </w:r>
          <w:r>
            <w:rPr>
              <w:noProof/>
            </w:rPr>
            <w:fldChar w:fldCharType="separate"/>
          </w:r>
          <w:r w:rsidR="00AA5E09">
            <w:rPr>
              <w:noProof/>
            </w:rPr>
            <w:t>31</w:t>
          </w:r>
          <w:r>
            <w:rPr>
              <w:noProof/>
            </w:rPr>
            <w:fldChar w:fldCharType="end"/>
          </w:r>
        </w:p>
        <w:p w14:paraId="5E204BB4" w14:textId="1EFDA293"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Free energy calculations</w:t>
          </w:r>
          <w:r>
            <w:rPr>
              <w:noProof/>
            </w:rPr>
            <w:tab/>
          </w:r>
          <w:r>
            <w:rPr>
              <w:noProof/>
            </w:rPr>
            <w:fldChar w:fldCharType="begin"/>
          </w:r>
          <w:r>
            <w:rPr>
              <w:noProof/>
            </w:rPr>
            <w:instrText xml:space="preserve"> PAGEREF _Toc134623397 \h </w:instrText>
          </w:r>
          <w:r>
            <w:rPr>
              <w:noProof/>
            </w:rPr>
          </w:r>
          <w:r>
            <w:rPr>
              <w:noProof/>
            </w:rPr>
            <w:fldChar w:fldCharType="separate"/>
          </w:r>
          <w:r w:rsidR="00AA5E09">
            <w:rPr>
              <w:noProof/>
            </w:rPr>
            <w:t>31</w:t>
          </w:r>
          <w:r>
            <w:rPr>
              <w:noProof/>
            </w:rPr>
            <w:fldChar w:fldCharType="end"/>
          </w:r>
        </w:p>
        <w:p w14:paraId="18051681" w14:textId="15B8644A"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Molecular model</w:t>
          </w:r>
          <w:r>
            <w:rPr>
              <w:noProof/>
            </w:rPr>
            <w:tab/>
          </w:r>
          <w:r>
            <w:rPr>
              <w:noProof/>
            </w:rPr>
            <w:fldChar w:fldCharType="begin"/>
          </w:r>
          <w:r>
            <w:rPr>
              <w:noProof/>
            </w:rPr>
            <w:instrText xml:space="preserve"> PAGEREF _Toc134623398 \h </w:instrText>
          </w:r>
          <w:r>
            <w:rPr>
              <w:noProof/>
            </w:rPr>
          </w:r>
          <w:r>
            <w:rPr>
              <w:noProof/>
            </w:rPr>
            <w:fldChar w:fldCharType="separate"/>
          </w:r>
          <w:r w:rsidR="00AA5E09">
            <w:rPr>
              <w:noProof/>
            </w:rPr>
            <w:t>31</w:t>
          </w:r>
          <w:r>
            <w:rPr>
              <w:noProof/>
            </w:rPr>
            <w:fldChar w:fldCharType="end"/>
          </w:r>
        </w:p>
        <w:p w14:paraId="163D22BD" w14:textId="4558A37A"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Simulation Details</w:t>
          </w:r>
          <w:r>
            <w:rPr>
              <w:noProof/>
            </w:rPr>
            <w:tab/>
          </w:r>
          <w:r>
            <w:rPr>
              <w:noProof/>
            </w:rPr>
            <w:fldChar w:fldCharType="begin"/>
          </w:r>
          <w:r>
            <w:rPr>
              <w:noProof/>
            </w:rPr>
            <w:instrText xml:space="preserve"> PAGEREF _Toc134623399 \h </w:instrText>
          </w:r>
          <w:r>
            <w:rPr>
              <w:noProof/>
            </w:rPr>
          </w:r>
          <w:r>
            <w:rPr>
              <w:noProof/>
            </w:rPr>
            <w:fldChar w:fldCharType="separate"/>
          </w:r>
          <w:r w:rsidR="00AA5E09">
            <w:rPr>
              <w:noProof/>
            </w:rPr>
            <w:t>32</w:t>
          </w:r>
          <w:r>
            <w:rPr>
              <w:noProof/>
            </w:rPr>
            <w:fldChar w:fldCharType="end"/>
          </w:r>
        </w:p>
        <w:p w14:paraId="426A7843" w14:textId="158B1DFD"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Double Decoupling</w:t>
          </w:r>
          <w:r>
            <w:rPr>
              <w:noProof/>
            </w:rPr>
            <w:tab/>
          </w:r>
          <w:r>
            <w:rPr>
              <w:noProof/>
            </w:rPr>
            <w:fldChar w:fldCharType="begin"/>
          </w:r>
          <w:r>
            <w:rPr>
              <w:noProof/>
            </w:rPr>
            <w:instrText xml:space="preserve"> PAGEREF _Toc134623400 \h </w:instrText>
          </w:r>
          <w:r>
            <w:rPr>
              <w:noProof/>
            </w:rPr>
          </w:r>
          <w:r>
            <w:rPr>
              <w:noProof/>
            </w:rPr>
            <w:fldChar w:fldCharType="separate"/>
          </w:r>
          <w:r w:rsidR="00AA5E09">
            <w:rPr>
              <w:noProof/>
            </w:rPr>
            <w:t>33</w:t>
          </w:r>
          <w:r>
            <w:rPr>
              <w:noProof/>
            </w:rPr>
            <w:fldChar w:fldCharType="end"/>
          </w:r>
        </w:p>
        <w:p w14:paraId="099486BF" w14:textId="4585C690"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E.</w:t>
          </w:r>
          <w:r w:rsidRPr="00377CDA">
            <w:rPr>
              <w:rFonts w:eastAsiaTheme="minorEastAsia" w:cstheme="minorBidi"/>
              <w:b w:val="0"/>
              <w:bCs w:val="0"/>
              <w:noProof/>
              <w:kern w:val="2"/>
              <w:sz w:val="22"/>
              <w:szCs w:val="22"/>
              <w:lang w:eastAsia="de-DE" w:bidi="he-IL"/>
              <w14:ligatures w14:val="standardContextual"/>
            </w:rPr>
            <w:tab/>
          </w:r>
          <w:r>
            <w:rPr>
              <w:noProof/>
            </w:rPr>
            <w:t xml:space="preserve">Preparative scale biotransformations using lyophilized </w:t>
          </w:r>
          <w:r w:rsidRPr="00121D1C">
            <w:rPr>
              <w:i/>
              <w:iCs/>
              <w:noProof/>
            </w:rPr>
            <w:t>E. coli</w:t>
          </w:r>
          <w:r>
            <w:rPr>
              <w:noProof/>
            </w:rPr>
            <w:t xml:space="preserve"> cells harboring the </w:t>
          </w:r>
          <w:r w:rsidRPr="00121D1C">
            <w:rPr>
              <w:i/>
              <w:iCs/>
              <w:noProof/>
            </w:rPr>
            <w:t>Aac</w:t>
          </w:r>
          <w:r>
            <w:rPr>
              <w:noProof/>
            </w:rPr>
            <w:t>SHC variants.</w:t>
          </w:r>
          <w:r>
            <w:rPr>
              <w:noProof/>
            </w:rPr>
            <w:tab/>
          </w:r>
          <w:r>
            <w:rPr>
              <w:noProof/>
            </w:rPr>
            <w:fldChar w:fldCharType="begin"/>
          </w:r>
          <w:r>
            <w:rPr>
              <w:noProof/>
            </w:rPr>
            <w:instrText xml:space="preserve"> PAGEREF _Toc134623401 \h </w:instrText>
          </w:r>
          <w:r>
            <w:rPr>
              <w:noProof/>
            </w:rPr>
          </w:r>
          <w:r>
            <w:rPr>
              <w:noProof/>
            </w:rPr>
            <w:fldChar w:fldCharType="separate"/>
          </w:r>
          <w:r w:rsidR="00AA5E09">
            <w:rPr>
              <w:noProof/>
            </w:rPr>
            <w:t>35</w:t>
          </w:r>
          <w:r>
            <w:rPr>
              <w:noProof/>
            </w:rPr>
            <w:fldChar w:fldCharType="end"/>
          </w:r>
        </w:p>
        <w:p w14:paraId="22021026" w14:textId="25785D58"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6 with G600R to cyclogeranyl acetate hydrate (7)</w:t>
          </w:r>
          <w:r>
            <w:rPr>
              <w:noProof/>
            </w:rPr>
            <w:tab/>
          </w:r>
          <w:r>
            <w:rPr>
              <w:noProof/>
            </w:rPr>
            <w:fldChar w:fldCharType="begin"/>
          </w:r>
          <w:r>
            <w:rPr>
              <w:noProof/>
            </w:rPr>
            <w:instrText xml:space="preserve"> PAGEREF _Toc134623402 \h </w:instrText>
          </w:r>
          <w:r>
            <w:rPr>
              <w:noProof/>
            </w:rPr>
          </w:r>
          <w:r>
            <w:rPr>
              <w:noProof/>
            </w:rPr>
            <w:fldChar w:fldCharType="separate"/>
          </w:r>
          <w:r w:rsidR="00AA5E09">
            <w:rPr>
              <w:noProof/>
            </w:rPr>
            <w:t>36</w:t>
          </w:r>
          <w:r>
            <w:rPr>
              <w:noProof/>
            </w:rPr>
            <w:fldChar w:fldCharType="end"/>
          </w:r>
        </w:p>
        <w:p w14:paraId="44325593" w14:textId="77A3549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17 with variant G600M to trans-chromene (18)</w:t>
          </w:r>
          <w:r>
            <w:rPr>
              <w:noProof/>
            </w:rPr>
            <w:tab/>
          </w:r>
          <w:r>
            <w:rPr>
              <w:noProof/>
            </w:rPr>
            <w:fldChar w:fldCharType="begin"/>
          </w:r>
          <w:r>
            <w:rPr>
              <w:noProof/>
            </w:rPr>
            <w:instrText xml:space="preserve"> PAGEREF _Toc134623403 \h </w:instrText>
          </w:r>
          <w:r>
            <w:rPr>
              <w:noProof/>
            </w:rPr>
          </w:r>
          <w:r>
            <w:rPr>
              <w:noProof/>
            </w:rPr>
            <w:fldChar w:fldCharType="separate"/>
          </w:r>
          <w:r w:rsidR="00AA5E09">
            <w:rPr>
              <w:noProof/>
            </w:rPr>
            <w:t>36</w:t>
          </w:r>
          <w:r>
            <w:rPr>
              <w:noProof/>
            </w:rPr>
            <w:fldChar w:fldCharType="end"/>
          </w:r>
        </w:p>
        <w:p w14:paraId="5A09C516" w14:textId="7C67C09C"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Z-17 with variant G600M to cis-chromene (23)</w:t>
          </w:r>
          <w:r>
            <w:rPr>
              <w:noProof/>
            </w:rPr>
            <w:tab/>
          </w:r>
          <w:r>
            <w:rPr>
              <w:noProof/>
            </w:rPr>
            <w:fldChar w:fldCharType="begin"/>
          </w:r>
          <w:r>
            <w:rPr>
              <w:noProof/>
            </w:rPr>
            <w:instrText xml:space="preserve"> PAGEREF _Toc134623404 \h </w:instrText>
          </w:r>
          <w:r>
            <w:rPr>
              <w:noProof/>
            </w:rPr>
          </w:r>
          <w:r>
            <w:rPr>
              <w:noProof/>
            </w:rPr>
            <w:fldChar w:fldCharType="separate"/>
          </w:r>
          <w:r w:rsidR="00AA5E09">
            <w:rPr>
              <w:noProof/>
            </w:rPr>
            <w:t>36</w:t>
          </w:r>
          <w:r>
            <w:rPr>
              <w:noProof/>
            </w:rPr>
            <w:fldChar w:fldCharType="end"/>
          </w:r>
        </w:p>
        <w:p w14:paraId="43DAD148" w14:textId="612C01F4"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13 with variant F601D F605L to sclareoloxide (14)</w:t>
          </w:r>
          <w:r>
            <w:rPr>
              <w:noProof/>
            </w:rPr>
            <w:tab/>
          </w:r>
          <w:r>
            <w:rPr>
              <w:noProof/>
            </w:rPr>
            <w:fldChar w:fldCharType="begin"/>
          </w:r>
          <w:r>
            <w:rPr>
              <w:noProof/>
            </w:rPr>
            <w:instrText xml:space="preserve"> PAGEREF _Toc134623405 \h </w:instrText>
          </w:r>
          <w:r>
            <w:rPr>
              <w:noProof/>
            </w:rPr>
          </w:r>
          <w:r>
            <w:rPr>
              <w:noProof/>
            </w:rPr>
            <w:fldChar w:fldCharType="separate"/>
          </w:r>
          <w:r w:rsidR="00AA5E09">
            <w:rPr>
              <w:noProof/>
            </w:rPr>
            <w:t>37</w:t>
          </w:r>
          <w:r>
            <w:rPr>
              <w:noProof/>
            </w:rPr>
            <w:fldChar w:fldCharType="end"/>
          </w:r>
        </w:p>
        <w:p w14:paraId="3C9B8D66" w14:textId="5CE6FF83"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 xml:space="preserve">Z-17 with variant G600T L607A Y420F A306W D432T to </w:t>
          </w:r>
          <w:r w:rsidRPr="00121D1C">
            <w:rPr>
              <w:rFonts w:cs="Arial"/>
              <w:noProof/>
            </w:rPr>
            <w:t>γ</w:t>
          </w:r>
          <w:r w:rsidRPr="00121D1C">
            <w:rPr>
              <w:noProof/>
            </w:rPr>
            <w:t>-dihydroionone (24)</w:t>
          </w:r>
          <w:r>
            <w:rPr>
              <w:noProof/>
            </w:rPr>
            <w:tab/>
          </w:r>
          <w:r>
            <w:rPr>
              <w:noProof/>
            </w:rPr>
            <w:fldChar w:fldCharType="begin"/>
          </w:r>
          <w:r>
            <w:rPr>
              <w:noProof/>
            </w:rPr>
            <w:instrText xml:space="preserve"> PAGEREF _Toc134623406 \h </w:instrText>
          </w:r>
          <w:r>
            <w:rPr>
              <w:noProof/>
            </w:rPr>
          </w:r>
          <w:r>
            <w:rPr>
              <w:noProof/>
            </w:rPr>
            <w:fldChar w:fldCharType="separate"/>
          </w:r>
          <w:r w:rsidR="00AA5E09">
            <w:rPr>
              <w:noProof/>
            </w:rPr>
            <w:t>37</w:t>
          </w:r>
          <w:r>
            <w:rPr>
              <w:noProof/>
            </w:rPr>
            <w:fldChar w:fldCharType="end"/>
          </w:r>
        </w:p>
        <w:p w14:paraId="368C5E84" w14:textId="081A4D9D"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8 with variant A306W to drimane diol (9)</w:t>
          </w:r>
          <w:r>
            <w:rPr>
              <w:noProof/>
            </w:rPr>
            <w:tab/>
          </w:r>
          <w:r>
            <w:rPr>
              <w:noProof/>
            </w:rPr>
            <w:fldChar w:fldCharType="begin"/>
          </w:r>
          <w:r>
            <w:rPr>
              <w:noProof/>
            </w:rPr>
            <w:instrText xml:space="preserve"> PAGEREF _Toc134623407 \h </w:instrText>
          </w:r>
          <w:r>
            <w:rPr>
              <w:noProof/>
            </w:rPr>
          </w:r>
          <w:r>
            <w:rPr>
              <w:noProof/>
            </w:rPr>
            <w:fldChar w:fldCharType="separate"/>
          </w:r>
          <w:r w:rsidR="00AA5E09">
            <w:rPr>
              <w:noProof/>
            </w:rPr>
            <w:t>38</w:t>
          </w:r>
          <w:r>
            <w:rPr>
              <w:noProof/>
            </w:rPr>
            <w:fldChar w:fldCharType="end"/>
          </w:r>
        </w:p>
        <w:p w14:paraId="4212CD56" w14:textId="14BADF5D"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8 with variant Y420F G600L L36V to (+)-drimane diol (S1-9)</w:t>
          </w:r>
          <w:r>
            <w:rPr>
              <w:noProof/>
            </w:rPr>
            <w:tab/>
          </w:r>
          <w:r>
            <w:rPr>
              <w:noProof/>
            </w:rPr>
            <w:fldChar w:fldCharType="begin"/>
          </w:r>
          <w:r>
            <w:rPr>
              <w:noProof/>
            </w:rPr>
            <w:instrText xml:space="preserve"> PAGEREF _Toc134623408 \h </w:instrText>
          </w:r>
          <w:r>
            <w:rPr>
              <w:noProof/>
            </w:rPr>
          </w:r>
          <w:r>
            <w:rPr>
              <w:noProof/>
            </w:rPr>
            <w:fldChar w:fldCharType="separate"/>
          </w:r>
          <w:r w:rsidR="00AA5E09">
            <w:rPr>
              <w:noProof/>
            </w:rPr>
            <w:t>38</w:t>
          </w:r>
          <w:r>
            <w:rPr>
              <w:noProof/>
            </w:rPr>
            <w:fldChar w:fldCharType="end"/>
          </w:r>
        </w:p>
        <w:p w14:paraId="665C3ED9" w14:textId="0A0C7F14"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10 with variant G600N to labdane (12)</w:t>
          </w:r>
          <w:r>
            <w:rPr>
              <w:noProof/>
            </w:rPr>
            <w:tab/>
          </w:r>
          <w:r>
            <w:rPr>
              <w:noProof/>
            </w:rPr>
            <w:fldChar w:fldCharType="begin"/>
          </w:r>
          <w:r>
            <w:rPr>
              <w:noProof/>
            </w:rPr>
            <w:instrText xml:space="preserve"> PAGEREF _Toc134623409 \h </w:instrText>
          </w:r>
          <w:r>
            <w:rPr>
              <w:noProof/>
            </w:rPr>
          </w:r>
          <w:r>
            <w:rPr>
              <w:noProof/>
            </w:rPr>
            <w:fldChar w:fldCharType="separate"/>
          </w:r>
          <w:r w:rsidR="00AA5E09">
            <w:rPr>
              <w:noProof/>
            </w:rPr>
            <w:t>39</w:t>
          </w:r>
          <w:r>
            <w:rPr>
              <w:noProof/>
            </w:rPr>
            <w:fldChar w:fldCharType="end"/>
          </w:r>
        </w:p>
        <w:p w14:paraId="7BE3E62B" w14:textId="24B8D63B"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10 with variant F605W to ent-isocopalol (11)</w:t>
          </w:r>
          <w:r>
            <w:rPr>
              <w:noProof/>
            </w:rPr>
            <w:tab/>
          </w:r>
          <w:r>
            <w:rPr>
              <w:noProof/>
            </w:rPr>
            <w:fldChar w:fldCharType="begin"/>
          </w:r>
          <w:r>
            <w:rPr>
              <w:noProof/>
            </w:rPr>
            <w:instrText xml:space="preserve"> PAGEREF _Toc134623410 \h </w:instrText>
          </w:r>
          <w:r>
            <w:rPr>
              <w:noProof/>
            </w:rPr>
          </w:r>
          <w:r>
            <w:rPr>
              <w:noProof/>
            </w:rPr>
            <w:fldChar w:fldCharType="separate"/>
          </w:r>
          <w:r w:rsidR="00AA5E09">
            <w:rPr>
              <w:noProof/>
            </w:rPr>
            <w:t>39</w:t>
          </w:r>
          <w:r>
            <w:rPr>
              <w:noProof/>
            </w:rPr>
            <w:fldChar w:fldCharType="end"/>
          </w:r>
        </w:p>
        <w:p w14:paraId="7101E991" w14:textId="1A82D9F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15 with variant F601D F605L to sclareol oxide acetate (16)</w:t>
          </w:r>
          <w:r>
            <w:rPr>
              <w:noProof/>
            </w:rPr>
            <w:tab/>
          </w:r>
          <w:r>
            <w:rPr>
              <w:noProof/>
            </w:rPr>
            <w:fldChar w:fldCharType="begin"/>
          </w:r>
          <w:r>
            <w:rPr>
              <w:noProof/>
            </w:rPr>
            <w:instrText xml:space="preserve"> PAGEREF _Toc134623411 \h </w:instrText>
          </w:r>
          <w:r>
            <w:rPr>
              <w:noProof/>
            </w:rPr>
          </w:r>
          <w:r>
            <w:rPr>
              <w:noProof/>
            </w:rPr>
            <w:fldChar w:fldCharType="separate"/>
          </w:r>
          <w:r w:rsidR="00AA5E09">
            <w:rPr>
              <w:noProof/>
            </w:rPr>
            <w:t>40</w:t>
          </w:r>
          <w:r>
            <w:rPr>
              <w:noProof/>
            </w:rPr>
            <w:fldChar w:fldCharType="end"/>
          </w:r>
        </w:p>
        <w:p w14:paraId="716A59E2" w14:textId="3D03C05F"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F.</w:t>
          </w:r>
          <w:r w:rsidRPr="00377CDA">
            <w:rPr>
              <w:rFonts w:eastAsiaTheme="minorEastAsia" w:cstheme="minorBidi"/>
              <w:b w:val="0"/>
              <w:bCs w:val="0"/>
              <w:noProof/>
              <w:kern w:val="2"/>
              <w:sz w:val="22"/>
              <w:szCs w:val="22"/>
              <w:lang w:eastAsia="de-DE" w:bidi="he-IL"/>
              <w14:ligatures w14:val="standardContextual"/>
            </w:rPr>
            <w:tab/>
          </w:r>
          <w:r>
            <w:rPr>
              <w:noProof/>
            </w:rPr>
            <w:t>Chemical synthesis</w:t>
          </w:r>
          <w:r>
            <w:rPr>
              <w:noProof/>
            </w:rPr>
            <w:tab/>
          </w:r>
          <w:r>
            <w:rPr>
              <w:noProof/>
            </w:rPr>
            <w:fldChar w:fldCharType="begin"/>
          </w:r>
          <w:r>
            <w:rPr>
              <w:noProof/>
            </w:rPr>
            <w:instrText xml:space="preserve"> PAGEREF _Toc134623412 \h </w:instrText>
          </w:r>
          <w:r>
            <w:rPr>
              <w:noProof/>
            </w:rPr>
          </w:r>
          <w:r>
            <w:rPr>
              <w:noProof/>
            </w:rPr>
            <w:fldChar w:fldCharType="separate"/>
          </w:r>
          <w:r w:rsidR="00AA5E09">
            <w:rPr>
              <w:noProof/>
            </w:rPr>
            <w:t>40</w:t>
          </w:r>
          <w:r>
            <w:rPr>
              <w:noProof/>
            </w:rPr>
            <w:fldChar w:fldCharType="end"/>
          </w:r>
        </w:p>
        <w:p w14:paraId="180716D5" w14:textId="6790793A"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Pr>
              <w:noProof/>
            </w:rPr>
            <w:t xml:space="preserve">Synthesis of </w:t>
          </w:r>
          <w:r w:rsidRPr="00121D1C">
            <w:rPr>
              <w:noProof/>
            </w:rPr>
            <w:t>E</w:t>
          </w:r>
          <w:r>
            <w:rPr>
              <w:noProof/>
            </w:rPr>
            <w:t>,</w:t>
          </w:r>
          <w:r w:rsidRPr="00121D1C">
            <w:rPr>
              <w:noProof/>
            </w:rPr>
            <w:t>E</w:t>
          </w:r>
          <w:r>
            <w:rPr>
              <w:noProof/>
            </w:rPr>
            <w:t>-keto ester (15)</w:t>
          </w:r>
          <w:r>
            <w:rPr>
              <w:noProof/>
            </w:rPr>
            <w:tab/>
          </w:r>
          <w:r>
            <w:rPr>
              <w:noProof/>
            </w:rPr>
            <w:fldChar w:fldCharType="begin"/>
          </w:r>
          <w:r>
            <w:rPr>
              <w:noProof/>
            </w:rPr>
            <w:instrText xml:space="preserve"> PAGEREF _Toc134623413 \h </w:instrText>
          </w:r>
          <w:r>
            <w:rPr>
              <w:noProof/>
            </w:rPr>
          </w:r>
          <w:r>
            <w:rPr>
              <w:noProof/>
            </w:rPr>
            <w:fldChar w:fldCharType="separate"/>
          </w:r>
          <w:r w:rsidR="00AA5E09">
            <w:rPr>
              <w:noProof/>
            </w:rPr>
            <w:t>40</w:t>
          </w:r>
          <w:r>
            <w:rPr>
              <w:noProof/>
            </w:rPr>
            <w:fldChar w:fldCharType="end"/>
          </w:r>
        </w:p>
        <w:p w14:paraId="6303BA3A" w14:textId="65C7195E"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ketone (P-1)</w:t>
          </w:r>
          <w:r>
            <w:rPr>
              <w:noProof/>
            </w:rPr>
            <w:tab/>
          </w:r>
          <w:r>
            <w:rPr>
              <w:noProof/>
            </w:rPr>
            <w:fldChar w:fldCharType="begin"/>
          </w:r>
          <w:r>
            <w:rPr>
              <w:noProof/>
            </w:rPr>
            <w:instrText xml:space="preserve"> PAGEREF _Toc134623414 \h </w:instrText>
          </w:r>
          <w:r>
            <w:rPr>
              <w:noProof/>
            </w:rPr>
          </w:r>
          <w:r>
            <w:rPr>
              <w:noProof/>
            </w:rPr>
            <w:fldChar w:fldCharType="separate"/>
          </w:r>
          <w:r w:rsidR="00AA5E09">
            <w:rPr>
              <w:noProof/>
            </w:rPr>
            <w:t>41</w:t>
          </w:r>
          <w:r>
            <w:rPr>
              <w:noProof/>
            </w:rPr>
            <w:fldChar w:fldCharType="end"/>
          </w:r>
        </w:p>
        <w:p w14:paraId="210C1C89" w14:textId="01822C7B"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ketone (P-2)</w:t>
          </w:r>
          <w:r>
            <w:rPr>
              <w:noProof/>
            </w:rPr>
            <w:tab/>
          </w:r>
          <w:r>
            <w:rPr>
              <w:noProof/>
            </w:rPr>
            <w:fldChar w:fldCharType="begin"/>
          </w:r>
          <w:r>
            <w:rPr>
              <w:noProof/>
            </w:rPr>
            <w:instrText xml:space="preserve"> PAGEREF _Toc134623415 \h </w:instrText>
          </w:r>
          <w:r>
            <w:rPr>
              <w:noProof/>
            </w:rPr>
          </w:r>
          <w:r>
            <w:rPr>
              <w:noProof/>
            </w:rPr>
            <w:fldChar w:fldCharType="separate"/>
          </w:r>
          <w:r w:rsidR="00AA5E09">
            <w:rPr>
              <w:noProof/>
            </w:rPr>
            <w:t>41</w:t>
          </w:r>
          <w:r>
            <w:rPr>
              <w:noProof/>
            </w:rPr>
            <w:fldChar w:fldCharType="end"/>
          </w:r>
        </w:p>
        <w:p w14:paraId="68AF88F6" w14:textId="347A8169"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ketone (P-3)</w:t>
          </w:r>
          <w:r>
            <w:rPr>
              <w:noProof/>
            </w:rPr>
            <w:tab/>
          </w:r>
          <w:r>
            <w:rPr>
              <w:noProof/>
            </w:rPr>
            <w:fldChar w:fldCharType="begin"/>
          </w:r>
          <w:r>
            <w:rPr>
              <w:noProof/>
            </w:rPr>
            <w:instrText xml:space="preserve"> PAGEREF _Toc134623416 \h </w:instrText>
          </w:r>
          <w:r>
            <w:rPr>
              <w:noProof/>
            </w:rPr>
          </w:r>
          <w:r>
            <w:rPr>
              <w:noProof/>
            </w:rPr>
            <w:fldChar w:fldCharType="separate"/>
          </w:r>
          <w:r w:rsidR="00AA5E09">
            <w:rPr>
              <w:noProof/>
            </w:rPr>
            <w:t>42</w:t>
          </w:r>
          <w:r>
            <w:rPr>
              <w:noProof/>
            </w:rPr>
            <w:fldChar w:fldCharType="end"/>
          </w:r>
        </w:p>
        <w:p w14:paraId="3126335D" w14:textId="15925112"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trans-tetrahydroactinidiolide (1) via P-1</w:t>
          </w:r>
          <w:r>
            <w:rPr>
              <w:noProof/>
            </w:rPr>
            <w:tab/>
          </w:r>
          <w:r>
            <w:rPr>
              <w:noProof/>
            </w:rPr>
            <w:fldChar w:fldCharType="begin"/>
          </w:r>
          <w:r>
            <w:rPr>
              <w:noProof/>
            </w:rPr>
            <w:instrText xml:space="preserve"> PAGEREF _Toc134623417 \h </w:instrText>
          </w:r>
          <w:r>
            <w:rPr>
              <w:noProof/>
            </w:rPr>
          </w:r>
          <w:r>
            <w:rPr>
              <w:noProof/>
            </w:rPr>
            <w:fldChar w:fldCharType="separate"/>
          </w:r>
          <w:r w:rsidR="00AA5E09">
            <w:rPr>
              <w:noProof/>
            </w:rPr>
            <w:t>42</w:t>
          </w:r>
          <w:r>
            <w:rPr>
              <w:noProof/>
            </w:rPr>
            <w:fldChar w:fldCharType="end"/>
          </w:r>
        </w:p>
        <w:p w14:paraId="218D4324" w14:textId="1C641E8B"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sclareolide (26) via Lipase/Iodine tandem protocol</w:t>
          </w:r>
          <w:r>
            <w:rPr>
              <w:noProof/>
            </w:rPr>
            <w:tab/>
          </w:r>
          <w:r>
            <w:rPr>
              <w:noProof/>
            </w:rPr>
            <w:fldChar w:fldCharType="begin"/>
          </w:r>
          <w:r>
            <w:rPr>
              <w:noProof/>
            </w:rPr>
            <w:instrText xml:space="preserve"> PAGEREF _Toc134623418 \h </w:instrText>
          </w:r>
          <w:r>
            <w:rPr>
              <w:noProof/>
            </w:rPr>
          </w:r>
          <w:r>
            <w:rPr>
              <w:noProof/>
            </w:rPr>
            <w:fldChar w:fldCharType="separate"/>
          </w:r>
          <w:r w:rsidR="00AA5E09">
            <w:rPr>
              <w:noProof/>
            </w:rPr>
            <w:t>43</w:t>
          </w:r>
          <w:r>
            <w:rPr>
              <w:noProof/>
            </w:rPr>
            <w:fldChar w:fldCharType="end"/>
          </w:r>
        </w:p>
        <w:p w14:paraId="43557313" w14:textId="08E66737"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cis-tetrahydroactinidiolide (25) via Lipase/Iodine tandem protocol</w:t>
          </w:r>
          <w:r>
            <w:rPr>
              <w:noProof/>
            </w:rPr>
            <w:tab/>
          </w:r>
          <w:r>
            <w:rPr>
              <w:noProof/>
            </w:rPr>
            <w:fldChar w:fldCharType="begin"/>
          </w:r>
          <w:r>
            <w:rPr>
              <w:noProof/>
            </w:rPr>
            <w:instrText xml:space="preserve"> PAGEREF _Toc134623419 \h </w:instrText>
          </w:r>
          <w:r>
            <w:rPr>
              <w:noProof/>
            </w:rPr>
          </w:r>
          <w:r>
            <w:rPr>
              <w:noProof/>
            </w:rPr>
            <w:fldChar w:fldCharType="separate"/>
          </w:r>
          <w:r w:rsidR="00AA5E09">
            <w:rPr>
              <w:noProof/>
            </w:rPr>
            <w:t>44</w:t>
          </w:r>
          <w:r>
            <w:rPr>
              <w:noProof/>
            </w:rPr>
            <w:fldChar w:fldCharType="end"/>
          </w:r>
        </w:p>
        <w:p w14:paraId="402C862E" w14:textId="000128B2"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trans-tetrahydroactinidiolide (1) via Lipase/Iodine tandem protocol</w:t>
          </w:r>
          <w:r>
            <w:rPr>
              <w:noProof/>
            </w:rPr>
            <w:tab/>
          </w:r>
          <w:r>
            <w:rPr>
              <w:noProof/>
            </w:rPr>
            <w:fldChar w:fldCharType="begin"/>
          </w:r>
          <w:r>
            <w:rPr>
              <w:noProof/>
            </w:rPr>
            <w:instrText xml:space="preserve"> PAGEREF _Toc134623420 \h </w:instrText>
          </w:r>
          <w:r>
            <w:rPr>
              <w:noProof/>
            </w:rPr>
          </w:r>
          <w:r>
            <w:rPr>
              <w:noProof/>
            </w:rPr>
            <w:fldChar w:fldCharType="separate"/>
          </w:r>
          <w:r w:rsidR="00AA5E09">
            <w:rPr>
              <w:noProof/>
            </w:rPr>
            <w:t>44</w:t>
          </w:r>
          <w:r>
            <w:rPr>
              <w:noProof/>
            </w:rPr>
            <w:fldChar w:fldCharType="end"/>
          </w:r>
        </w:p>
        <w:p w14:paraId="07246A3B" w14:textId="012AE01F"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chromanone (3)</w:t>
          </w:r>
          <w:r>
            <w:rPr>
              <w:noProof/>
            </w:rPr>
            <w:tab/>
          </w:r>
          <w:r>
            <w:rPr>
              <w:noProof/>
            </w:rPr>
            <w:fldChar w:fldCharType="begin"/>
          </w:r>
          <w:r>
            <w:rPr>
              <w:noProof/>
            </w:rPr>
            <w:instrText xml:space="preserve"> PAGEREF _Toc134623421 \h </w:instrText>
          </w:r>
          <w:r>
            <w:rPr>
              <w:noProof/>
            </w:rPr>
          </w:r>
          <w:r>
            <w:rPr>
              <w:noProof/>
            </w:rPr>
            <w:fldChar w:fldCharType="separate"/>
          </w:r>
          <w:r w:rsidR="00AA5E09">
            <w:rPr>
              <w:noProof/>
            </w:rPr>
            <w:t>44</w:t>
          </w:r>
          <w:r>
            <w:rPr>
              <w:noProof/>
            </w:rPr>
            <w:fldChar w:fldCharType="end"/>
          </w:r>
        </w:p>
        <w:p w14:paraId="1B0C12E8" w14:textId="35EED811"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Synthesis of carbonate (2)</w:t>
          </w:r>
          <w:r>
            <w:rPr>
              <w:noProof/>
            </w:rPr>
            <w:tab/>
          </w:r>
          <w:r>
            <w:rPr>
              <w:noProof/>
            </w:rPr>
            <w:fldChar w:fldCharType="begin"/>
          </w:r>
          <w:r>
            <w:rPr>
              <w:noProof/>
            </w:rPr>
            <w:instrText xml:space="preserve"> PAGEREF _Toc134623422 \h </w:instrText>
          </w:r>
          <w:r>
            <w:rPr>
              <w:noProof/>
            </w:rPr>
          </w:r>
          <w:r>
            <w:rPr>
              <w:noProof/>
            </w:rPr>
            <w:fldChar w:fldCharType="separate"/>
          </w:r>
          <w:r w:rsidR="00AA5E09">
            <w:rPr>
              <w:noProof/>
            </w:rPr>
            <w:t>45</w:t>
          </w:r>
          <w:r>
            <w:rPr>
              <w:noProof/>
            </w:rPr>
            <w:fldChar w:fldCharType="end"/>
          </w:r>
        </w:p>
        <w:p w14:paraId="393E0DF9" w14:textId="0D4DA233"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 xml:space="preserve">Synthesis of </w:t>
          </w:r>
          <w:r w:rsidRPr="00121D1C">
            <w:rPr>
              <w:rFonts w:ascii="Open Sans" w:hAnsi="Open Sans" w:cs="Open Sans"/>
              <w:noProof/>
            </w:rPr>
            <w:t>α</w:t>
          </w:r>
          <w:r w:rsidRPr="00121D1C">
            <w:rPr>
              <w:noProof/>
            </w:rPr>
            <w:t>-pyrone meroterpenes (28) and (29)</w:t>
          </w:r>
          <w:r>
            <w:rPr>
              <w:noProof/>
            </w:rPr>
            <w:tab/>
          </w:r>
          <w:r>
            <w:rPr>
              <w:noProof/>
            </w:rPr>
            <w:fldChar w:fldCharType="begin"/>
          </w:r>
          <w:r>
            <w:rPr>
              <w:noProof/>
            </w:rPr>
            <w:instrText xml:space="preserve"> PAGEREF _Toc134623423 \h </w:instrText>
          </w:r>
          <w:r>
            <w:rPr>
              <w:noProof/>
            </w:rPr>
          </w:r>
          <w:r>
            <w:rPr>
              <w:noProof/>
            </w:rPr>
            <w:fldChar w:fldCharType="separate"/>
          </w:r>
          <w:r w:rsidR="00AA5E09">
            <w:rPr>
              <w:noProof/>
            </w:rPr>
            <w:t>46</w:t>
          </w:r>
          <w:r>
            <w:rPr>
              <w:noProof/>
            </w:rPr>
            <w:fldChar w:fldCharType="end"/>
          </w:r>
        </w:p>
        <w:p w14:paraId="1CAACC12" w14:textId="180656EA" w:rsidR="00377CDA" w:rsidRPr="00377CDA" w:rsidRDefault="00377CDA">
          <w:pPr>
            <w:pStyle w:val="TOC2"/>
            <w:rPr>
              <w:rFonts w:eastAsiaTheme="minorEastAsia" w:cstheme="minorBidi"/>
              <w:i w:val="0"/>
              <w:iCs w:val="0"/>
              <w:noProof/>
              <w:kern w:val="2"/>
              <w:sz w:val="22"/>
              <w:szCs w:val="22"/>
              <w:lang w:eastAsia="de-DE" w:bidi="he-IL"/>
              <w14:ligatures w14:val="standardContextual"/>
            </w:rPr>
          </w:pPr>
          <w:r w:rsidRPr="00121D1C">
            <w:rPr>
              <w:noProof/>
            </w:rPr>
            <w:t>Chlorosulfonic acid catalyzed cyclizations of terpenes as racemic standards</w:t>
          </w:r>
          <w:r>
            <w:rPr>
              <w:noProof/>
            </w:rPr>
            <w:tab/>
          </w:r>
          <w:r>
            <w:rPr>
              <w:noProof/>
            </w:rPr>
            <w:fldChar w:fldCharType="begin"/>
          </w:r>
          <w:r>
            <w:rPr>
              <w:noProof/>
            </w:rPr>
            <w:instrText xml:space="preserve"> PAGEREF _Toc134623424 \h </w:instrText>
          </w:r>
          <w:r>
            <w:rPr>
              <w:noProof/>
            </w:rPr>
          </w:r>
          <w:r>
            <w:rPr>
              <w:noProof/>
            </w:rPr>
            <w:fldChar w:fldCharType="separate"/>
          </w:r>
          <w:r w:rsidR="00AA5E09">
            <w:rPr>
              <w:noProof/>
            </w:rPr>
            <w:t>47</w:t>
          </w:r>
          <w:r>
            <w:rPr>
              <w:noProof/>
            </w:rPr>
            <w:fldChar w:fldCharType="end"/>
          </w:r>
        </w:p>
        <w:p w14:paraId="5F63945F" w14:textId="4B58EF0F"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G.</w:t>
          </w:r>
          <w:r w:rsidRPr="00377CDA">
            <w:rPr>
              <w:rFonts w:eastAsiaTheme="minorEastAsia" w:cstheme="minorBidi"/>
              <w:b w:val="0"/>
              <w:bCs w:val="0"/>
              <w:noProof/>
              <w:kern w:val="2"/>
              <w:sz w:val="22"/>
              <w:szCs w:val="22"/>
              <w:lang w:eastAsia="de-DE" w:bidi="he-IL"/>
              <w14:ligatures w14:val="standardContextual"/>
            </w:rPr>
            <w:tab/>
          </w:r>
          <w:r>
            <w:rPr>
              <w:noProof/>
            </w:rPr>
            <w:t>Supporting chromatograms</w:t>
          </w:r>
          <w:r>
            <w:rPr>
              <w:noProof/>
            </w:rPr>
            <w:tab/>
          </w:r>
          <w:r>
            <w:rPr>
              <w:noProof/>
            </w:rPr>
            <w:fldChar w:fldCharType="begin"/>
          </w:r>
          <w:r>
            <w:rPr>
              <w:noProof/>
            </w:rPr>
            <w:instrText xml:space="preserve"> PAGEREF _Toc134623425 \h </w:instrText>
          </w:r>
          <w:r>
            <w:rPr>
              <w:noProof/>
            </w:rPr>
          </w:r>
          <w:r>
            <w:rPr>
              <w:noProof/>
            </w:rPr>
            <w:fldChar w:fldCharType="separate"/>
          </w:r>
          <w:r w:rsidR="00AA5E09">
            <w:rPr>
              <w:noProof/>
            </w:rPr>
            <w:t>47</w:t>
          </w:r>
          <w:r>
            <w:rPr>
              <w:noProof/>
            </w:rPr>
            <w:fldChar w:fldCharType="end"/>
          </w:r>
        </w:p>
        <w:p w14:paraId="0A3FE572" w14:textId="4E0F75E2"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H.</w:t>
          </w:r>
          <w:r w:rsidRPr="00377CDA">
            <w:rPr>
              <w:rFonts w:eastAsiaTheme="minorEastAsia" w:cstheme="minorBidi"/>
              <w:b w:val="0"/>
              <w:bCs w:val="0"/>
              <w:noProof/>
              <w:kern w:val="2"/>
              <w:sz w:val="22"/>
              <w:szCs w:val="22"/>
              <w:lang w:eastAsia="de-DE" w:bidi="he-IL"/>
              <w14:ligatures w14:val="standardContextual"/>
            </w:rPr>
            <w:tab/>
          </w:r>
          <w:r>
            <w:rPr>
              <w:noProof/>
            </w:rPr>
            <w:t>Supporting mass spectra</w:t>
          </w:r>
          <w:r>
            <w:rPr>
              <w:noProof/>
            </w:rPr>
            <w:tab/>
          </w:r>
          <w:r>
            <w:rPr>
              <w:noProof/>
            </w:rPr>
            <w:fldChar w:fldCharType="begin"/>
          </w:r>
          <w:r>
            <w:rPr>
              <w:noProof/>
            </w:rPr>
            <w:instrText xml:space="preserve"> PAGEREF _Toc134623426 \h </w:instrText>
          </w:r>
          <w:r>
            <w:rPr>
              <w:noProof/>
            </w:rPr>
          </w:r>
          <w:r>
            <w:rPr>
              <w:noProof/>
            </w:rPr>
            <w:fldChar w:fldCharType="separate"/>
          </w:r>
          <w:r w:rsidR="00AA5E09">
            <w:rPr>
              <w:noProof/>
            </w:rPr>
            <w:t>50</w:t>
          </w:r>
          <w:r>
            <w:rPr>
              <w:noProof/>
            </w:rPr>
            <w:fldChar w:fldCharType="end"/>
          </w:r>
        </w:p>
        <w:p w14:paraId="5051ED3A" w14:textId="6B0AADDF"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I.</w:t>
          </w:r>
          <w:r w:rsidRPr="00377CDA">
            <w:rPr>
              <w:rFonts w:eastAsiaTheme="minorEastAsia" w:cstheme="minorBidi"/>
              <w:b w:val="0"/>
              <w:bCs w:val="0"/>
              <w:noProof/>
              <w:kern w:val="2"/>
              <w:sz w:val="22"/>
              <w:szCs w:val="22"/>
              <w:lang w:eastAsia="de-DE" w:bidi="he-IL"/>
              <w14:ligatures w14:val="standardContextual"/>
            </w:rPr>
            <w:tab/>
          </w:r>
          <w:r>
            <w:rPr>
              <w:noProof/>
            </w:rPr>
            <w:t>NMR spectra</w:t>
          </w:r>
          <w:r>
            <w:rPr>
              <w:noProof/>
            </w:rPr>
            <w:tab/>
          </w:r>
          <w:r>
            <w:rPr>
              <w:noProof/>
            </w:rPr>
            <w:fldChar w:fldCharType="begin"/>
          </w:r>
          <w:r>
            <w:rPr>
              <w:noProof/>
            </w:rPr>
            <w:instrText xml:space="preserve"> PAGEREF _Toc134623427 \h </w:instrText>
          </w:r>
          <w:r>
            <w:rPr>
              <w:noProof/>
            </w:rPr>
          </w:r>
          <w:r>
            <w:rPr>
              <w:noProof/>
            </w:rPr>
            <w:fldChar w:fldCharType="separate"/>
          </w:r>
          <w:r w:rsidR="00AA5E09">
            <w:rPr>
              <w:noProof/>
            </w:rPr>
            <w:t>54</w:t>
          </w:r>
          <w:r>
            <w:rPr>
              <w:noProof/>
            </w:rPr>
            <w:fldChar w:fldCharType="end"/>
          </w:r>
        </w:p>
        <w:p w14:paraId="7206A75A" w14:textId="5E8D081F" w:rsidR="00377CDA" w:rsidRPr="00377CDA" w:rsidRDefault="00377CDA">
          <w:pPr>
            <w:pStyle w:val="TOC1"/>
            <w:rPr>
              <w:rFonts w:eastAsiaTheme="minorEastAsia" w:cstheme="minorBidi"/>
              <w:b w:val="0"/>
              <w:bCs w:val="0"/>
              <w:noProof/>
              <w:kern w:val="2"/>
              <w:sz w:val="22"/>
              <w:szCs w:val="22"/>
              <w:lang w:eastAsia="de-DE" w:bidi="he-IL"/>
              <w14:ligatures w14:val="standardContextual"/>
            </w:rPr>
          </w:pPr>
          <w:r w:rsidRPr="00121D1C">
            <w:rPr>
              <w:rFonts w:cs="Arial"/>
              <w:noProof/>
            </w:rPr>
            <w:t>J.</w:t>
          </w:r>
          <w:r w:rsidRPr="00377CDA">
            <w:rPr>
              <w:rFonts w:eastAsiaTheme="minorEastAsia" w:cstheme="minorBidi"/>
              <w:b w:val="0"/>
              <w:bCs w:val="0"/>
              <w:noProof/>
              <w:kern w:val="2"/>
              <w:sz w:val="22"/>
              <w:szCs w:val="22"/>
              <w:lang w:eastAsia="de-DE" w:bidi="he-IL"/>
              <w14:ligatures w14:val="standardContextual"/>
            </w:rPr>
            <w:tab/>
          </w:r>
          <w:r>
            <w:rPr>
              <w:noProof/>
            </w:rPr>
            <w:t>Amino acid sequences</w:t>
          </w:r>
          <w:r>
            <w:rPr>
              <w:noProof/>
            </w:rPr>
            <w:tab/>
          </w:r>
          <w:r>
            <w:rPr>
              <w:noProof/>
            </w:rPr>
            <w:fldChar w:fldCharType="begin"/>
          </w:r>
          <w:r>
            <w:rPr>
              <w:noProof/>
            </w:rPr>
            <w:instrText xml:space="preserve"> PAGEREF _Toc134623428 \h </w:instrText>
          </w:r>
          <w:r>
            <w:rPr>
              <w:noProof/>
            </w:rPr>
          </w:r>
          <w:r>
            <w:rPr>
              <w:noProof/>
            </w:rPr>
            <w:fldChar w:fldCharType="separate"/>
          </w:r>
          <w:r w:rsidR="00AA5E09">
            <w:rPr>
              <w:noProof/>
            </w:rPr>
            <w:t>79</w:t>
          </w:r>
          <w:r>
            <w:rPr>
              <w:noProof/>
            </w:rPr>
            <w:fldChar w:fldCharType="end"/>
          </w:r>
        </w:p>
        <w:p w14:paraId="044F2D5F" w14:textId="61A34BAB" w:rsidR="00377CDA" w:rsidRDefault="00377CDA">
          <w:pPr>
            <w:pStyle w:val="TOC1"/>
            <w:rPr>
              <w:rFonts w:eastAsiaTheme="minorEastAsia" w:cstheme="minorBidi"/>
              <w:b w:val="0"/>
              <w:bCs w:val="0"/>
              <w:noProof/>
              <w:kern w:val="2"/>
              <w:sz w:val="22"/>
              <w:szCs w:val="22"/>
              <w:lang w:val="de-DE" w:eastAsia="de-DE" w:bidi="he-IL"/>
              <w14:ligatures w14:val="standardContextual"/>
            </w:rPr>
          </w:pPr>
          <w:r w:rsidRPr="00121D1C">
            <w:rPr>
              <w:rFonts w:cs="Arial"/>
              <w:noProof/>
            </w:rPr>
            <w:t>K.</w:t>
          </w:r>
          <w:r>
            <w:rPr>
              <w:rFonts w:eastAsiaTheme="minorEastAsia" w:cstheme="minorBidi"/>
              <w:b w:val="0"/>
              <w:bCs w:val="0"/>
              <w:noProof/>
              <w:kern w:val="2"/>
              <w:sz w:val="22"/>
              <w:szCs w:val="22"/>
              <w:lang w:val="de-DE" w:eastAsia="de-DE" w:bidi="he-IL"/>
              <w14:ligatures w14:val="standardContextual"/>
            </w:rPr>
            <w:tab/>
          </w:r>
          <w:r>
            <w:rPr>
              <w:noProof/>
            </w:rPr>
            <w:t>References</w:t>
          </w:r>
          <w:r>
            <w:rPr>
              <w:noProof/>
            </w:rPr>
            <w:tab/>
          </w:r>
          <w:r>
            <w:rPr>
              <w:noProof/>
            </w:rPr>
            <w:fldChar w:fldCharType="begin"/>
          </w:r>
          <w:r>
            <w:rPr>
              <w:noProof/>
            </w:rPr>
            <w:instrText xml:space="preserve"> PAGEREF _Toc134623429 \h </w:instrText>
          </w:r>
          <w:r>
            <w:rPr>
              <w:noProof/>
            </w:rPr>
          </w:r>
          <w:r>
            <w:rPr>
              <w:noProof/>
            </w:rPr>
            <w:fldChar w:fldCharType="separate"/>
          </w:r>
          <w:r w:rsidR="00AA5E09">
            <w:rPr>
              <w:noProof/>
            </w:rPr>
            <w:t>80</w:t>
          </w:r>
          <w:r>
            <w:rPr>
              <w:noProof/>
            </w:rPr>
            <w:fldChar w:fldCharType="end"/>
          </w:r>
        </w:p>
        <w:p w14:paraId="281BA5FE" w14:textId="6C8C4AC9" w:rsidR="008468CD" w:rsidRPr="0029072C" w:rsidRDefault="005B60AE" w:rsidP="0021266D">
          <w:pPr>
            <w:spacing w:line="240" w:lineRule="auto"/>
          </w:pPr>
          <w:r w:rsidRPr="0029072C">
            <w:rPr>
              <w:rFonts w:cs="Arial"/>
              <w:caps/>
              <w:sz w:val="24"/>
              <w:szCs w:val="24"/>
            </w:rPr>
            <w:fldChar w:fldCharType="end"/>
          </w:r>
        </w:p>
      </w:sdtContent>
    </w:sdt>
    <w:p w14:paraId="539F1469" w14:textId="18DEE18E" w:rsidR="00D10F6A" w:rsidRPr="00833471" w:rsidRDefault="00D10F6A" w:rsidP="00FA3D6A">
      <w:pPr>
        <w:pStyle w:val="Paragraph"/>
        <w:spacing w:line="480" w:lineRule="auto"/>
        <w:ind w:firstLine="0"/>
        <w:rPr>
          <w:rStyle w:val="Hyperlink"/>
          <w:rFonts w:ascii="Arial" w:hAnsi="Arial" w:cs="Arial"/>
          <w:b/>
          <w:bCs/>
          <w:color w:val="auto"/>
          <w:u w:val="none"/>
        </w:rPr>
      </w:pPr>
    </w:p>
    <w:p w14:paraId="542D4A19" w14:textId="77777777" w:rsidR="006868A3" w:rsidRPr="00833471" w:rsidRDefault="00D10F6A" w:rsidP="00FA3D6A">
      <w:pPr>
        <w:keepNext/>
      </w:pPr>
      <w:r w:rsidRPr="00833471">
        <w:rPr>
          <w:rStyle w:val="Hyperlink"/>
          <w:rFonts w:cs="Arial"/>
          <w:b/>
          <w:bCs/>
          <w:color w:val="auto"/>
          <w:u w:val="none"/>
        </w:rPr>
        <w:br w:type="page"/>
      </w:r>
      <w:r w:rsidR="006868A3" w:rsidRPr="00833471">
        <w:rPr>
          <w:rFonts w:eastAsiaTheme="majorEastAsia" w:cs="Arial"/>
          <w:b/>
          <w:bCs/>
          <w:noProof/>
          <w:sz w:val="28"/>
          <w:szCs w:val="32"/>
        </w:rPr>
        <w:lastRenderedPageBreak/>
        <w:drawing>
          <wp:inline distT="0" distB="0" distL="0" distR="0" wp14:anchorId="184FAFA8" wp14:editId="2F2ACB54">
            <wp:extent cx="5052060" cy="53398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
                    <a:srcRect r="12291" b="25236"/>
                    <a:stretch/>
                  </pic:blipFill>
                  <pic:spPr bwMode="auto">
                    <a:xfrm>
                      <a:off x="0" y="0"/>
                      <a:ext cx="5052646" cy="5340480"/>
                    </a:xfrm>
                    <a:prstGeom prst="rect">
                      <a:avLst/>
                    </a:prstGeom>
                    <a:ln>
                      <a:noFill/>
                    </a:ln>
                    <a:extLst>
                      <a:ext uri="{53640926-AAD7-44D8-BBD7-CCE9431645EC}">
                        <a14:shadowObscured xmlns:a14="http://schemas.microsoft.com/office/drawing/2010/main"/>
                      </a:ext>
                    </a:extLst>
                  </pic:spPr>
                </pic:pic>
              </a:graphicData>
            </a:graphic>
          </wp:inline>
        </w:drawing>
      </w:r>
    </w:p>
    <w:p w14:paraId="68808CD4" w14:textId="4E0387B0" w:rsidR="006868A3" w:rsidRPr="00296FCD" w:rsidRDefault="006868A3" w:rsidP="00FA3D6A">
      <w:pPr>
        <w:pStyle w:val="Caption"/>
        <w:rPr>
          <w:i w:val="0"/>
          <w:iCs w:val="0"/>
          <w:color w:val="000000" w:themeColor="text1"/>
          <w:sz w:val="20"/>
          <w:szCs w:val="20"/>
        </w:rPr>
      </w:pPr>
      <w:bookmarkStart w:id="0" w:name="_Toc134623348"/>
      <w:r w:rsidRPr="00296FCD">
        <w:rPr>
          <w:rStyle w:val="Heading1Char"/>
          <w:i w:val="0"/>
          <w:iCs w:val="0"/>
          <w:color w:val="000000" w:themeColor="text1"/>
          <w:szCs w:val="20"/>
        </w:rPr>
        <w:t xml:space="preserve">Figure S </w:t>
      </w:r>
      <w:r w:rsidRPr="00296FCD">
        <w:rPr>
          <w:rStyle w:val="Heading1Char"/>
          <w:i w:val="0"/>
          <w:iCs w:val="0"/>
          <w:color w:val="000000" w:themeColor="text1"/>
          <w:szCs w:val="20"/>
        </w:rPr>
        <w:fldChar w:fldCharType="begin"/>
      </w:r>
      <w:r w:rsidRPr="00296FCD">
        <w:rPr>
          <w:rStyle w:val="Heading1Char"/>
          <w:i w:val="0"/>
          <w:iCs w:val="0"/>
          <w:color w:val="000000" w:themeColor="text1"/>
          <w:szCs w:val="20"/>
        </w:rPr>
        <w:instrText xml:space="preserve"> SEQ Figure_S \* ARABIC </w:instrText>
      </w:r>
      <w:r w:rsidRPr="00296FCD">
        <w:rPr>
          <w:rStyle w:val="Heading1Char"/>
          <w:i w:val="0"/>
          <w:iCs w:val="0"/>
          <w:color w:val="000000" w:themeColor="text1"/>
          <w:szCs w:val="20"/>
        </w:rPr>
        <w:fldChar w:fldCharType="separate"/>
      </w:r>
      <w:r w:rsidR="00AA5E09">
        <w:rPr>
          <w:rStyle w:val="Heading1Char"/>
          <w:i w:val="0"/>
          <w:iCs w:val="0"/>
          <w:noProof/>
          <w:color w:val="000000" w:themeColor="text1"/>
          <w:szCs w:val="20"/>
        </w:rPr>
        <w:t>1</w:t>
      </w:r>
      <w:r w:rsidRPr="00296FCD">
        <w:rPr>
          <w:rStyle w:val="Heading1Char"/>
          <w:i w:val="0"/>
          <w:iCs w:val="0"/>
          <w:color w:val="000000" w:themeColor="text1"/>
          <w:szCs w:val="20"/>
        </w:rPr>
        <w:fldChar w:fldCharType="end"/>
      </w:r>
      <w:r w:rsidR="00BC7688" w:rsidRPr="00296FCD">
        <w:rPr>
          <w:rStyle w:val="Heading1Char"/>
          <w:i w:val="0"/>
          <w:iCs w:val="0"/>
          <w:color w:val="000000" w:themeColor="text1"/>
          <w:szCs w:val="20"/>
        </w:rPr>
        <w:t>:</w:t>
      </w:r>
      <w:bookmarkEnd w:id="0"/>
      <w:r w:rsidR="00523BE4" w:rsidRPr="00296FCD">
        <w:rPr>
          <w:i w:val="0"/>
          <w:iCs w:val="0"/>
          <w:noProof/>
          <w:color w:val="000000" w:themeColor="text1"/>
          <w:sz w:val="20"/>
          <w:szCs w:val="20"/>
        </w:rPr>
        <w:t xml:space="preserve"> </w:t>
      </w:r>
      <w:r w:rsidR="0045189D" w:rsidRPr="00296FCD">
        <w:rPr>
          <w:i w:val="0"/>
          <w:iCs w:val="0"/>
          <w:noProof/>
          <w:color w:val="000000" w:themeColor="text1"/>
          <w:sz w:val="20"/>
          <w:szCs w:val="20"/>
        </w:rPr>
        <w:t xml:space="preserve">Selected examples from the literature </w:t>
      </w:r>
      <w:r w:rsidR="00C86727" w:rsidRPr="00296FCD">
        <w:rPr>
          <w:i w:val="0"/>
          <w:iCs w:val="0"/>
          <w:noProof/>
          <w:color w:val="000000" w:themeColor="text1"/>
          <w:sz w:val="20"/>
          <w:szCs w:val="20"/>
        </w:rPr>
        <w:t>in which</w:t>
      </w:r>
      <w:r w:rsidR="00ED6130" w:rsidRPr="00296FCD">
        <w:rPr>
          <w:i w:val="0"/>
          <w:iCs w:val="0"/>
          <w:noProof/>
          <w:color w:val="000000" w:themeColor="text1"/>
          <w:sz w:val="20"/>
          <w:szCs w:val="20"/>
        </w:rPr>
        <w:t xml:space="preserve"> a scala</w:t>
      </w:r>
      <w:r w:rsidR="005201C5" w:rsidRPr="00296FCD">
        <w:rPr>
          <w:i w:val="0"/>
          <w:iCs w:val="0"/>
          <w:noProof/>
          <w:color w:val="000000" w:themeColor="text1"/>
          <w:sz w:val="20"/>
          <w:szCs w:val="20"/>
        </w:rPr>
        <w:t>ble and stereocontrolled</w:t>
      </w:r>
      <w:r w:rsidR="0045189D" w:rsidRPr="00296FCD">
        <w:rPr>
          <w:i w:val="0"/>
          <w:iCs w:val="0"/>
          <w:noProof/>
          <w:color w:val="000000" w:themeColor="text1"/>
          <w:sz w:val="20"/>
          <w:szCs w:val="20"/>
        </w:rPr>
        <w:t xml:space="preserve"> cationic cyclization</w:t>
      </w:r>
      <w:r w:rsidR="00ED6130" w:rsidRPr="00296FCD">
        <w:rPr>
          <w:i w:val="0"/>
          <w:iCs w:val="0"/>
          <w:noProof/>
          <w:color w:val="000000" w:themeColor="text1"/>
          <w:sz w:val="20"/>
          <w:szCs w:val="20"/>
        </w:rPr>
        <w:t xml:space="preserve"> cascade</w:t>
      </w:r>
      <w:r w:rsidR="0045189D" w:rsidRPr="00296FCD">
        <w:rPr>
          <w:i w:val="0"/>
          <w:iCs w:val="0"/>
          <w:noProof/>
          <w:color w:val="000000" w:themeColor="text1"/>
          <w:sz w:val="20"/>
          <w:szCs w:val="20"/>
        </w:rPr>
        <w:t xml:space="preserve"> could</w:t>
      </w:r>
      <w:r w:rsidR="00ED6130" w:rsidRPr="00296FCD">
        <w:rPr>
          <w:i w:val="0"/>
          <w:iCs w:val="0"/>
          <w:noProof/>
          <w:color w:val="000000" w:themeColor="text1"/>
          <w:sz w:val="20"/>
          <w:szCs w:val="20"/>
        </w:rPr>
        <w:t xml:space="preserve"> </w:t>
      </w:r>
      <w:r w:rsidR="0045189D" w:rsidRPr="00296FCD">
        <w:rPr>
          <w:i w:val="0"/>
          <w:iCs w:val="0"/>
          <w:noProof/>
          <w:color w:val="000000" w:themeColor="text1"/>
          <w:sz w:val="20"/>
          <w:szCs w:val="20"/>
        </w:rPr>
        <w:t xml:space="preserve">shorten the synthetic pathway </w:t>
      </w:r>
      <w:r w:rsidR="00E81BA1">
        <w:rPr>
          <w:i w:val="0"/>
          <w:iCs w:val="0"/>
          <w:noProof/>
          <w:color w:val="000000" w:themeColor="text1"/>
          <w:sz w:val="20"/>
          <w:szCs w:val="20"/>
        </w:rPr>
        <w:t xml:space="preserve">to cyclic terpenes </w:t>
      </w:r>
      <w:r w:rsidR="0045189D" w:rsidRPr="00296FCD">
        <w:rPr>
          <w:i w:val="0"/>
          <w:iCs w:val="0"/>
          <w:noProof/>
          <w:color w:val="000000" w:themeColor="text1"/>
          <w:sz w:val="20"/>
          <w:szCs w:val="20"/>
        </w:rPr>
        <w:t>via scaffold remodelling.</w:t>
      </w:r>
      <w:r w:rsidR="00B25C9D" w:rsidRPr="00296FCD">
        <w:rPr>
          <w:i w:val="0"/>
          <w:iCs w:val="0"/>
          <w:noProof/>
          <w:color w:val="000000" w:themeColor="text1"/>
          <w:sz w:val="20"/>
          <w:szCs w:val="20"/>
        </w:rPr>
        <w:fldChar w:fldCharType="begin" w:fldLock="1"/>
      </w:r>
      <w:r w:rsidR="00467C5F" w:rsidRPr="00296FCD">
        <w:rPr>
          <w:i w:val="0"/>
          <w:iCs w:val="0"/>
          <w:noProof/>
          <w:color w:val="000000" w:themeColor="text1"/>
          <w:sz w:val="20"/>
          <w:szCs w:val="20"/>
        </w:rPr>
        <w:instrText>ADDIN CSL_CITATION {"citationItems":[{"id":"ITEM-1","itemData":{"DOI":"10.1038/s41557-019-0407-6","abstract":"M ultistep chemical synthesis relies almost exclusively on the use of retrosynthetic analysis 1. Using this conceptual framework, a target molecule is disconnected through a series of reverse reactions to arrive finally at greatly simplified or commercial starting materials. As each disconnection needs to be sensible in the forward synthetic direction, the choice of bond(s) to disconnect is highly dependent on the contemporary synthetic transformations available at the practitioner's disposal. Throughout the history of organic chemistry, polar disconnections, due to their perceived robustness, permeate much of the discourse in the field. More recently, the emergence of new technologies in chemical synthesis has led to the formulation of alternative retrosynthetic strategies. Biocatalytic retrosynthesis 2 has flourished into a highly powerful principle for multistep syntheses due to the unparalleled selectivity of enzymatic transformations and the ever-growing tools of protein engineering and directed evolution 3. Similarly, radical-based retrosynthetic disconnections 4,5 have become increasingly popular, owing to the unique chemoselectivity and chemofidelity 6 of radicals. Despite their respective advantages, these emerging strategies have largely developed as independent entities with minimal crosstalk. Here, we describe the development of a powerful strategy to streamline access to meroterpenoid natural products (eight in total) by combining the unparalleled site selectivity of enzymatic hydroxylation with the unique reactivity profile of radical-based transformations. The efficiency of our route highlights the benefits of employing such a hybrid synthetic strategy in the synthesis of complex molecules. Commonly isolated from fungi, meroterpenoids are a large family of hybrid terpene natural products possessing a wide range of structural diversity (Fig. 1a) 7. The α-pyrone meroterpenoids (for example, 1-5) constitute a prominent subset of this family and possess a common C3-oxidized drimane unit that is attached to various polyketide-derived pyrone fragments at C11 (ref. 8). Members of this family exhibit a broad range of bioactivity ranging from anti-cholinesterase activity to acyl-CoA/cholesterol acyltransferase inhibition. While not as common, meroterpenoids bearing a diterpene unit have also been found in nature 9. Members of this subset (for example, 6-11) typically share a common C3-oxidized ent-isocopalane fragment that occurs in combination wi…","author":[{"dropping-particle":"","family":"Li","given":"Jian","non-dropping-particle":"","parse-names":false,"suffix":""},{"dropping-particle":"","family":"Li","given":"Fuzhuo","non-dropping-particle":"","parse-names":false,"suffix":""},{"dropping-particle":"","family":"King-Smith","given":"Emma","non-dropping-particle":"","parse-names":false,"suffix":""},{"dropping-particle":"","family":"Renata","given":"Hans","non-dropping-particle":"","parse-names":false,"suffix":""}],"container-title":"Nature Chemistry","id":"ITEM-1","issued":{"date-parts":[["2020"]]},"page":"173-179","title":"Merging chemoenzymatic and radical-based retrosynthetic logic for rapid and modular synthesis of oxidized meroterpenoids","type":"article-journal","volume":"12"},"uris":["http://www.mendeley.com/documents/?uuid=71b4e2dd-9b9d-3917-98a2-062095198406"]},{"id":"ITEM-2","itemData":{"DOI":"10.1016/j.tet.2010.06.023","ISSN":"00404020","abstract":"Description of the first synthesis of (+)-makassaric acid, an important kinase MK2 inhibitor. The key step was a Barton/McCombie radical deoxygenation. (+)-Makassaric acid has been synthesized from (-)-sclareol, through a Barton/McCombie reaction. © 2010 Elsevier Ltd. All rights reserved.","author":[{"dropping-particle":"","family":"Basabe","given":"P.","non-dropping-particle":"","parse-names":false,"suffix":""},{"dropping-particle":"","family":"Martín","given":"M.","non-dropping-particle":"","parse-names":false,"suffix":""},{"dropping-particle":"","family":"Bodero","given":"O.","non-dropping-particle":"","parse-names":false,"suffix":""},{"dropping-particle":"","family":"Blanco","given":"A.","non-dropping-particle":"","parse-names":false,"suffix":""},{"dropping-particle":"","family":"Marcos","given":"I. S.","non-dropping-particle":"","parse-names":false,"suffix":""},{"dropping-particle":"","family":"Díez","given":"D.","non-dropping-particle":"","parse-names":false,"suffix":""},{"dropping-particle":"","family":"Urones","given":"J. G.","non-dropping-particle":"","parse-names":false,"suffix":""}],"container-title":"Tetrahedron","id":"ITEM-2","issue":"32","issued":{"date-parts":[["2010","8","7"]]},"page":"6008-6012","publisher":"Pergamon","title":"Synthesis of (+)-makassaric acid, a protein kinase MK2 inhibitor","type":"article-journal","volume":"66"},"uris":["http://www.mendeley.com/documents/?uuid=f1f45f88-418a-3d3a-a6d4-3dead840de58"]},{"id":"ITEM-3","itemData":{"DOI":"10.1002/ejoc.201601503","ISSN":"10990690","abstract":"An environmentally benign and highly atom-economical catalytic method for Friedel–Crafts alkylation and diastereoselective C–O bond formation has been developed. The scope and generality of this reaction is illustrated by the synthesis of chromazonarol, hongoquercins A and B, and their analogues.","author":[{"dropping-particle":"","family":"Dethe","given":"Dattatraya H.","non-dropping-particle":"","parse-names":false,"suffix":""},{"dropping-particle":"","family":"Murhade","given":"Ganesh M.","non-dropping-particle":"","parse-names":false,"suffix":""},{"dropping-particle":"","family":"Dherange","given":"Balu D.","non-dropping-particle":"","parse-names":false,"suffix":""},{"dropping-particle":"","family":"Sau","given":"Susanta Kumar","non-dropping-particle":"","parse-names":false,"suffix":""}],"container-title":"European Journal of Organic Chemistry","id":"ITEM-3","issue":"7","issued":{"date-parts":[["2017","2","17"]]},"page":"1143-1150","publisher":"Wiley-VCH Verlag","title":"Enantiospecific Syntheses of Hongoquercins A and B and Chromazonarol","type":"article-journal","volume":"2017"},"uris":["http://www.mendeley.com/documents/?uuid=ab91b9b2-1284-31a3-b62d-467503fa6e99"]},{"id":"ITEM-4","itemData":{"DOI":"10.1039/c1ob06419c","ISSN":"14770520","PMID":"22068606","abstract":"Squalene-hopene cyclase (SHC) converts squalene (C 30) into pentacyclic triterpenes of hopene and hopanol. A linear sesquiterpene, (6E,10E)-2,6,10-trimethyldodeca-2,6,10-triene, underwent cyclization catalyzed by SHC, affording the following six bicyclic sesquiterpenes (drimane skeleton) in relatively high yield (68%): drim-7(8)-ene, drim-8(12)-ene, drim-8(9)-ene, driman-8α-ol, driman-8β-ol, and the novel sesquiterpene, named quasiclerodane, the skeleton of which is analogous to that of clerodane diterpene. To extend the scope of the enzymatic syntheses, acyclic sesquiterpenes to which a phenol moiety was appended were subjected to the enzymatic reaction catalyzed by SHC. The cyclic meroterpene core present in hongoquercins A and B was successfully prepared. The formation mechanisms of drimane-type sesquiterpenes and the cyclic meroterpene core of hongoquercins A and B are discussed. © 2012 The Royal Society of Chemistry.","author":[{"dropping-particle":"","family":"Yonemura","given":"Yukie","non-dropping-particle":"","parse-names":false,"suffix":""},{"dropping-particle":"","family":"Ohyama","given":"Takuro","non-dropping-particle":"","parse-names":false,"suffix":""},{"dropping-particle":"","family":"Hoshino","given":"Tsutomu","non-dropping-particle":"","parse-names":false,"suffix":""}],"container-title":"Organic and Biomolecular Chemistry","id":"ITEM-4","issue":"2","issued":{"date-parts":[["2012","12","8"]]},"page":"440-446","publisher":"Royal Society of Chemistry","title":"Chemo-enzymatic syntheses of drimane-type sesquiterpenes and the fundamental core of hongoquercin meroterpenoid by recombinant squalene-hopene cyclase","type":"article-journal","volume":"10"},"uris":["http://www.mendeley.com/documents/?uuid=09162aa8-60de-35a2-bb07-21de771a7c94"]}],"mendeley":{"formattedCitation":"&lt;sup&gt;1–4&lt;/sup&gt;","plainTextFormattedCitation":"1–4","previouslyFormattedCitation":"&lt;sup&gt;1–4&lt;/sup&gt;"},"properties":{"noteIndex":0},"schema":"https://github.com/citation-style-language/schema/raw/master/csl-citation.json"}</w:instrText>
      </w:r>
      <w:r w:rsidR="00B25C9D" w:rsidRPr="00296FCD">
        <w:rPr>
          <w:i w:val="0"/>
          <w:iCs w:val="0"/>
          <w:noProof/>
          <w:color w:val="000000" w:themeColor="text1"/>
          <w:sz w:val="20"/>
          <w:szCs w:val="20"/>
        </w:rPr>
        <w:fldChar w:fldCharType="separate"/>
      </w:r>
      <w:r w:rsidR="00FE7695" w:rsidRPr="00296FCD">
        <w:rPr>
          <w:i w:val="0"/>
          <w:iCs w:val="0"/>
          <w:noProof/>
          <w:color w:val="000000" w:themeColor="text1"/>
          <w:sz w:val="20"/>
          <w:szCs w:val="20"/>
          <w:vertAlign w:val="superscript"/>
        </w:rPr>
        <w:t>1–4</w:t>
      </w:r>
      <w:r w:rsidR="00B25C9D" w:rsidRPr="00296FCD">
        <w:rPr>
          <w:i w:val="0"/>
          <w:iCs w:val="0"/>
          <w:noProof/>
          <w:color w:val="000000" w:themeColor="text1"/>
          <w:sz w:val="20"/>
          <w:szCs w:val="20"/>
        </w:rPr>
        <w:fldChar w:fldCharType="end"/>
      </w:r>
      <w:r w:rsidR="0045189D" w:rsidRPr="00296FCD">
        <w:rPr>
          <w:i w:val="0"/>
          <w:iCs w:val="0"/>
          <w:noProof/>
          <w:color w:val="000000" w:themeColor="text1"/>
          <w:sz w:val="20"/>
          <w:szCs w:val="20"/>
        </w:rPr>
        <w:t xml:space="preserve">  </w:t>
      </w:r>
    </w:p>
    <w:p w14:paraId="591DBA93" w14:textId="6F009E43" w:rsidR="006868A3" w:rsidRPr="00833471" w:rsidRDefault="006868A3" w:rsidP="00FA3D6A">
      <w:pPr>
        <w:keepNext/>
      </w:pPr>
    </w:p>
    <w:p w14:paraId="625A0A1C" w14:textId="2FE4C8D8" w:rsidR="006868A3" w:rsidRPr="00833471" w:rsidRDefault="0062437A" w:rsidP="00FA3D6A">
      <w:pPr>
        <w:keepNext/>
      </w:pPr>
      <w:r>
        <w:rPr>
          <w:noProof/>
        </w:rPr>
        <w:drawing>
          <wp:inline distT="0" distB="0" distL="0" distR="0" wp14:anchorId="76F9D0F2" wp14:editId="156A9795">
            <wp:extent cx="5212715" cy="4773104"/>
            <wp:effectExtent l="0" t="0" r="6985" b="8890"/>
            <wp:docPr id="28" name="Picture 2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with low confidence"/>
                    <pic:cNvPicPr/>
                  </pic:nvPicPr>
                  <pic:blipFill rotWithShape="1">
                    <a:blip r:embed="rId9"/>
                    <a:srcRect t="5320" r="9499" b="27848"/>
                    <a:stretch/>
                  </pic:blipFill>
                  <pic:spPr bwMode="auto">
                    <a:xfrm>
                      <a:off x="0" y="0"/>
                      <a:ext cx="5213501" cy="4773824"/>
                    </a:xfrm>
                    <a:prstGeom prst="rect">
                      <a:avLst/>
                    </a:prstGeom>
                    <a:ln>
                      <a:noFill/>
                    </a:ln>
                    <a:extLst>
                      <a:ext uri="{53640926-AAD7-44D8-BBD7-CCE9431645EC}">
                        <a14:shadowObscured xmlns:a14="http://schemas.microsoft.com/office/drawing/2010/main"/>
                      </a:ext>
                    </a:extLst>
                  </pic:spPr>
                </pic:pic>
              </a:graphicData>
            </a:graphic>
          </wp:inline>
        </w:drawing>
      </w:r>
    </w:p>
    <w:p w14:paraId="3342CDDB" w14:textId="3BA94064" w:rsidR="006868A3" w:rsidRPr="00621573" w:rsidRDefault="006868A3" w:rsidP="00FA3D6A">
      <w:pPr>
        <w:pStyle w:val="Caption"/>
        <w:rPr>
          <w:i w:val="0"/>
          <w:iCs w:val="0"/>
          <w:color w:val="000000" w:themeColor="text1"/>
          <w:sz w:val="16"/>
          <w:szCs w:val="16"/>
        </w:rPr>
      </w:pPr>
      <w:bookmarkStart w:id="1" w:name="_Toc134623349"/>
      <w:r w:rsidRPr="00621573">
        <w:rPr>
          <w:rStyle w:val="Heading1Char"/>
          <w:i w:val="0"/>
          <w:iCs w:val="0"/>
          <w:color w:val="000000" w:themeColor="text1"/>
          <w:szCs w:val="20"/>
        </w:rPr>
        <w:t xml:space="preserve">Figure S </w:t>
      </w:r>
      <w:r w:rsidRPr="00621573">
        <w:rPr>
          <w:rStyle w:val="Heading1Char"/>
          <w:i w:val="0"/>
          <w:iCs w:val="0"/>
          <w:color w:val="000000" w:themeColor="text1"/>
          <w:szCs w:val="20"/>
        </w:rPr>
        <w:fldChar w:fldCharType="begin"/>
      </w:r>
      <w:r w:rsidRPr="00621573">
        <w:rPr>
          <w:rStyle w:val="Heading1Char"/>
          <w:i w:val="0"/>
          <w:iCs w:val="0"/>
          <w:color w:val="000000" w:themeColor="text1"/>
          <w:szCs w:val="20"/>
        </w:rPr>
        <w:instrText xml:space="preserve"> SEQ Figure_S \* ARABIC </w:instrText>
      </w:r>
      <w:r w:rsidRPr="00621573">
        <w:rPr>
          <w:rStyle w:val="Heading1Char"/>
          <w:i w:val="0"/>
          <w:iCs w:val="0"/>
          <w:color w:val="000000" w:themeColor="text1"/>
          <w:szCs w:val="20"/>
        </w:rPr>
        <w:fldChar w:fldCharType="separate"/>
      </w:r>
      <w:r w:rsidR="00AA5E09">
        <w:rPr>
          <w:rStyle w:val="Heading1Char"/>
          <w:i w:val="0"/>
          <w:iCs w:val="0"/>
          <w:noProof/>
          <w:color w:val="000000" w:themeColor="text1"/>
          <w:szCs w:val="20"/>
        </w:rPr>
        <w:t>2</w:t>
      </w:r>
      <w:bookmarkEnd w:id="1"/>
      <w:r w:rsidRPr="00621573">
        <w:rPr>
          <w:rStyle w:val="Heading1Char"/>
          <w:i w:val="0"/>
          <w:iCs w:val="0"/>
          <w:color w:val="000000" w:themeColor="text1"/>
          <w:szCs w:val="20"/>
        </w:rPr>
        <w:fldChar w:fldCharType="end"/>
      </w:r>
      <w:r w:rsidR="00330966" w:rsidRPr="00621573">
        <w:rPr>
          <w:i w:val="0"/>
          <w:iCs w:val="0"/>
          <w:noProof/>
          <w:color w:val="000000" w:themeColor="text1"/>
          <w:sz w:val="20"/>
          <w:szCs w:val="20"/>
        </w:rPr>
        <w:t>:</w:t>
      </w:r>
      <w:r w:rsidR="002569D3" w:rsidRPr="00621573">
        <w:rPr>
          <w:i w:val="0"/>
          <w:iCs w:val="0"/>
          <w:noProof/>
          <w:color w:val="000000" w:themeColor="text1"/>
          <w:sz w:val="20"/>
          <w:szCs w:val="20"/>
        </w:rPr>
        <w:t xml:space="preserve"> </w:t>
      </w:r>
      <w:r w:rsidR="00330966" w:rsidRPr="00621573">
        <w:rPr>
          <w:i w:val="0"/>
          <w:iCs w:val="0"/>
          <w:noProof/>
          <w:color w:val="000000" w:themeColor="text1"/>
          <w:sz w:val="20"/>
          <w:szCs w:val="20"/>
        </w:rPr>
        <w:t>Molecular docking of substrates</w:t>
      </w:r>
      <w:r w:rsidR="002F56BB" w:rsidRPr="00621573">
        <w:rPr>
          <w:i w:val="0"/>
          <w:iCs w:val="0"/>
          <w:noProof/>
          <w:color w:val="000000" w:themeColor="text1"/>
          <w:sz w:val="20"/>
          <w:szCs w:val="20"/>
        </w:rPr>
        <w:t xml:space="preserve"> (blue sticks and spheres</w:t>
      </w:r>
      <w:r w:rsidR="00947CC1" w:rsidRPr="00621573">
        <w:rPr>
          <w:i w:val="0"/>
          <w:iCs w:val="0"/>
          <w:noProof/>
          <w:color w:val="000000" w:themeColor="text1"/>
          <w:sz w:val="20"/>
          <w:szCs w:val="20"/>
        </w:rPr>
        <w:t>)</w:t>
      </w:r>
      <w:r w:rsidR="00330966" w:rsidRPr="00621573">
        <w:rPr>
          <w:i w:val="0"/>
          <w:iCs w:val="0"/>
          <w:noProof/>
          <w:color w:val="000000" w:themeColor="text1"/>
          <w:sz w:val="20"/>
          <w:szCs w:val="20"/>
        </w:rPr>
        <w:t xml:space="preserve"> </w:t>
      </w:r>
      <w:r w:rsidR="0023638E" w:rsidRPr="00621573">
        <w:rPr>
          <w:i w:val="0"/>
          <w:iCs w:val="0"/>
          <w:noProof/>
          <w:color w:val="000000" w:themeColor="text1"/>
          <w:sz w:val="20"/>
          <w:szCs w:val="20"/>
        </w:rPr>
        <w:t xml:space="preserve">a) </w:t>
      </w:r>
      <w:r w:rsidR="00330966" w:rsidRPr="00621573">
        <w:rPr>
          <w:i w:val="0"/>
          <w:iCs w:val="0"/>
          <w:noProof/>
          <w:color w:val="000000" w:themeColor="text1"/>
          <w:sz w:val="20"/>
          <w:szCs w:val="20"/>
        </w:rPr>
        <w:t xml:space="preserve">6, </w:t>
      </w:r>
      <w:r w:rsidR="0023638E" w:rsidRPr="00621573">
        <w:rPr>
          <w:i w:val="0"/>
          <w:iCs w:val="0"/>
          <w:noProof/>
          <w:color w:val="000000" w:themeColor="text1"/>
          <w:sz w:val="20"/>
          <w:szCs w:val="20"/>
        </w:rPr>
        <w:t xml:space="preserve">b) </w:t>
      </w:r>
      <w:r w:rsidR="00330966" w:rsidRPr="00621573">
        <w:rPr>
          <w:i w:val="0"/>
          <w:iCs w:val="0"/>
          <w:noProof/>
          <w:color w:val="000000" w:themeColor="text1"/>
          <w:sz w:val="20"/>
          <w:szCs w:val="20"/>
        </w:rPr>
        <w:t>8,</w:t>
      </w:r>
      <w:r w:rsidR="002F56BB" w:rsidRPr="00621573">
        <w:rPr>
          <w:i w:val="0"/>
          <w:iCs w:val="0"/>
          <w:noProof/>
          <w:color w:val="000000" w:themeColor="text1"/>
          <w:sz w:val="20"/>
          <w:szCs w:val="20"/>
        </w:rPr>
        <w:t xml:space="preserve"> </w:t>
      </w:r>
      <w:r w:rsidR="004854BA" w:rsidRPr="00621573">
        <w:rPr>
          <w:i w:val="0"/>
          <w:iCs w:val="0"/>
          <w:noProof/>
          <w:color w:val="000000" w:themeColor="text1"/>
          <w:sz w:val="20"/>
          <w:szCs w:val="20"/>
        </w:rPr>
        <w:t xml:space="preserve">c+d) </w:t>
      </w:r>
      <w:r w:rsidR="002F56BB" w:rsidRPr="00621573">
        <w:rPr>
          <w:i w:val="0"/>
          <w:iCs w:val="0"/>
          <w:noProof/>
          <w:color w:val="000000" w:themeColor="text1"/>
          <w:sz w:val="20"/>
          <w:szCs w:val="20"/>
        </w:rPr>
        <w:t xml:space="preserve">10, </w:t>
      </w:r>
      <w:r w:rsidR="00254158" w:rsidRPr="00621573">
        <w:rPr>
          <w:i w:val="0"/>
          <w:iCs w:val="0"/>
          <w:noProof/>
          <w:color w:val="000000" w:themeColor="text1"/>
          <w:sz w:val="20"/>
          <w:szCs w:val="20"/>
        </w:rPr>
        <w:t xml:space="preserve">e) </w:t>
      </w:r>
      <w:r w:rsidR="002F56BB" w:rsidRPr="00621573">
        <w:rPr>
          <w:i w:val="0"/>
          <w:iCs w:val="0"/>
          <w:noProof/>
          <w:color w:val="000000" w:themeColor="text1"/>
          <w:sz w:val="20"/>
          <w:szCs w:val="20"/>
        </w:rPr>
        <w:t xml:space="preserve">13 </w:t>
      </w:r>
      <w:r w:rsidR="00254158" w:rsidRPr="00621573">
        <w:rPr>
          <w:i w:val="0"/>
          <w:iCs w:val="0"/>
          <w:noProof/>
          <w:color w:val="000000" w:themeColor="text1"/>
          <w:sz w:val="20"/>
          <w:szCs w:val="20"/>
        </w:rPr>
        <w:t xml:space="preserve">and f) </w:t>
      </w:r>
      <w:r w:rsidR="002F56BB" w:rsidRPr="00621573">
        <w:rPr>
          <w:i w:val="0"/>
          <w:iCs w:val="0"/>
          <w:noProof/>
          <w:color w:val="000000" w:themeColor="text1"/>
          <w:sz w:val="20"/>
          <w:szCs w:val="20"/>
        </w:rPr>
        <w:t>15 into the active site of AacSHC</w:t>
      </w:r>
      <w:r w:rsidR="00947CC1" w:rsidRPr="00621573">
        <w:rPr>
          <w:i w:val="0"/>
          <w:iCs w:val="0"/>
          <w:noProof/>
          <w:color w:val="000000" w:themeColor="text1"/>
          <w:sz w:val="20"/>
          <w:szCs w:val="20"/>
        </w:rPr>
        <w:t xml:space="preserve"> </w:t>
      </w:r>
      <w:r w:rsidR="00D14AB1" w:rsidRPr="00621573">
        <w:rPr>
          <w:i w:val="0"/>
          <w:iCs w:val="0"/>
          <w:noProof/>
          <w:color w:val="000000" w:themeColor="text1"/>
          <w:sz w:val="20"/>
          <w:szCs w:val="20"/>
        </w:rPr>
        <w:t>(PDB: 1UMP) using YASARA</w:t>
      </w:r>
      <w:r w:rsidR="00E81BA1">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{"citationItems":[{"id":"ITEM-1","itemData":{"DOI":"10.1007/978-1-4939-7366-8_4","ISSN":"10643745","PMID":"29086303","abstract":"In biocatalysis, structural knowledge regarding an enzyme and its substrate interactions complements and guides experimental investigations. Structural knowledge regarding an enzyme or a biocatalytic reaction system can be generated through computational techniques, such as homology- or molecular modeling. For this type of computational work, a computer program developed for molecular modeling of proteins is required. Here, we describe the use of the program YASARA Structure. Protocols for two specific biocatalytic applications, including both homology modeling and molecular modeling such as energy minimization, molecular docking simulations and molecular dynamics simulations, are shown. The applications are chosen to give realistic examples showing how structural knowledge through homology and molecular modeling is used to guide biocatalytic investigations and protein engineering studies.","author":[{"dropping-particle":"","family":"Land","given":"Henrik","non-dropping-particle":"","parse-names":false,"suffix":""},{"dropping-particle":"","family":"Humble","given":"Maria Svedendahl","non-dropping-particle":"","parse-names":false,"suffix":""}],"container-title":"Methods in Molecular Biology","id":"ITEM-1","issued":{"date-parts":[["2018"]]},"page":"43-67","publisher":"Humana Press Inc.","title":"YASARA: A tool to obtain structural guidance in biocatalytic investigations","type":"chapter","volume":"1685"},"uris":["http://www.mendeley.com/documents/?uuid=8b48984f-26f7-3321-9a87-589a3b7dc87e"]}],"mendeley":{"formattedCitation":"&lt;sup&gt;5&lt;/sup&gt;","plainTextFormattedCitation":"5"},"properties":{"noteIndex":0},"schema":"https://github.com/citation-style-language/schema/raw/master/csl-citation.json"}</w:instrText>
      </w:r>
      <w:r w:rsidR="00E81BA1">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5</w:t>
      </w:r>
      <w:r w:rsidR="00E81BA1">
        <w:rPr>
          <w:i w:val="0"/>
          <w:iCs w:val="0"/>
          <w:noProof/>
          <w:color w:val="000000" w:themeColor="text1"/>
          <w:sz w:val="20"/>
          <w:szCs w:val="20"/>
        </w:rPr>
        <w:fldChar w:fldCharType="end"/>
      </w:r>
      <w:r w:rsidR="00254158" w:rsidRPr="00621573">
        <w:rPr>
          <w:i w:val="0"/>
          <w:iCs w:val="0"/>
          <w:noProof/>
          <w:color w:val="000000" w:themeColor="text1"/>
          <w:sz w:val="20"/>
          <w:szCs w:val="20"/>
        </w:rPr>
        <w:t xml:space="preserve"> </w:t>
      </w:r>
      <w:r w:rsidR="00E81BA1">
        <w:rPr>
          <w:i w:val="0"/>
          <w:iCs w:val="0"/>
          <w:noProof/>
          <w:color w:val="000000" w:themeColor="text1"/>
          <w:sz w:val="20"/>
          <w:szCs w:val="20"/>
        </w:rPr>
        <w:t>with</w:t>
      </w:r>
      <w:r w:rsidR="00254158" w:rsidRPr="00621573">
        <w:rPr>
          <w:i w:val="0"/>
          <w:iCs w:val="0"/>
          <w:noProof/>
          <w:color w:val="000000" w:themeColor="text1"/>
          <w:sz w:val="20"/>
          <w:szCs w:val="20"/>
        </w:rPr>
        <w:t xml:space="preserve"> AutoDock VINA</w:t>
      </w:r>
      <w:r w:rsidR="00D14AB1" w:rsidRPr="00621573">
        <w:rPr>
          <w:i w:val="0"/>
          <w:iCs w:val="0"/>
          <w:noProof/>
          <w:color w:val="000000" w:themeColor="text1"/>
          <w:sz w:val="20"/>
          <w:szCs w:val="20"/>
        </w:rPr>
        <w:t>.</w:t>
      </w:r>
      <w:r w:rsidR="00072D7D" w:rsidRPr="00621573">
        <w:rPr>
          <w:i w:val="0"/>
          <w:iCs w:val="0"/>
          <w:noProof/>
          <w:color w:val="000000" w:themeColor="text1"/>
          <w:sz w:val="20"/>
          <w:szCs w:val="20"/>
        </w:rPr>
        <w:t xml:space="preserve"> </w:t>
      </w:r>
      <w:r w:rsidR="00254158" w:rsidRPr="00621573">
        <w:rPr>
          <w:i w:val="0"/>
          <w:iCs w:val="0"/>
          <w:noProof/>
          <w:color w:val="000000" w:themeColor="text1"/>
          <w:sz w:val="20"/>
          <w:szCs w:val="20"/>
        </w:rPr>
        <w:t xml:space="preserve">For comparison the </w:t>
      </w:r>
      <w:r w:rsidR="00B51BE1" w:rsidRPr="00621573">
        <w:rPr>
          <w:i w:val="0"/>
          <w:iCs w:val="0"/>
          <w:noProof/>
          <w:color w:val="000000" w:themeColor="text1"/>
          <w:sz w:val="20"/>
          <w:szCs w:val="20"/>
        </w:rPr>
        <w:t xml:space="preserve">crystal structure of the protein co-crystallized with aza-squalene is shown </w:t>
      </w:r>
      <w:r w:rsidR="00887F60" w:rsidRPr="00621573">
        <w:rPr>
          <w:i w:val="0"/>
          <w:iCs w:val="0"/>
          <w:noProof/>
          <w:color w:val="000000" w:themeColor="text1"/>
          <w:sz w:val="20"/>
          <w:szCs w:val="20"/>
        </w:rPr>
        <w:t xml:space="preserve">in g) </w:t>
      </w:r>
      <w:r w:rsidR="00B51BE1" w:rsidRPr="00621573">
        <w:rPr>
          <w:i w:val="0"/>
          <w:iCs w:val="0"/>
          <w:noProof/>
          <w:color w:val="000000" w:themeColor="text1"/>
          <w:sz w:val="20"/>
          <w:szCs w:val="20"/>
        </w:rPr>
        <w:t>and aromatic residue</w:t>
      </w:r>
      <w:r w:rsidR="00887F60" w:rsidRPr="00621573">
        <w:rPr>
          <w:i w:val="0"/>
          <w:iCs w:val="0"/>
          <w:noProof/>
          <w:color w:val="000000" w:themeColor="text1"/>
          <w:sz w:val="20"/>
          <w:szCs w:val="20"/>
        </w:rPr>
        <w:t>s are highlighted in orange</w:t>
      </w:r>
      <w:r w:rsidR="00B51BE1" w:rsidRPr="00621573">
        <w:rPr>
          <w:i w:val="0"/>
          <w:iCs w:val="0"/>
          <w:noProof/>
          <w:color w:val="000000" w:themeColor="text1"/>
          <w:sz w:val="20"/>
          <w:szCs w:val="20"/>
        </w:rPr>
        <w:t>.</w:t>
      </w:r>
      <w:r w:rsidR="002366B9" w:rsidRPr="00621573">
        <w:rPr>
          <w:i w:val="0"/>
          <w:iCs w:val="0"/>
          <w:noProof/>
          <w:color w:val="000000" w:themeColor="text1"/>
          <w:sz w:val="20"/>
          <w:szCs w:val="20"/>
        </w:rPr>
        <w:t xml:space="preserve"> </w:t>
      </w:r>
      <w:r w:rsidR="00072D7D" w:rsidRPr="00621573">
        <w:rPr>
          <w:i w:val="0"/>
          <w:iCs w:val="0"/>
          <w:noProof/>
          <w:color w:val="000000" w:themeColor="text1"/>
          <w:sz w:val="20"/>
          <w:szCs w:val="20"/>
        </w:rPr>
        <w:t xml:space="preserve">Protonating aspartate </w:t>
      </w:r>
      <w:r w:rsidR="002366B9" w:rsidRPr="00621573">
        <w:rPr>
          <w:i w:val="0"/>
          <w:iCs w:val="0"/>
          <w:noProof/>
          <w:color w:val="000000" w:themeColor="text1"/>
          <w:sz w:val="20"/>
          <w:szCs w:val="20"/>
        </w:rPr>
        <w:t xml:space="preserve">is </w:t>
      </w:r>
      <w:r w:rsidR="00072D7D" w:rsidRPr="00621573">
        <w:rPr>
          <w:i w:val="0"/>
          <w:iCs w:val="0"/>
          <w:noProof/>
          <w:color w:val="000000" w:themeColor="text1"/>
          <w:sz w:val="20"/>
          <w:szCs w:val="20"/>
        </w:rPr>
        <w:t xml:space="preserve">shown as red sticks. </w:t>
      </w:r>
      <w:r w:rsidR="002366B9" w:rsidRPr="00621573">
        <w:rPr>
          <w:i w:val="0"/>
          <w:iCs w:val="0"/>
          <w:noProof/>
          <w:color w:val="000000" w:themeColor="text1"/>
          <w:sz w:val="20"/>
          <w:szCs w:val="20"/>
        </w:rPr>
        <w:t>For a-f) the m</w:t>
      </w:r>
      <w:r w:rsidR="00B51BE1" w:rsidRPr="00621573">
        <w:rPr>
          <w:i w:val="0"/>
          <w:iCs w:val="0"/>
          <w:noProof/>
          <w:color w:val="000000" w:themeColor="text1"/>
          <w:sz w:val="20"/>
          <w:szCs w:val="20"/>
        </w:rPr>
        <w:t>ost proficient hi</w:t>
      </w:r>
      <w:r w:rsidR="00072D7D" w:rsidRPr="00621573">
        <w:rPr>
          <w:i w:val="0"/>
          <w:iCs w:val="0"/>
          <w:noProof/>
          <w:color w:val="000000" w:themeColor="text1"/>
          <w:sz w:val="20"/>
          <w:szCs w:val="20"/>
        </w:rPr>
        <w:t xml:space="preserve">t positions of the screening </w:t>
      </w:r>
      <w:r w:rsidR="00B51BE1" w:rsidRPr="00621573">
        <w:rPr>
          <w:i w:val="0"/>
          <w:iCs w:val="0"/>
          <w:noProof/>
          <w:color w:val="000000" w:themeColor="text1"/>
          <w:sz w:val="20"/>
          <w:szCs w:val="20"/>
        </w:rPr>
        <w:t>are shown</w:t>
      </w:r>
      <w:r w:rsidR="00072D7D" w:rsidRPr="00621573">
        <w:rPr>
          <w:i w:val="0"/>
          <w:iCs w:val="0"/>
          <w:noProof/>
          <w:color w:val="000000" w:themeColor="text1"/>
          <w:sz w:val="20"/>
          <w:szCs w:val="20"/>
        </w:rPr>
        <w:t xml:space="preserve"> as orange sticks.</w:t>
      </w:r>
      <w:r w:rsidR="00F14AEA" w:rsidRPr="00621573">
        <w:rPr>
          <w:i w:val="0"/>
          <w:iCs w:val="0"/>
          <w:noProof/>
          <w:color w:val="000000" w:themeColor="text1"/>
          <w:sz w:val="20"/>
          <w:szCs w:val="20"/>
        </w:rPr>
        <w:t xml:space="preserve"> The docking shows similar</w:t>
      </w:r>
      <w:r w:rsidR="0052219A" w:rsidRPr="00621573">
        <w:rPr>
          <w:i w:val="0"/>
          <w:iCs w:val="0"/>
          <w:noProof/>
          <w:color w:val="000000" w:themeColor="text1"/>
          <w:sz w:val="20"/>
          <w:szCs w:val="20"/>
        </w:rPr>
        <w:t xml:space="preserve"> productive</w:t>
      </w:r>
      <w:r w:rsidR="00F14AEA" w:rsidRPr="00621573">
        <w:rPr>
          <w:i w:val="0"/>
          <w:iCs w:val="0"/>
          <w:noProof/>
          <w:color w:val="000000" w:themeColor="text1"/>
          <w:sz w:val="20"/>
          <w:szCs w:val="20"/>
        </w:rPr>
        <w:t xml:space="preserve"> pre-folding</w:t>
      </w:r>
      <w:r w:rsidR="0052219A" w:rsidRPr="00621573">
        <w:rPr>
          <w:i w:val="0"/>
          <w:iCs w:val="0"/>
          <w:noProof/>
          <w:color w:val="000000" w:themeColor="text1"/>
          <w:sz w:val="20"/>
          <w:szCs w:val="20"/>
        </w:rPr>
        <w:t>s</w:t>
      </w:r>
      <w:r w:rsidR="00E257C1" w:rsidRPr="00621573">
        <w:rPr>
          <w:i w:val="0"/>
          <w:iCs w:val="0"/>
          <w:noProof/>
          <w:color w:val="000000" w:themeColor="text1"/>
          <w:sz w:val="20"/>
          <w:szCs w:val="20"/>
        </w:rPr>
        <w:t xml:space="preserve"> tightly packed in the active site of AacSHC</w:t>
      </w:r>
      <w:r w:rsidR="00F14AEA" w:rsidRPr="00621573">
        <w:rPr>
          <w:i w:val="0"/>
          <w:iCs w:val="0"/>
          <w:noProof/>
          <w:color w:val="000000" w:themeColor="text1"/>
          <w:sz w:val="20"/>
          <w:szCs w:val="20"/>
        </w:rPr>
        <w:t xml:space="preserve"> for all substrates, which suggests </w:t>
      </w:r>
      <w:r w:rsidR="0052219A" w:rsidRPr="00621573">
        <w:rPr>
          <w:i w:val="0"/>
          <w:iCs w:val="0"/>
          <w:noProof/>
          <w:color w:val="000000" w:themeColor="text1"/>
          <w:sz w:val="20"/>
          <w:szCs w:val="20"/>
        </w:rPr>
        <w:t>the same expected stereochemistry.</w:t>
      </w:r>
    </w:p>
    <w:p w14:paraId="2DD4F987" w14:textId="77777777" w:rsidR="006868A3" w:rsidRPr="00833471" w:rsidRDefault="006868A3" w:rsidP="00FA3D6A">
      <w:pPr>
        <w:keepNext/>
      </w:pPr>
      <w:r w:rsidRPr="00833471">
        <w:rPr>
          <w:rFonts w:eastAsiaTheme="majorEastAsia" w:cs="Arial"/>
          <w:b/>
          <w:bCs/>
          <w:noProof/>
          <w:sz w:val="28"/>
          <w:szCs w:val="32"/>
        </w:rPr>
        <w:lastRenderedPageBreak/>
        <w:drawing>
          <wp:inline distT="0" distB="0" distL="0" distR="0" wp14:anchorId="51317645" wp14:editId="1D749782">
            <wp:extent cx="5760464" cy="5320827"/>
            <wp:effectExtent l="0" t="0" r="0" b="0"/>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pic:nvPicPr>
                  <pic:blipFill rotWithShape="1">
                    <a:blip r:embed="rId10"/>
                    <a:srcRect t="6798" b="18710"/>
                    <a:stretch/>
                  </pic:blipFill>
                  <pic:spPr bwMode="auto">
                    <a:xfrm>
                      <a:off x="0" y="0"/>
                      <a:ext cx="5760720" cy="5321063"/>
                    </a:xfrm>
                    <a:prstGeom prst="rect">
                      <a:avLst/>
                    </a:prstGeom>
                    <a:ln>
                      <a:noFill/>
                    </a:ln>
                    <a:extLst>
                      <a:ext uri="{53640926-AAD7-44D8-BBD7-CCE9431645EC}">
                        <a14:shadowObscured xmlns:a14="http://schemas.microsoft.com/office/drawing/2010/main"/>
                      </a:ext>
                    </a:extLst>
                  </pic:spPr>
                </pic:pic>
              </a:graphicData>
            </a:graphic>
          </wp:inline>
        </w:drawing>
      </w:r>
    </w:p>
    <w:p w14:paraId="5E756BAF" w14:textId="33DDA6DD" w:rsidR="006868A3" w:rsidRPr="002569D3" w:rsidRDefault="006868A3" w:rsidP="00FA3D6A">
      <w:pPr>
        <w:pStyle w:val="Caption"/>
        <w:rPr>
          <w:i w:val="0"/>
          <w:iCs w:val="0"/>
          <w:color w:val="000000" w:themeColor="text1"/>
          <w:sz w:val="22"/>
          <w:szCs w:val="22"/>
        </w:rPr>
      </w:pPr>
      <w:bookmarkStart w:id="2" w:name="_Toc134623350"/>
      <w:r w:rsidRPr="00C604EC">
        <w:rPr>
          <w:rStyle w:val="Heading1Char"/>
          <w:i w:val="0"/>
          <w:iCs w:val="0"/>
          <w:color w:val="000000" w:themeColor="text1"/>
          <w:szCs w:val="20"/>
        </w:rPr>
        <w:t xml:space="preserve">Figure S </w:t>
      </w:r>
      <w:r w:rsidRPr="00C604EC">
        <w:rPr>
          <w:rStyle w:val="Heading1Char"/>
          <w:i w:val="0"/>
          <w:iCs w:val="0"/>
          <w:color w:val="000000" w:themeColor="text1"/>
          <w:szCs w:val="20"/>
        </w:rPr>
        <w:fldChar w:fldCharType="begin"/>
      </w:r>
      <w:r w:rsidRPr="00C604EC">
        <w:rPr>
          <w:rStyle w:val="Heading1Char"/>
          <w:i w:val="0"/>
          <w:iCs w:val="0"/>
          <w:color w:val="000000" w:themeColor="text1"/>
          <w:szCs w:val="20"/>
        </w:rPr>
        <w:instrText xml:space="preserve"> SEQ Figure_S \* ARABIC </w:instrText>
      </w:r>
      <w:r w:rsidRPr="00C604EC">
        <w:rPr>
          <w:rStyle w:val="Heading1Char"/>
          <w:i w:val="0"/>
          <w:iCs w:val="0"/>
          <w:color w:val="000000" w:themeColor="text1"/>
          <w:szCs w:val="20"/>
        </w:rPr>
        <w:fldChar w:fldCharType="separate"/>
      </w:r>
      <w:r w:rsidR="00AA5E09">
        <w:rPr>
          <w:rStyle w:val="Heading1Char"/>
          <w:i w:val="0"/>
          <w:iCs w:val="0"/>
          <w:noProof/>
          <w:color w:val="000000" w:themeColor="text1"/>
          <w:szCs w:val="20"/>
        </w:rPr>
        <w:t>3</w:t>
      </w:r>
      <w:bookmarkEnd w:id="2"/>
      <w:r w:rsidRPr="00C604EC">
        <w:rPr>
          <w:rStyle w:val="Heading1Char"/>
          <w:i w:val="0"/>
          <w:iCs w:val="0"/>
          <w:color w:val="000000" w:themeColor="text1"/>
          <w:szCs w:val="20"/>
        </w:rPr>
        <w:fldChar w:fldCharType="end"/>
      </w:r>
      <w:r w:rsidR="001A011B" w:rsidRPr="002569D3">
        <w:rPr>
          <w:i w:val="0"/>
          <w:iCs w:val="0"/>
          <w:noProof/>
          <w:color w:val="000000" w:themeColor="text1"/>
          <w:sz w:val="22"/>
          <w:szCs w:val="22"/>
        </w:rPr>
        <w:t xml:space="preserve">: </w:t>
      </w:r>
      <w:r w:rsidR="00EE4506" w:rsidRPr="00C604EC">
        <w:rPr>
          <w:i w:val="0"/>
          <w:iCs w:val="0"/>
          <w:noProof/>
          <w:color w:val="000000" w:themeColor="text1"/>
          <w:sz w:val="20"/>
          <w:szCs w:val="20"/>
        </w:rPr>
        <w:t>Results of t</w:t>
      </w:r>
      <w:r w:rsidR="00C604EC" w:rsidRPr="00C604EC">
        <w:rPr>
          <w:i w:val="0"/>
          <w:iCs w:val="0"/>
          <w:noProof/>
          <w:color w:val="000000" w:themeColor="text1"/>
          <w:sz w:val="20"/>
          <w:szCs w:val="20"/>
        </w:rPr>
        <w:t>h</w:t>
      </w:r>
      <w:r w:rsidR="00EE4506" w:rsidRPr="00C604EC">
        <w:rPr>
          <w:i w:val="0"/>
          <w:iCs w:val="0"/>
          <w:noProof/>
          <w:color w:val="000000" w:themeColor="text1"/>
          <w:sz w:val="20"/>
          <w:szCs w:val="20"/>
        </w:rPr>
        <w:t xml:space="preserve">e </w:t>
      </w:r>
      <w:r w:rsidR="00EE4506" w:rsidRPr="00ED00A9">
        <w:rPr>
          <w:i w:val="0"/>
          <w:iCs w:val="0"/>
          <w:noProof/>
          <w:color w:val="000000" w:themeColor="text1"/>
          <w:sz w:val="20"/>
          <w:szCs w:val="20"/>
        </w:rPr>
        <w:t>i</w:t>
      </w:r>
      <w:r w:rsidR="00C604EC" w:rsidRPr="00ED00A9">
        <w:rPr>
          <w:i w:val="0"/>
          <w:iCs w:val="0"/>
          <w:noProof/>
          <w:color w:val="000000" w:themeColor="text1"/>
          <w:sz w:val="20"/>
          <w:szCs w:val="20"/>
        </w:rPr>
        <w:t>n</w:t>
      </w:r>
      <w:r w:rsidR="00EF0E6E" w:rsidRPr="00ED00A9">
        <w:rPr>
          <w:i w:val="0"/>
          <w:iCs w:val="0"/>
          <w:noProof/>
          <w:color w:val="000000" w:themeColor="text1"/>
          <w:sz w:val="20"/>
          <w:szCs w:val="20"/>
        </w:rPr>
        <w:t xml:space="preserve">ternal SHC library screening </w:t>
      </w:r>
      <w:r w:rsidR="00C12937" w:rsidRPr="00ED00A9">
        <w:rPr>
          <w:i w:val="0"/>
          <w:iCs w:val="0"/>
          <w:noProof/>
          <w:color w:val="000000" w:themeColor="text1"/>
          <w:sz w:val="20"/>
          <w:szCs w:val="20"/>
        </w:rPr>
        <w:t>for cyclization of</w:t>
      </w:r>
      <w:r w:rsidR="00EF0E6E" w:rsidRPr="00ED00A9">
        <w:rPr>
          <w:noProof/>
          <w:color w:val="000000" w:themeColor="text1"/>
          <w:sz w:val="20"/>
          <w:szCs w:val="20"/>
        </w:rPr>
        <w:t xml:space="preserve"> E</w:t>
      </w:r>
      <w:r w:rsidR="00EF0E6E" w:rsidRPr="00ED00A9">
        <w:rPr>
          <w:i w:val="0"/>
          <w:iCs w:val="0"/>
          <w:noProof/>
          <w:color w:val="000000" w:themeColor="text1"/>
          <w:sz w:val="20"/>
          <w:szCs w:val="20"/>
        </w:rPr>
        <w:t>-geranyl acet</w:t>
      </w:r>
      <w:r w:rsidR="00EE4506" w:rsidRPr="00ED00A9">
        <w:rPr>
          <w:i w:val="0"/>
          <w:iCs w:val="0"/>
          <w:noProof/>
          <w:color w:val="000000" w:themeColor="text1"/>
          <w:sz w:val="20"/>
          <w:szCs w:val="20"/>
        </w:rPr>
        <w:t>ate</w:t>
      </w:r>
      <w:r w:rsidR="002366B9" w:rsidRPr="00ED00A9">
        <w:rPr>
          <w:i w:val="0"/>
          <w:iCs w:val="0"/>
          <w:noProof/>
          <w:color w:val="000000" w:themeColor="text1"/>
          <w:sz w:val="20"/>
          <w:szCs w:val="20"/>
        </w:rPr>
        <w:t xml:space="preserve"> 6</w:t>
      </w:r>
      <w:r w:rsidR="00C604EC" w:rsidRPr="00ED00A9">
        <w:rPr>
          <w:i w:val="0"/>
          <w:iCs w:val="0"/>
          <w:noProof/>
          <w:color w:val="000000" w:themeColor="text1"/>
          <w:sz w:val="20"/>
          <w:szCs w:val="20"/>
        </w:rPr>
        <w:t xml:space="preserve"> to</w:t>
      </w:r>
      <w:r w:rsidR="00C12937" w:rsidRPr="00ED00A9">
        <w:rPr>
          <w:i w:val="0"/>
          <w:iCs w:val="0"/>
          <w:noProof/>
          <w:color w:val="000000" w:themeColor="text1"/>
          <w:sz w:val="20"/>
          <w:szCs w:val="20"/>
        </w:rPr>
        <w:t xml:space="preserve"> </w:t>
      </w:r>
      <w:r w:rsidR="00C604EC" w:rsidRPr="00ED00A9">
        <w:rPr>
          <w:i w:val="0"/>
          <w:iCs w:val="0"/>
          <w:noProof/>
          <w:color w:val="000000" w:themeColor="text1"/>
          <w:sz w:val="20"/>
          <w:szCs w:val="20"/>
        </w:rPr>
        <w:t xml:space="preserve"> main product 7 and side products S1-7 and S2-7</w:t>
      </w:r>
      <w:r w:rsidR="00EE4506" w:rsidRPr="00ED00A9">
        <w:rPr>
          <w:i w:val="0"/>
          <w:iCs w:val="0"/>
          <w:noProof/>
          <w:color w:val="000000" w:themeColor="text1"/>
          <w:sz w:val="20"/>
          <w:szCs w:val="20"/>
        </w:rPr>
        <w:t xml:space="preserve">. </w:t>
      </w:r>
      <w:r w:rsidR="00C604EC" w:rsidRPr="00ED00A9">
        <w:rPr>
          <w:i w:val="0"/>
          <w:iCs w:val="0"/>
          <w:noProof/>
          <w:color w:val="000000" w:themeColor="text1"/>
          <w:sz w:val="20"/>
          <w:szCs w:val="20"/>
        </w:rPr>
        <w:t xml:space="preserve">Products were identified by </w:t>
      </w:r>
      <w:r w:rsidR="00E61D19" w:rsidRPr="00ED00A9">
        <w:rPr>
          <w:i w:val="0"/>
          <w:iCs w:val="0"/>
          <w:noProof/>
          <w:color w:val="000000" w:themeColor="text1"/>
          <w:sz w:val="20"/>
          <w:szCs w:val="20"/>
        </w:rPr>
        <w:t>NMR</w:t>
      </w:r>
      <w:r w:rsidR="00C604EC" w:rsidRPr="00ED00A9">
        <w:rPr>
          <w:i w:val="0"/>
          <w:iCs w:val="0"/>
          <w:noProof/>
          <w:color w:val="000000" w:themeColor="text1"/>
          <w:sz w:val="20"/>
          <w:szCs w:val="20"/>
        </w:rPr>
        <w:t>.</w:t>
      </w:r>
      <w:r w:rsidR="00753C64" w:rsidRPr="00ED00A9">
        <w:rPr>
          <w:i w:val="0"/>
          <w:iCs w:val="0"/>
          <w:noProof/>
          <w:color w:val="000000" w:themeColor="text1"/>
          <w:sz w:val="20"/>
          <w:szCs w:val="20"/>
        </w:rPr>
        <w:t xml:space="preserve"> </w:t>
      </w:r>
      <w:r w:rsidR="00BB6B27" w:rsidRPr="00ED00A9">
        <w:rPr>
          <w:i w:val="0"/>
          <w:iCs w:val="0"/>
          <w:noProof/>
          <w:color w:val="000000" w:themeColor="text1"/>
          <w:sz w:val="20"/>
          <w:szCs w:val="20"/>
        </w:rPr>
        <w:t>Variants were plotted against their GC conversion</w:t>
      </w:r>
      <w:r w:rsidR="00753C64" w:rsidRPr="00ED00A9">
        <w:rPr>
          <w:i w:val="0"/>
          <w:iCs w:val="0"/>
          <w:noProof/>
          <w:color w:val="000000" w:themeColor="text1"/>
          <w:sz w:val="20"/>
          <w:szCs w:val="20"/>
        </w:rPr>
        <w:t xml:space="preserve"> (lower columns)</w:t>
      </w:r>
      <w:r w:rsidR="00BB6B27" w:rsidRPr="00ED00A9">
        <w:rPr>
          <w:i w:val="0"/>
          <w:iCs w:val="0"/>
          <w:noProof/>
          <w:color w:val="000000" w:themeColor="text1"/>
          <w:sz w:val="20"/>
          <w:szCs w:val="20"/>
        </w:rPr>
        <w:t xml:space="preserve"> and </w:t>
      </w:r>
      <w:r w:rsidR="00753C64" w:rsidRPr="00ED00A9">
        <w:rPr>
          <w:i w:val="0"/>
          <w:iCs w:val="0"/>
          <w:noProof/>
          <w:color w:val="000000" w:themeColor="text1"/>
          <w:sz w:val="20"/>
          <w:szCs w:val="20"/>
        </w:rPr>
        <w:t>selectivity (upper columns). GC conversion and selectivity was determined as [Area_product]/[Area_substrate+Area_products].</w:t>
      </w:r>
      <w:r w:rsidR="007D35E8" w:rsidRPr="00ED00A9">
        <w:rPr>
          <w:i w:val="0"/>
          <w:iCs w:val="0"/>
          <w:noProof/>
          <w:color w:val="000000" w:themeColor="text1"/>
          <w:sz w:val="20"/>
          <w:szCs w:val="20"/>
        </w:rPr>
        <w:t xml:space="preserve"> Conditions: 1</w:t>
      </w:r>
      <w:r w:rsidR="007D35E8">
        <w:rPr>
          <w:i w:val="0"/>
          <w:iCs w:val="0"/>
          <w:noProof/>
          <w:color w:val="000000" w:themeColor="text1"/>
          <w:sz w:val="20"/>
          <w:szCs w:val="20"/>
        </w:rPr>
        <w:t xml:space="preserve"> mM substrate, </w:t>
      </w:r>
      <w:r w:rsidR="007D35E8" w:rsidRPr="006967AD">
        <w:rPr>
          <w:noProof/>
          <w:color w:val="000000" w:themeColor="text1"/>
          <w:sz w:val="20"/>
          <w:szCs w:val="20"/>
        </w:rPr>
        <w:t xml:space="preserve">E. coli </w:t>
      </w:r>
      <w:r w:rsidR="007D35E8">
        <w:rPr>
          <w:i w:val="0"/>
          <w:iCs w:val="0"/>
          <w:noProof/>
          <w:color w:val="000000" w:themeColor="text1"/>
          <w:sz w:val="20"/>
          <w:szCs w:val="20"/>
        </w:rPr>
        <w:t>cells expressing SHC variant, OD = 20, 30 °C, 20 h. Enzyme expression was controlled via SDS-PAGE. Best hits were then compared in an</w:t>
      </w:r>
      <w:r w:rsidR="002020E7">
        <w:rPr>
          <w:i w:val="0"/>
          <w:iCs w:val="0"/>
          <w:noProof/>
          <w:color w:val="000000" w:themeColor="text1"/>
          <w:sz w:val="20"/>
          <w:szCs w:val="20"/>
        </w:rPr>
        <w:t>aly</w:t>
      </w:r>
      <w:r w:rsidR="007D35E8">
        <w:rPr>
          <w:i w:val="0"/>
          <w:iCs w:val="0"/>
          <w:noProof/>
          <w:color w:val="000000" w:themeColor="text1"/>
          <w:sz w:val="20"/>
          <w:szCs w:val="20"/>
        </w:rPr>
        <w:t>tical biotransformations in water.</w:t>
      </w:r>
    </w:p>
    <w:p w14:paraId="2315530D" w14:textId="77777777" w:rsidR="006868A3" w:rsidRPr="00833471" w:rsidRDefault="006868A3" w:rsidP="00FA3D6A">
      <w:pPr>
        <w:keepNext/>
      </w:pPr>
      <w:r w:rsidRPr="00833471">
        <w:rPr>
          <w:rFonts w:eastAsiaTheme="majorEastAsia" w:cs="Arial"/>
          <w:b/>
          <w:bCs/>
          <w:noProof/>
          <w:sz w:val="28"/>
          <w:szCs w:val="32"/>
        </w:rPr>
        <w:lastRenderedPageBreak/>
        <w:drawing>
          <wp:inline distT="0" distB="0" distL="0" distR="0" wp14:anchorId="09A83783" wp14:editId="23A9221C">
            <wp:extent cx="5760720" cy="6891618"/>
            <wp:effectExtent l="0" t="0" r="0" b="508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11"/>
                    <a:srcRect b="3521"/>
                    <a:stretch/>
                  </pic:blipFill>
                  <pic:spPr bwMode="auto">
                    <a:xfrm>
                      <a:off x="0" y="0"/>
                      <a:ext cx="5760720" cy="6891618"/>
                    </a:xfrm>
                    <a:prstGeom prst="rect">
                      <a:avLst/>
                    </a:prstGeom>
                    <a:ln>
                      <a:noFill/>
                    </a:ln>
                    <a:extLst>
                      <a:ext uri="{53640926-AAD7-44D8-BBD7-CCE9431645EC}">
                        <a14:shadowObscured xmlns:a14="http://schemas.microsoft.com/office/drawing/2010/main"/>
                      </a:ext>
                    </a:extLst>
                  </pic:spPr>
                </pic:pic>
              </a:graphicData>
            </a:graphic>
          </wp:inline>
        </w:drawing>
      </w:r>
    </w:p>
    <w:p w14:paraId="041FE45B" w14:textId="55ED6664" w:rsidR="006868A3" w:rsidRPr="000D43AB" w:rsidRDefault="006868A3" w:rsidP="00FA3D6A">
      <w:pPr>
        <w:pStyle w:val="Caption"/>
        <w:rPr>
          <w:i w:val="0"/>
          <w:iCs w:val="0"/>
          <w:color w:val="000000" w:themeColor="text1"/>
        </w:rPr>
      </w:pPr>
      <w:bookmarkStart w:id="3" w:name="_Toc134623351"/>
      <w:r w:rsidRPr="00C604EC">
        <w:rPr>
          <w:rStyle w:val="Heading1Char"/>
          <w:i w:val="0"/>
          <w:iCs w:val="0"/>
          <w:color w:val="auto"/>
          <w:szCs w:val="36"/>
        </w:rPr>
        <w:t xml:space="preserve">Figure S </w:t>
      </w:r>
      <w:r w:rsidRPr="00C604EC">
        <w:rPr>
          <w:rStyle w:val="Heading1Char"/>
          <w:i w:val="0"/>
          <w:iCs w:val="0"/>
          <w:color w:val="auto"/>
          <w:szCs w:val="36"/>
        </w:rPr>
        <w:fldChar w:fldCharType="begin"/>
      </w:r>
      <w:r w:rsidRPr="00C604EC">
        <w:rPr>
          <w:rStyle w:val="Heading1Char"/>
          <w:i w:val="0"/>
          <w:iCs w:val="0"/>
          <w:color w:val="auto"/>
          <w:szCs w:val="36"/>
        </w:rPr>
        <w:instrText xml:space="preserve"> SEQ Figure_S \* ARABIC </w:instrText>
      </w:r>
      <w:r w:rsidRPr="00C604EC">
        <w:rPr>
          <w:rStyle w:val="Heading1Char"/>
          <w:i w:val="0"/>
          <w:iCs w:val="0"/>
          <w:color w:val="auto"/>
          <w:szCs w:val="36"/>
        </w:rPr>
        <w:fldChar w:fldCharType="separate"/>
      </w:r>
      <w:r w:rsidR="00AA5E09">
        <w:rPr>
          <w:rStyle w:val="Heading1Char"/>
          <w:i w:val="0"/>
          <w:iCs w:val="0"/>
          <w:noProof/>
          <w:color w:val="auto"/>
          <w:szCs w:val="36"/>
        </w:rPr>
        <w:t>4</w:t>
      </w:r>
      <w:bookmarkEnd w:id="3"/>
      <w:r w:rsidRPr="00C604EC">
        <w:rPr>
          <w:rStyle w:val="Heading1Char"/>
          <w:i w:val="0"/>
          <w:iCs w:val="0"/>
          <w:color w:val="auto"/>
          <w:szCs w:val="36"/>
        </w:rPr>
        <w:fldChar w:fldCharType="end"/>
      </w:r>
      <w:r w:rsidR="0081693C" w:rsidRPr="000D43AB">
        <w:rPr>
          <w:i w:val="0"/>
          <w:iCs w:val="0"/>
          <w:noProof/>
          <w:color w:val="000000" w:themeColor="text1"/>
        </w:rPr>
        <w:t xml:space="preserve">: </w:t>
      </w:r>
      <w:r w:rsidR="0081693C" w:rsidRPr="00753C64">
        <w:rPr>
          <w:i w:val="0"/>
          <w:iCs w:val="0"/>
          <w:noProof/>
          <w:color w:val="000000" w:themeColor="text1"/>
          <w:sz w:val="20"/>
          <w:szCs w:val="20"/>
        </w:rPr>
        <w:t>Results of t</w:t>
      </w:r>
      <w:r w:rsidR="00C604EC" w:rsidRPr="00753C64">
        <w:rPr>
          <w:i w:val="0"/>
          <w:iCs w:val="0"/>
          <w:noProof/>
          <w:color w:val="000000" w:themeColor="text1"/>
          <w:sz w:val="20"/>
          <w:szCs w:val="20"/>
        </w:rPr>
        <w:t>h</w:t>
      </w:r>
      <w:r w:rsidR="0081693C" w:rsidRPr="00753C64">
        <w:rPr>
          <w:i w:val="0"/>
          <w:iCs w:val="0"/>
          <w:noProof/>
          <w:color w:val="000000" w:themeColor="text1"/>
          <w:sz w:val="20"/>
          <w:szCs w:val="20"/>
        </w:rPr>
        <w:t>e i</w:t>
      </w:r>
      <w:r w:rsidR="00C604EC" w:rsidRPr="00753C64">
        <w:rPr>
          <w:i w:val="0"/>
          <w:iCs w:val="0"/>
          <w:noProof/>
          <w:color w:val="000000" w:themeColor="text1"/>
          <w:sz w:val="20"/>
          <w:szCs w:val="20"/>
        </w:rPr>
        <w:t>n</w:t>
      </w:r>
      <w:r w:rsidR="0081693C" w:rsidRPr="00753C64">
        <w:rPr>
          <w:i w:val="0"/>
          <w:iCs w:val="0"/>
          <w:noProof/>
          <w:color w:val="000000" w:themeColor="text1"/>
          <w:sz w:val="20"/>
          <w:szCs w:val="20"/>
        </w:rPr>
        <w:t xml:space="preserve">ternal SHC library screening </w:t>
      </w:r>
      <w:r w:rsidR="00C12937">
        <w:rPr>
          <w:i w:val="0"/>
          <w:iCs w:val="0"/>
          <w:noProof/>
          <w:color w:val="000000" w:themeColor="text1"/>
          <w:sz w:val="20"/>
          <w:szCs w:val="20"/>
        </w:rPr>
        <w:t xml:space="preserve">for cyclization </w:t>
      </w:r>
      <w:r w:rsidR="0081693C" w:rsidRPr="00753C64">
        <w:rPr>
          <w:i w:val="0"/>
          <w:iCs w:val="0"/>
          <w:noProof/>
          <w:color w:val="000000" w:themeColor="text1"/>
          <w:sz w:val="20"/>
          <w:szCs w:val="20"/>
        </w:rPr>
        <w:t xml:space="preserve">of </w:t>
      </w:r>
      <w:r w:rsidR="0081693C" w:rsidRPr="00753C64">
        <w:rPr>
          <w:noProof/>
          <w:color w:val="000000" w:themeColor="text1"/>
          <w:sz w:val="20"/>
          <w:szCs w:val="20"/>
        </w:rPr>
        <w:t>E</w:t>
      </w:r>
      <w:r w:rsidR="0081693C" w:rsidRPr="00753C64">
        <w:rPr>
          <w:i w:val="0"/>
          <w:iCs w:val="0"/>
          <w:noProof/>
          <w:color w:val="000000" w:themeColor="text1"/>
          <w:sz w:val="20"/>
          <w:szCs w:val="20"/>
        </w:rPr>
        <w:t>,</w:t>
      </w:r>
      <w:r w:rsidR="0081693C" w:rsidRPr="00753C64">
        <w:rPr>
          <w:noProof/>
          <w:color w:val="000000" w:themeColor="text1"/>
          <w:sz w:val="20"/>
          <w:szCs w:val="20"/>
        </w:rPr>
        <w:t>E</w:t>
      </w:r>
      <w:r w:rsidR="0081693C" w:rsidRPr="00753C64">
        <w:rPr>
          <w:i w:val="0"/>
          <w:iCs w:val="0"/>
          <w:noProof/>
          <w:color w:val="000000" w:themeColor="text1"/>
          <w:sz w:val="20"/>
          <w:szCs w:val="20"/>
        </w:rPr>
        <w:t>-farnesol</w:t>
      </w:r>
      <w:r w:rsidR="009A4824" w:rsidRPr="00ED00A9">
        <w:rPr>
          <w:i w:val="0"/>
          <w:iCs w:val="0"/>
          <w:noProof/>
          <w:color w:val="000000" w:themeColor="text1"/>
          <w:sz w:val="20"/>
          <w:szCs w:val="20"/>
        </w:rPr>
        <w:t xml:space="preserve"> 8</w:t>
      </w:r>
      <w:r w:rsidR="009A4824" w:rsidRPr="00753C64">
        <w:rPr>
          <w:i w:val="0"/>
          <w:iCs w:val="0"/>
          <w:noProof/>
          <w:color w:val="000000" w:themeColor="text1"/>
          <w:sz w:val="20"/>
          <w:szCs w:val="20"/>
        </w:rPr>
        <w:t xml:space="preserve"> to desired cyclohydration product </w:t>
      </w:r>
      <w:r w:rsidR="009A4824" w:rsidRPr="00ED00A9">
        <w:rPr>
          <w:i w:val="0"/>
          <w:iCs w:val="0"/>
          <w:noProof/>
          <w:color w:val="000000" w:themeColor="text1"/>
          <w:sz w:val="20"/>
          <w:szCs w:val="20"/>
        </w:rPr>
        <w:t>9 and products</w:t>
      </w:r>
      <w:r w:rsidR="00EE5F8D" w:rsidRPr="00ED00A9">
        <w:rPr>
          <w:i w:val="0"/>
          <w:iCs w:val="0"/>
          <w:noProof/>
          <w:color w:val="000000" w:themeColor="text1"/>
          <w:sz w:val="20"/>
          <w:szCs w:val="20"/>
        </w:rPr>
        <w:t xml:space="preserve"> S1-9, S2-9 and S3-9</w:t>
      </w:r>
      <w:r w:rsidR="0018524C" w:rsidRPr="00ED00A9">
        <w:rPr>
          <w:i w:val="0"/>
          <w:iCs w:val="0"/>
          <w:noProof/>
          <w:color w:val="000000" w:themeColor="text1"/>
          <w:sz w:val="20"/>
          <w:szCs w:val="20"/>
        </w:rPr>
        <w:t xml:space="preserve"> among other unidentied side-products</w:t>
      </w:r>
      <w:r w:rsidR="0081693C" w:rsidRPr="00ED00A9">
        <w:rPr>
          <w:i w:val="0"/>
          <w:iCs w:val="0"/>
          <w:noProof/>
          <w:color w:val="000000" w:themeColor="text1"/>
          <w:sz w:val="20"/>
          <w:szCs w:val="20"/>
        </w:rPr>
        <w:t>.</w:t>
      </w:r>
      <w:r w:rsidR="00EE5F8D" w:rsidRPr="00ED00A9">
        <w:rPr>
          <w:i w:val="0"/>
          <w:iCs w:val="0"/>
          <w:noProof/>
          <w:color w:val="000000" w:themeColor="text1"/>
          <w:sz w:val="20"/>
          <w:szCs w:val="20"/>
        </w:rPr>
        <w:t xml:space="preserve"> Prodcuts were identified by </w:t>
      </w:r>
      <w:r w:rsidR="00E61D19" w:rsidRPr="00ED00A9">
        <w:rPr>
          <w:i w:val="0"/>
          <w:iCs w:val="0"/>
          <w:noProof/>
          <w:color w:val="000000" w:themeColor="text1"/>
          <w:sz w:val="20"/>
          <w:szCs w:val="20"/>
        </w:rPr>
        <w:t>NMR</w:t>
      </w:r>
      <w:r w:rsidR="00EE5F8D" w:rsidRPr="00ED00A9">
        <w:rPr>
          <w:i w:val="0"/>
          <w:iCs w:val="0"/>
          <w:noProof/>
          <w:color w:val="000000" w:themeColor="text1"/>
          <w:sz w:val="20"/>
          <w:szCs w:val="20"/>
        </w:rPr>
        <w:t>. Relative stereochemistry</w:t>
      </w:r>
      <w:r w:rsidR="00F14AEA" w:rsidRPr="00ED00A9">
        <w:rPr>
          <w:i w:val="0"/>
          <w:iCs w:val="0"/>
          <w:noProof/>
          <w:color w:val="000000" w:themeColor="text1"/>
          <w:sz w:val="20"/>
          <w:szCs w:val="20"/>
        </w:rPr>
        <w:t xml:space="preserve"> of </w:t>
      </w:r>
      <w:r w:rsidR="009B0E10" w:rsidRPr="00ED00A9">
        <w:rPr>
          <w:i w:val="0"/>
          <w:iCs w:val="0"/>
          <w:noProof/>
          <w:color w:val="000000" w:themeColor="text1"/>
          <w:sz w:val="20"/>
          <w:szCs w:val="20"/>
        </w:rPr>
        <w:t>S1-9</w:t>
      </w:r>
      <w:r w:rsidR="009B0E10" w:rsidRPr="00753C64">
        <w:rPr>
          <w:i w:val="0"/>
          <w:iCs w:val="0"/>
          <w:noProof/>
          <w:color w:val="000000" w:themeColor="text1"/>
          <w:sz w:val="20"/>
          <w:szCs w:val="20"/>
        </w:rPr>
        <w:t xml:space="preserve"> was determined by NOESY (see NMR section).</w:t>
      </w:r>
      <w:r w:rsidR="0081693C" w:rsidRPr="00753C64">
        <w:rPr>
          <w:i w:val="0"/>
          <w:iCs w:val="0"/>
          <w:noProof/>
          <w:color w:val="000000" w:themeColor="text1"/>
          <w:sz w:val="20"/>
          <w:szCs w:val="20"/>
        </w:rPr>
        <w:t xml:space="preserve"> </w:t>
      </w:r>
      <w:r w:rsidR="00753C64" w:rsidRPr="00753C64">
        <w:rPr>
          <w:i w:val="0"/>
          <w:iCs w:val="0"/>
          <w:noProof/>
          <w:color w:val="000000" w:themeColor="text1"/>
          <w:sz w:val="20"/>
          <w:szCs w:val="20"/>
        </w:rPr>
        <w:t>Variants were plotted against their GC conversion (lower columns) and selectivity (upper columns). GC conversion and selectivity was determined as [Area_product]/[Area_substrate+Area_products].</w:t>
      </w:r>
      <w:r w:rsidR="006967AD">
        <w:rPr>
          <w:i w:val="0"/>
          <w:iCs w:val="0"/>
          <w:noProof/>
          <w:color w:val="000000" w:themeColor="text1"/>
          <w:sz w:val="20"/>
          <w:szCs w:val="20"/>
        </w:rPr>
        <w:t xml:space="preserve"> </w:t>
      </w:r>
      <w:r w:rsidR="007D35E8">
        <w:rPr>
          <w:i w:val="0"/>
          <w:iCs w:val="0"/>
          <w:noProof/>
          <w:color w:val="000000" w:themeColor="text1"/>
          <w:sz w:val="20"/>
          <w:szCs w:val="20"/>
        </w:rPr>
        <w:t xml:space="preserve">Conditions: 1 mM substrate, </w:t>
      </w:r>
      <w:r w:rsidR="007D35E8" w:rsidRPr="006967AD">
        <w:rPr>
          <w:noProof/>
          <w:color w:val="000000" w:themeColor="text1"/>
          <w:sz w:val="20"/>
          <w:szCs w:val="20"/>
        </w:rPr>
        <w:t xml:space="preserve">E. coli </w:t>
      </w:r>
      <w:r w:rsidR="007D35E8">
        <w:rPr>
          <w:i w:val="0"/>
          <w:iCs w:val="0"/>
          <w:noProof/>
          <w:color w:val="000000" w:themeColor="text1"/>
          <w:sz w:val="20"/>
          <w:szCs w:val="20"/>
        </w:rPr>
        <w:t>cells expressing SHC variant, OD = 20, 50 °C, 20 h. Enzyme expression was controlled via SDS-PAGE. Best hits were then compared in ana</w:t>
      </w:r>
      <w:r w:rsidR="002020E7">
        <w:rPr>
          <w:i w:val="0"/>
          <w:iCs w:val="0"/>
          <w:noProof/>
          <w:color w:val="000000" w:themeColor="text1"/>
          <w:sz w:val="20"/>
          <w:szCs w:val="20"/>
        </w:rPr>
        <w:t>l</w:t>
      </w:r>
      <w:r w:rsidR="007D35E8">
        <w:rPr>
          <w:i w:val="0"/>
          <w:iCs w:val="0"/>
          <w:noProof/>
          <w:color w:val="000000" w:themeColor="text1"/>
          <w:sz w:val="20"/>
          <w:szCs w:val="20"/>
        </w:rPr>
        <w:t>ytical biotransformations in water.</w:t>
      </w:r>
    </w:p>
    <w:p w14:paraId="5DEE42C5" w14:textId="77777777" w:rsidR="006868A3" w:rsidRPr="00833471" w:rsidRDefault="006868A3" w:rsidP="00FA3D6A">
      <w:pPr>
        <w:keepNext/>
      </w:pPr>
      <w:r w:rsidRPr="00833471">
        <w:rPr>
          <w:rFonts w:eastAsiaTheme="majorEastAsia" w:cs="Arial"/>
          <w:b/>
          <w:bCs/>
          <w:noProof/>
          <w:sz w:val="28"/>
          <w:szCs w:val="32"/>
        </w:rPr>
        <w:lastRenderedPageBreak/>
        <w:drawing>
          <wp:inline distT="0" distB="0" distL="0" distR="0" wp14:anchorId="66FDB286" wp14:editId="7E318CED">
            <wp:extent cx="5760720" cy="6891618"/>
            <wp:effectExtent l="0" t="0" r="0" b="5080"/>
            <wp:docPr id="6" name="Picture 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pic:nvPicPr>
                  <pic:blipFill rotWithShape="1">
                    <a:blip r:embed="rId12"/>
                    <a:srcRect b="3521"/>
                    <a:stretch/>
                  </pic:blipFill>
                  <pic:spPr bwMode="auto">
                    <a:xfrm>
                      <a:off x="0" y="0"/>
                      <a:ext cx="5760720" cy="6891618"/>
                    </a:xfrm>
                    <a:prstGeom prst="rect">
                      <a:avLst/>
                    </a:prstGeom>
                    <a:ln>
                      <a:noFill/>
                    </a:ln>
                    <a:extLst>
                      <a:ext uri="{53640926-AAD7-44D8-BBD7-CCE9431645EC}">
                        <a14:shadowObscured xmlns:a14="http://schemas.microsoft.com/office/drawing/2010/main"/>
                      </a:ext>
                    </a:extLst>
                  </pic:spPr>
                </pic:pic>
              </a:graphicData>
            </a:graphic>
          </wp:inline>
        </w:drawing>
      </w:r>
    </w:p>
    <w:p w14:paraId="1884694B" w14:textId="6469557D" w:rsidR="006868A3" w:rsidRPr="00E61D19" w:rsidRDefault="006868A3" w:rsidP="00FA3D6A">
      <w:pPr>
        <w:pStyle w:val="Caption"/>
        <w:rPr>
          <w:i w:val="0"/>
          <w:iCs w:val="0"/>
          <w:color w:val="000000" w:themeColor="text1"/>
          <w:sz w:val="20"/>
          <w:szCs w:val="20"/>
        </w:rPr>
      </w:pPr>
      <w:bookmarkStart w:id="4" w:name="_Toc134623352"/>
      <w:r w:rsidRPr="00E61D19">
        <w:rPr>
          <w:rStyle w:val="Heading1Char"/>
          <w:i w:val="0"/>
          <w:iCs w:val="0"/>
          <w:color w:val="auto"/>
          <w:szCs w:val="20"/>
        </w:rPr>
        <w:t xml:space="preserve">Figure S </w:t>
      </w:r>
      <w:r w:rsidRPr="00E61D19">
        <w:rPr>
          <w:rStyle w:val="Heading1Char"/>
          <w:i w:val="0"/>
          <w:iCs w:val="0"/>
          <w:color w:val="auto"/>
          <w:szCs w:val="20"/>
        </w:rPr>
        <w:fldChar w:fldCharType="begin"/>
      </w:r>
      <w:r w:rsidRPr="00E61D19">
        <w:rPr>
          <w:rStyle w:val="Heading1Char"/>
          <w:i w:val="0"/>
          <w:iCs w:val="0"/>
          <w:color w:val="auto"/>
          <w:szCs w:val="20"/>
        </w:rPr>
        <w:instrText xml:space="preserve"> SEQ Figure_S \* ARABIC </w:instrText>
      </w:r>
      <w:r w:rsidRPr="00E61D19">
        <w:rPr>
          <w:rStyle w:val="Heading1Char"/>
          <w:i w:val="0"/>
          <w:iCs w:val="0"/>
          <w:color w:val="auto"/>
          <w:szCs w:val="20"/>
        </w:rPr>
        <w:fldChar w:fldCharType="separate"/>
      </w:r>
      <w:r w:rsidR="00AA5E09">
        <w:rPr>
          <w:rStyle w:val="Heading1Char"/>
          <w:i w:val="0"/>
          <w:iCs w:val="0"/>
          <w:noProof/>
          <w:color w:val="auto"/>
          <w:szCs w:val="20"/>
        </w:rPr>
        <w:t>5</w:t>
      </w:r>
      <w:bookmarkEnd w:id="4"/>
      <w:r w:rsidRPr="00E61D19">
        <w:rPr>
          <w:rStyle w:val="Heading1Char"/>
          <w:i w:val="0"/>
          <w:iCs w:val="0"/>
          <w:color w:val="auto"/>
          <w:szCs w:val="20"/>
        </w:rPr>
        <w:fldChar w:fldCharType="end"/>
      </w:r>
      <w:r w:rsidR="0081693C" w:rsidRPr="000D43AB">
        <w:rPr>
          <w:i w:val="0"/>
          <w:iCs w:val="0"/>
          <w:noProof/>
          <w:color w:val="000000" w:themeColor="text1"/>
        </w:rPr>
        <w:t xml:space="preserve">: </w:t>
      </w:r>
      <w:r w:rsidR="0081693C" w:rsidRPr="00E61D19">
        <w:rPr>
          <w:i w:val="0"/>
          <w:iCs w:val="0"/>
          <w:noProof/>
          <w:color w:val="000000" w:themeColor="text1"/>
          <w:sz w:val="20"/>
          <w:szCs w:val="20"/>
        </w:rPr>
        <w:t>Results of t</w:t>
      </w:r>
      <w:r w:rsidR="00753C64" w:rsidRPr="00E61D19">
        <w:rPr>
          <w:i w:val="0"/>
          <w:iCs w:val="0"/>
          <w:noProof/>
          <w:color w:val="000000" w:themeColor="text1"/>
          <w:sz w:val="20"/>
          <w:szCs w:val="20"/>
        </w:rPr>
        <w:t>h</w:t>
      </w:r>
      <w:r w:rsidR="0081693C" w:rsidRPr="00E61D19">
        <w:rPr>
          <w:i w:val="0"/>
          <w:iCs w:val="0"/>
          <w:noProof/>
          <w:color w:val="000000" w:themeColor="text1"/>
          <w:sz w:val="20"/>
          <w:szCs w:val="20"/>
        </w:rPr>
        <w:t>e i</w:t>
      </w:r>
      <w:r w:rsidR="00753C64" w:rsidRPr="00E61D19">
        <w:rPr>
          <w:i w:val="0"/>
          <w:iCs w:val="0"/>
          <w:noProof/>
          <w:color w:val="000000" w:themeColor="text1"/>
          <w:sz w:val="20"/>
          <w:szCs w:val="20"/>
        </w:rPr>
        <w:t>n</w:t>
      </w:r>
      <w:r w:rsidR="0081693C" w:rsidRPr="00E61D19">
        <w:rPr>
          <w:i w:val="0"/>
          <w:iCs w:val="0"/>
          <w:noProof/>
          <w:color w:val="000000" w:themeColor="text1"/>
          <w:sz w:val="20"/>
          <w:szCs w:val="20"/>
        </w:rPr>
        <w:t xml:space="preserve">ternal SHC library screening </w:t>
      </w:r>
      <w:r w:rsidR="0018524C" w:rsidRPr="00E61D19">
        <w:rPr>
          <w:i w:val="0"/>
          <w:iCs w:val="0"/>
          <w:noProof/>
          <w:color w:val="000000" w:themeColor="text1"/>
          <w:sz w:val="20"/>
          <w:szCs w:val="20"/>
        </w:rPr>
        <w:t xml:space="preserve">for cyclization </w:t>
      </w:r>
      <w:r w:rsidR="0081693C" w:rsidRPr="00E61D19">
        <w:rPr>
          <w:i w:val="0"/>
          <w:iCs w:val="0"/>
          <w:noProof/>
          <w:color w:val="000000" w:themeColor="text1"/>
          <w:sz w:val="20"/>
          <w:szCs w:val="20"/>
        </w:rPr>
        <w:t xml:space="preserve">of </w:t>
      </w:r>
      <w:r w:rsidR="0081693C" w:rsidRPr="00E61D19">
        <w:rPr>
          <w:noProof/>
          <w:color w:val="000000" w:themeColor="text1"/>
          <w:sz w:val="20"/>
          <w:szCs w:val="20"/>
        </w:rPr>
        <w:t>E</w:t>
      </w:r>
      <w:r w:rsidR="0081693C" w:rsidRPr="00E61D19">
        <w:rPr>
          <w:i w:val="0"/>
          <w:iCs w:val="0"/>
          <w:noProof/>
          <w:color w:val="000000" w:themeColor="text1"/>
          <w:sz w:val="20"/>
          <w:szCs w:val="20"/>
        </w:rPr>
        <w:t>,</w:t>
      </w:r>
      <w:r w:rsidR="0081693C" w:rsidRPr="00E61D19">
        <w:rPr>
          <w:noProof/>
          <w:color w:val="000000" w:themeColor="text1"/>
          <w:sz w:val="20"/>
          <w:szCs w:val="20"/>
        </w:rPr>
        <w:t>E</w:t>
      </w:r>
      <w:r w:rsidR="0081693C" w:rsidRPr="00E61D19">
        <w:rPr>
          <w:i w:val="0"/>
          <w:iCs w:val="0"/>
          <w:noProof/>
          <w:color w:val="000000" w:themeColor="text1"/>
          <w:sz w:val="20"/>
          <w:szCs w:val="20"/>
        </w:rPr>
        <w:t>,</w:t>
      </w:r>
      <w:r w:rsidR="0081693C" w:rsidRPr="00E61D19">
        <w:rPr>
          <w:noProof/>
          <w:color w:val="000000" w:themeColor="text1"/>
          <w:sz w:val="20"/>
          <w:szCs w:val="20"/>
        </w:rPr>
        <w:t>E</w:t>
      </w:r>
      <w:r w:rsidR="0081693C" w:rsidRPr="00E61D19">
        <w:rPr>
          <w:i w:val="0"/>
          <w:iCs w:val="0"/>
          <w:noProof/>
          <w:color w:val="000000" w:themeColor="text1"/>
          <w:sz w:val="20"/>
          <w:szCs w:val="20"/>
        </w:rPr>
        <w:t>-geranyl geraniol</w:t>
      </w:r>
      <w:r w:rsidR="00BB6B27" w:rsidRPr="00E61D19">
        <w:rPr>
          <w:i w:val="0"/>
          <w:iCs w:val="0"/>
          <w:noProof/>
          <w:color w:val="000000" w:themeColor="text1"/>
          <w:sz w:val="20"/>
          <w:szCs w:val="20"/>
        </w:rPr>
        <w:t xml:space="preserve"> </w:t>
      </w:r>
      <w:r w:rsidR="00BB6B27" w:rsidRPr="00ED00A9">
        <w:rPr>
          <w:i w:val="0"/>
          <w:iCs w:val="0"/>
          <w:noProof/>
          <w:color w:val="000000" w:themeColor="text1"/>
          <w:sz w:val="20"/>
          <w:szCs w:val="20"/>
        </w:rPr>
        <w:t>10</w:t>
      </w:r>
      <w:r w:rsidR="0018524C" w:rsidRPr="00E61D19">
        <w:rPr>
          <w:b/>
          <w:bCs/>
          <w:i w:val="0"/>
          <w:iCs w:val="0"/>
          <w:noProof/>
          <w:color w:val="000000" w:themeColor="text1"/>
          <w:sz w:val="20"/>
          <w:szCs w:val="20"/>
        </w:rPr>
        <w:t xml:space="preserve"> </w:t>
      </w:r>
      <w:r w:rsidR="0018524C" w:rsidRPr="00E61D19">
        <w:rPr>
          <w:i w:val="0"/>
          <w:iCs w:val="0"/>
          <w:noProof/>
          <w:color w:val="000000" w:themeColor="text1"/>
          <w:sz w:val="20"/>
          <w:szCs w:val="20"/>
        </w:rPr>
        <w:t xml:space="preserve">to desired </w:t>
      </w:r>
      <w:r w:rsidR="0018524C" w:rsidRPr="00ED00A9">
        <w:rPr>
          <w:i w:val="0"/>
          <w:iCs w:val="0"/>
          <w:noProof/>
          <w:color w:val="000000" w:themeColor="text1"/>
          <w:sz w:val="20"/>
          <w:szCs w:val="20"/>
        </w:rPr>
        <w:t>products 11, 12 and side product S-11</w:t>
      </w:r>
      <w:r w:rsidR="0018524C" w:rsidRPr="00E61D19">
        <w:rPr>
          <w:b/>
          <w:bCs/>
          <w:i w:val="0"/>
          <w:iCs w:val="0"/>
          <w:noProof/>
          <w:color w:val="000000" w:themeColor="text1"/>
          <w:sz w:val="20"/>
          <w:szCs w:val="20"/>
        </w:rPr>
        <w:t xml:space="preserve"> </w:t>
      </w:r>
      <w:bookmarkStart w:id="5" w:name="_Hlk132631776"/>
      <w:r w:rsidR="0018524C" w:rsidRPr="00E61D19">
        <w:rPr>
          <w:i w:val="0"/>
          <w:iCs w:val="0"/>
          <w:noProof/>
          <w:color w:val="000000" w:themeColor="text1"/>
          <w:sz w:val="20"/>
          <w:szCs w:val="20"/>
        </w:rPr>
        <w:t>among other unidentied side-products</w:t>
      </w:r>
      <w:r w:rsidR="0081693C" w:rsidRPr="00E61D19">
        <w:rPr>
          <w:i w:val="0"/>
          <w:iCs w:val="0"/>
          <w:noProof/>
          <w:color w:val="000000" w:themeColor="text1"/>
          <w:sz w:val="20"/>
          <w:szCs w:val="20"/>
        </w:rPr>
        <w:t xml:space="preserve">. </w:t>
      </w:r>
      <w:bookmarkEnd w:id="5"/>
      <w:r w:rsidR="0018524C" w:rsidRPr="00E61D19">
        <w:rPr>
          <w:i w:val="0"/>
          <w:iCs w:val="0"/>
          <w:noProof/>
          <w:color w:val="000000" w:themeColor="text1"/>
          <w:sz w:val="20"/>
          <w:szCs w:val="20"/>
        </w:rPr>
        <w:t xml:space="preserve">Products were identifed </w:t>
      </w:r>
      <w:r w:rsidR="00434ACC" w:rsidRPr="00E61D19">
        <w:rPr>
          <w:i w:val="0"/>
          <w:iCs w:val="0"/>
          <w:noProof/>
          <w:color w:val="000000" w:themeColor="text1"/>
          <w:sz w:val="20"/>
          <w:szCs w:val="20"/>
        </w:rPr>
        <w:t xml:space="preserve">by </w:t>
      </w:r>
      <w:r w:rsidR="00E61D19">
        <w:rPr>
          <w:i w:val="0"/>
          <w:iCs w:val="0"/>
          <w:noProof/>
          <w:color w:val="000000" w:themeColor="text1"/>
          <w:sz w:val="20"/>
          <w:szCs w:val="20"/>
        </w:rPr>
        <w:t>NMR. V</w:t>
      </w:r>
      <w:r w:rsidR="0018524C" w:rsidRPr="00E61D19">
        <w:rPr>
          <w:i w:val="0"/>
          <w:iCs w:val="0"/>
          <w:noProof/>
          <w:color w:val="000000" w:themeColor="text1"/>
          <w:sz w:val="20"/>
          <w:szCs w:val="20"/>
        </w:rPr>
        <w:t>ariants were plotted against their GC conversion (lower columns) and selectivity (upper columns). GC conversion and selectivity was determined as [Area_product]/[Area_substrate+Area_products].</w:t>
      </w:r>
      <w:r w:rsidR="006967AD">
        <w:rPr>
          <w:i w:val="0"/>
          <w:iCs w:val="0"/>
          <w:noProof/>
          <w:color w:val="000000" w:themeColor="text1"/>
          <w:sz w:val="20"/>
          <w:szCs w:val="20"/>
        </w:rPr>
        <w:t xml:space="preserve"> </w:t>
      </w:r>
      <w:r w:rsidR="007D35E8">
        <w:rPr>
          <w:i w:val="0"/>
          <w:iCs w:val="0"/>
          <w:noProof/>
          <w:color w:val="000000" w:themeColor="text1"/>
          <w:sz w:val="20"/>
          <w:szCs w:val="20"/>
        </w:rPr>
        <w:t xml:space="preserve">Conditions: 1 mM substrate, </w:t>
      </w:r>
      <w:r w:rsidR="007D35E8" w:rsidRPr="006967AD">
        <w:rPr>
          <w:noProof/>
          <w:color w:val="000000" w:themeColor="text1"/>
          <w:sz w:val="20"/>
          <w:szCs w:val="20"/>
        </w:rPr>
        <w:t xml:space="preserve">E. coli </w:t>
      </w:r>
      <w:r w:rsidR="007D35E8">
        <w:rPr>
          <w:i w:val="0"/>
          <w:iCs w:val="0"/>
          <w:noProof/>
          <w:color w:val="000000" w:themeColor="text1"/>
          <w:sz w:val="20"/>
          <w:szCs w:val="20"/>
        </w:rPr>
        <w:t>cells expressing SHC variant, OD = 20, 50 °C, 20 h. Enzyme expression was controlled via SDS-PAGE. Best hits were then compared in ana</w:t>
      </w:r>
      <w:r w:rsidR="009E782E">
        <w:rPr>
          <w:i w:val="0"/>
          <w:iCs w:val="0"/>
          <w:noProof/>
          <w:color w:val="000000" w:themeColor="text1"/>
          <w:sz w:val="20"/>
          <w:szCs w:val="20"/>
        </w:rPr>
        <w:t>l</w:t>
      </w:r>
      <w:r w:rsidR="007D35E8">
        <w:rPr>
          <w:i w:val="0"/>
          <w:iCs w:val="0"/>
          <w:noProof/>
          <w:color w:val="000000" w:themeColor="text1"/>
          <w:sz w:val="20"/>
          <w:szCs w:val="20"/>
        </w:rPr>
        <w:t>ytical biotransformations in water.</w:t>
      </w:r>
    </w:p>
    <w:p w14:paraId="2583F832" w14:textId="78C609FB" w:rsidR="006868A3" w:rsidRPr="00833471" w:rsidRDefault="00067CD9" w:rsidP="00FA3D6A">
      <w:pPr>
        <w:keepNext/>
      </w:pPr>
      <w:r>
        <w:rPr>
          <w:noProof/>
        </w:rPr>
        <w:lastRenderedPageBreak/>
        <w:drawing>
          <wp:inline distT="0" distB="0" distL="0" distR="0" wp14:anchorId="6079DF63" wp14:editId="3102C792">
            <wp:extent cx="5343896" cy="3954145"/>
            <wp:effectExtent l="0" t="0" r="9525" b="8255"/>
            <wp:docPr id="68" name="Picture 6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diagram&#10;&#10;Description automatically generated"/>
                    <pic:cNvPicPr/>
                  </pic:nvPicPr>
                  <pic:blipFill rotWithShape="1">
                    <a:blip r:embed="rId13"/>
                    <a:srcRect l="2474" t="28013" r="4744" b="16620"/>
                    <a:stretch/>
                  </pic:blipFill>
                  <pic:spPr bwMode="auto">
                    <a:xfrm>
                      <a:off x="0" y="0"/>
                      <a:ext cx="5344901" cy="3954889"/>
                    </a:xfrm>
                    <a:prstGeom prst="rect">
                      <a:avLst/>
                    </a:prstGeom>
                    <a:ln>
                      <a:noFill/>
                    </a:ln>
                    <a:extLst>
                      <a:ext uri="{53640926-AAD7-44D8-BBD7-CCE9431645EC}">
                        <a14:shadowObscured xmlns:a14="http://schemas.microsoft.com/office/drawing/2010/main"/>
                      </a:ext>
                    </a:extLst>
                  </pic:spPr>
                </pic:pic>
              </a:graphicData>
            </a:graphic>
          </wp:inline>
        </w:drawing>
      </w:r>
    </w:p>
    <w:p w14:paraId="52D56570" w14:textId="3BB93C62" w:rsidR="006868A3" w:rsidRPr="000D43AB" w:rsidRDefault="006868A3" w:rsidP="00FA3D6A">
      <w:pPr>
        <w:pStyle w:val="Caption"/>
        <w:rPr>
          <w:i w:val="0"/>
          <w:iCs w:val="0"/>
          <w:color w:val="000000" w:themeColor="text1"/>
        </w:rPr>
      </w:pPr>
      <w:bookmarkStart w:id="6" w:name="_Toc134623353"/>
      <w:r w:rsidRPr="00E61D19">
        <w:rPr>
          <w:rStyle w:val="Heading1Char"/>
          <w:i w:val="0"/>
          <w:iCs w:val="0"/>
          <w:color w:val="auto"/>
        </w:rPr>
        <w:t xml:space="preserve">Figure S </w:t>
      </w:r>
      <w:r w:rsidRPr="00E61D19">
        <w:rPr>
          <w:rStyle w:val="Heading1Char"/>
          <w:i w:val="0"/>
          <w:iCs w:val="0"/>
          <w:color w:val="auto"/>
        </w:rPr>
        <w:fldChar w:fldCharType="begin"/>
      </w:r>
      <w:r w:rsidRPr="00E61D19">
        <w:rPr>
          <w:rStyle w:val="Heading1Char"/>
          <w:i w:val="0"/>
          <w:iCs w:val="0"/>
          <w:color w:val="auto"/>
        </w:rPr>
        <w:instrText xml:space="preserve"> SEQ Figure_S \* ARABIC </w:instrText>
      </w:r>
      <w:r w:rsidRPr="00E61D19">
        <w:rPr>
          <w:rStyle w:val="Heading1Char"/>
          <w:i w:val="0"/>
          <w:iCs w:val="0"/>
          <w:color w:val="auto"/>
        </w:rPr>
        <w:fldChar w:fldCharType="separate"/>
      </w:r>
      <w:r w:rsidR="00AA5E09">
        <w:rPr>
          <w:rStyle w:val="Heading1Char"/>
          <w:i w:val="0"/>
          <w:iCs w:val="0"/>
          <w:noProof/>
          <w:color w:val="auto"/>
        </w:rPr>
        <w:t>6</w:t>
      </w:r>
      <w:bookmarkEnd w:id="6"/>
      <w:r w:rsidRPr="00E61D19">
        <w:rPr>
          <w:rStyle w:val="Heading1Char"/>
          <w:i w:val="0"/>
          <w:iCs w:val="0"/>
          <w:color w:val="auto"/>
        </w:rPr>
        <w:fldChar w:fldCharType="end"/>
      </w:r>
      <w:r w:rsidR="00460D5B" w:rsidRPr="000D43AB">
        <w:rPr>
          <w:i w:val="0"/>
          <w:iCs w:val="0"/>
          <w:noProof/>
          <w:color w:val="000000" w:themeColor="text1"/>
        </w:rPr>
        <w:t xml:space="preserve">: </w:t>
      </w:r>
      <w:r w:rsidR="00460D5B" w:rsidRPr="00E61D19">
        <w:rPr>
          <w:i w:val="0"/>
          <w:iCs w:val="0"/>
          <w:noProof/>
          <w:color w:val="000000" w:themeColor="text1"/>
          <w:sz w:val="20"/>
          <w:szCs w:val="20"/>
        </w:rPr>
        <w:t xml:space="preserve">Analysis of the </w:t>
      </w:r>
      <w:r w:rsidR="009D1FAC" w:rsidRPr="00E61D19">
        <w:rPr>
          <w:i w:val="0"/>
          <w:iCs w:val="0"/>
          <w:noProof/>
          <w:color w:val="000000" w:themeColor="text1"/>
          <w:sz w:val="20"/>
          <w:szCs w:val="20"/>
        </w:rPr>
        <w:t>docked labdane product</w:t>
      </w:r>
      <w:r w:rsidR="005246BA" w:rsidRPr="00E61D19">
        <w:rPr>
          <w:i w:val="0"/>
          <w:iCs w:val="0"/>
          <w:noProof/>
          <w:color w:val="000000" w:themeColor="text1"/>
          <w:sz w:val="20"/>
          <w:szCs w:val="20"/>
        </w:rPr>
        <w:t xml:space="preserve"> (blue sticks)</w:t>
      </w:r>
      <w:r w:rsidR="009D1FAC" w:rsidRPr="00E61D19">
        <w:rPr>
          <w:i w:val="0"/>
          <w:iCs w:val="0"/>
          <w:noProof/>
          <w:color w:val="000000" w:themeColor="text1"/>
          <w:sz w:val="20"/>
          <w:szCs w:val="20"/>
        </w:rPr>
        <w:t xml:space="preserve"> </w:t>
      </w:r>
      <w:r w:rsidR="009D1FAC" w:rsidRPr="00ED00A9">
        <w:rPr>
          <w:i w:val="0"/>
          <w:iCs w:val="0"/>
          <w:noProof/>
          <w:color w:val="000000" w:themeColor="text1"/>
          <w:sz w:val="20"/>
          <w:szCs w:val="20"/>
        </w:rPr>
        <w:t>12</w:t>
      </w:r>
      <w:r w:rsidR="009D1FAC" w:rsidRPr="00E61D19">
        <w:rPr>
          <w:i w:val="0"/>
          <w:iCs w:val="0"/>
          <w:noProof/>
          <w:color w:val="000000" w:themeColor="text1"/>
          <w:sz w:val="20"/>
          <w:szCs w:val="20"/>
        </w:rPr>
        <w:t xml:space="preserve"> into the active site of AacSHC G600N generated by </w:t>
      </w:r>
      <w:r w:rsidR="002E2462">
        <w:rPr>
          <w:i w:val="0"/>
          <w:iCs w:val="0"/>
          <w:noProof/>
          <w:color w:val="000000" w:themeColor="text1"/>
          <w:sz w:val="20"/>
          <w:szCs w:val="20"/>
        </w:rPr>
        <w:t>Rosetta</w:t>
      </w:r>
      <w:r w:rsidR="009D1FAC" w:rsidRPr="00E61D19">
        <w:rPr>
          <w:i w:val="0"/>
          <w:iCs w:val="0"/>
          <w:noProof/>
          <w:color w:val="000000" w:themeColor="text1"/>
          <w:sz w:val="20"/>
          <w:szCs w:val="20"/>
        </w:rPr>
        <w:t>Fold.</w:t>
      </w:r>
      <w:r w:rsidR="002E2462">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{"citationItems":[{"id":"ITEM-1","itemData":{"DOI":"10.1038/s41592-021-01360-8","ISSN":"15487105","PMID":"35017724","abstract":"Deep learning has transformed protein structure modeling. Here we relate AlphaFold and RoseTTAFold to classical physically based approaches to protein structure prediction, and discuss the many areas of structural biology that are likely to be affected by further advances in deep learning.","author":[{"dropping-particle":"","family":"Baek","given":"Minkyung","non-dropping-particle":"","parse-names":false,"suffix":""},{"dropping-particle":"","family":"Baker","given":"David","non-dropping-particle":"","parse-names":false,"suffix":""}],"container-title":"Nature Methods","id":"ITEM-1","issue":"1","issued":{"date-parts":[["2022","1","11"]]},"page":"13-14","publisher":"Nature Publishing Group","title":"Deep learning and protein structure modeling","type":"article-journal","volume":"19"},"uris":["http://www.mendeley.com/documents/?uuid=34d2fe06-73a7-397b-9c9d-bcd285c44df7"]}],"mendeley":{"formattedCitation":"&lt;sup&gt;6&lt;/sup&gt;","plainTextFormattedCitation":"6","previouslyFormattedCitation":"&lt;sup&gt;5&lt;/sup&gt;"},"properties":{"noteIndex":0},"schema":"https://github.com/citation-style-language/schema/raw/master/csl-citation.json"}</w:instrText>
      </w:r>
      <w:r w:rsidR="002E2462">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6</w:t>
      </w:r>
      <w:r w:rsidR="002E2462">
        <w:rPr>
          <w:i w:val="0"/>
          <w:iCs w:val="0"/>
          <w:noProof/>
          <w:color w:val="000000" w:themeColor="text1"/>
          <w:sz w:val="20"/>
          <w:szCs w:val="20"/>
        </w:rPr>
        <w:fldChar w:fldCharType="end"/>
      </w:r>
      <w:r w:rsidR="005246BA" w:rsidRPr="00E61D19">
        <w:rPr>
          <w:i w:val="0"/>
          <w:iCs w:val="0"/>
          <w:noProof/>
          <w:color w:val="000000" w:themeColor="text1"/>
          <w:sz w:val="20"/>
          <w:szCs w:val="20"/>
        </w:rPr>
        <w:t xml:space="preserve"> Protonating aspartate shown as re</w:t>
      </w:r>
      <w:r w:rsidR="001166D5" w:rsidRPr="00E61D19">
        <w:rPr>
          <w:i w:val="0"/>
          <w:iCs w:val="0"/>
          <w:noProof/>
          <w:color w:val="000000" w:themeColor="text1"/>
          <w:sz w:val="20"/>
          <w:szCs w:val="20"/>
        </w:rPr>
        <w:t>d</w:t>
      </w:r>
      <w:r w:rsidR="005246BA" w:rsidRPr="00E61D19">
        <w:rPr>
          <w:i w:val="0"/>
          <w:iCs w:val="0"/>
          <w:noProof/>
          <w:color w:val="000000" w:themeColor="text1"/>
          <w:sz w:val="20"/>
          <w:szCs w:val="20"/>
        </w:rPr>
        <w:t xml:space="preserve"> and G600N shown as orange sticks (</w:t>
      </w:r>
      <w:r w:rsidR="00E61D19">
        <w:rPr>
          <w:i w:val="0"/>
          <w:iCs w:val="0"/>
          <w:noProof/>
          <w:color w:val="000000" w:themeColor="text1"/>
          <w:sz w:val="20"/>
          <w:szCs w:val="20"/>
        </w:rPr>
        <w:t>a</w:t>
      </w:r>
      <w:r w:rsidR="005246BA" w:rsidRPr="00E61D19">
        <w:rPr>
          <w:i w:val="0"/>
          <w:iCs w:val="0"/>
          <w:noProof/>
          <w:color w:val="000000" w:themeColor="text1"/>
          <w:sz w:val="20"/>
          <w:szCs w:val="20"/>
        </w:rPr>
        <w:t>) Side view. (</w:t>
      </w:r>
      <w:r w:rsidR="00E61D19">
        <w:rPr>
          <w:i w:val="0"/>
          <w:iCs w:val="0"/>
          <w:noProof/>
          <w:color w:val="000000" w:themeColor="text1"/>
          <w:sz w:val="20"/>
          <w:szCs w:val="20"/>
        </w:rPr>
        <w:t>b</w:t>
      </w:r>
      <w:r w:rsidR="005246BA" w:rsidRPr="00E61D19">
        <w:rPr>
          <w:i w:val="0"/>
          <w:iCs w:val="0"/>
          <w:noProof/>
          <w:color w:val="000000" w:themeColor="text1"/>
          <w:sz w:val="20"/>
          <w:szCs w:val="20"/>
        </w:rPr>
        <w:t>)</w:t>
      </w:r>
      <w:r w:rsidR="009D1FAC" w:rsidRPr="00E61D19">
        <w:rPr>
          <w:i w:val="0"/>
          <w:iCs w:val="0"/>
          <w:noProof/>
          <w:color w:val="000000" w:themeColor="text1"/>
          <w:sz w:val="20"/>
          <w:szCs w:val="20"/>
        </w:rPr>
        <w:t xml:space="preserve"> </w:t>
      </w:r>
      <w:r w:rsidR="001166D5" w:rsidRPr="00E61D19">
        <w:rPr>
          <w:i w:val="0"/>
          <w:iCs w:val="0"/>
          <w:noProof/>
          <w:color w:val="000000" w:themeColor="text1"/>
          <w:sz w:val="20"/>
          <w:szCs w:val="20"/>
        </w:rPr>
        <w:t>Top view. (</w:t>
      </w:r>
      <w:r w:rsidR="00E61D19">
        <w:rPr>
          <w:i w:val="0"/>
          <w:iCs w:val="0"/>
          <w:noProof/>
          <w:color w:val="000000" w:themeColor="text1"/>
          <w:sz w:val="20"/>
          <w:szCs w:val="20"/>
        </w:rPr>
        <w:t>c</w:t>
      </w:r>
      <w:r w:rsidR="001166D5" w:rsidRPr="00E61D19">
        <w:rPr>
          <w:i w:val="0"/>
          <w:iCs w:val="0"/>
          <w:noProof/>
          <w:color w:val="000000" w:themeColor="text1"/>
          <w:sz w:val="20"/>
          <w:szCs w:val="20"/>
        </w:rPr>
        <w:t>) Frontal view. (</w:t>
      </w:r>
      <w:r w:rsidR="00E61D19">
        <w:rPr>
          <w:i w:val="0"/>
          <w:iCs w:val="0"/>
          <w:noProof/>
          <w:color w:val="000000" w:themeColor="text1"/>
          <w:sz w:val="20"/>
          <w:szCs w:val="20"/>
        </w:rPr>
        <w:t>d</w:t>
      </w:r>
      <w:r w:rsidR="001166D5" w:rsidRPr="00E61D19">
        <w:rPr>
          <w:i w:val="0"/>
          <w:iCs w:val="0"/>
          <w:noProof/>
          <w:color w:val="000000" w:themeColor="text1"/>
          <w:sz w:val="20"/>
          <w:szCs w:val="20"/>
        </w:rPr>
        <w:t xml:space="preserve">) Measurment </w:t>
      </w:r>
      <w:r w:rsidR="00252F36" w:rsidRPr="00E61D19">
        <w:rPr>
          <w:i w:val="0"/>
          <w:iCs w:val="0"/>
          <w:noProof/>
          <w:color w:val="000000" w:themeColor="text1"/>
          <w:sz w:val="20"/>
          <w:szCs w:val="20"/>
        </w:rPr>
        <w:t xml:space="preserve">of N-O and N-C distance shows proximity to both atoms, which </w:t>
      </w:r>
      <w:r w:rsidR="006F33E6" w:rsidRPr="00E61D19">
        <w:rPr>
          <w:i w:val="0"/>
          <w:iCs w:val="0"/>
          <w:noProof/>
          <w:color w:val="000000" w:themeColor="text1"/>
          <w:sz w:val="20"/>
          <w:szCs w:val="20"/>
        </w:rPr>
        <w:t>suggests a dual-function of the introduced amino acid</w:t>
      </w:r>
      <w:r w:rsidR="00D37FD9" w:rsidRPr="00E61D19">
        <w:rPr>
          <w:i w:val="0"/>
          <w:iCs w:val="0"/>
          <w:noProof/>
          <w:color w:val="000000" w:themeColor="text1"/>
          <w:sz w:val="20"/>
          <w:szCs w:val="20"/>
        </w:rPr>
        <w:t xml:space="preserve"> as an anchor</w:t>
      </w:r>
      <w:r w:rsidR="00BF45A0">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{"citationItems":[{"id":"ITEM-1","itemData":{"DOI":"10.1002/anie.202101228","ISSN":"15213773","PMID":"33769659","abstract":"Cascade reactions appeared as a cutting-edge strategy to streamline the assembly of complex structural scaffolds from naturally available precursors in an atom-, as well as time, labor- and cost-efficient way. We herein report a strategy to control cationic cyclization cascades by exploiting the ability of anchoring dynamic substrates in the active site of terpene cyclases via designed hydrogen bonding. Thereby, it is possible to induce “directed” cyclizations in contrast to established “non-stop” cyclizations (99:1) and predestinate cascade termination at otherwise catalytically barely accessible intermediates. As a result, we are able to provide efficient access to naturally widely occurring apocarotenoids, value-added flavors and fragrances in gram-scale by replacing multi-stage synthetic routes to a single step with unprecedented selectivity (&gt;99.5 % ee) and high yields (up to 89 %).","author":[{"dropping-particle":"","family":"Schneider","given":"Andreas","non-dropping-particle":"","parse-names":false,"suffix":""},{"dropping-particle":"","family":"Jegl","given":"Philipp","non-dropping-particle":"","parse-names":false,"suffix":""},{"dropping-particle":"","family":"Hauer","given":"Bernhard","non-dropping-particle":"","parse-names":false,"suffix":""}],"container-title":"Angewandte Chemie - International Edition","id":"ITEM-1","issue":"24","issued":{"date-parts":[["2021","6","7"]]},"page":"13251-13256","publisher":"John Wiley and Sons Inc","title":"Stereoselective Directed Cationic Cascades Enabled by Molecular Anchoring in Terpene Cyclases","type":"article-journal","volume":"60"},"uris":["http://www.mendeley.com/documents/?uuid=3b0947be-3de3-30e1-ae4f-52f6910ee5d4"]}],"mendeley":{"formattedCitation":"&lt;sup&gt;7&lt;/sup&gt;","plainTextFormattedCitation":"7","previouslyFormattedCitation":"&lt;sup&gt;6&lt;/sup&gt;"},"properties":{"noteIndex":0},"schema":"https://github.com/citation-style-language/schema/raw/master/csl-citation.json"}</w:instrText>
      </w:r>
      <w:r w:rsidR="00BF45A0">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7</w:t>
      </w:r>
      <w:r w:rsidR="00BF45A0">
        <w:rPr>
          <w:i w:val="0"/>
          <w:iCs w:val="0"/>
          <w:noProof/>
          <w:color w:val="000000" w:themeColor="text1"/>
          <w:sz w:val="20"/>
          <w:szCs w:val="20"/>
        </w:rPr>
        <w:fldChar w:fldCharType="end"/>
      </w:r>
      <w:r w:rsidR="00D37FD9" w:rsidRPr="00E61D19">
        <w:rPr>
          <w:i w:val="0"/>
          <w:iCs w:val="0"/>
          <w:noProof/>
          <w:color w:val="000000" w:themeColor="text1"/>
          <w:sz w:val="20"/>
          <w:szCs w:val="20"/>
        </w:rPr>
        <w:t xml:space="preserve"> and/or Bronsted-base.</w:t>
      </w:r>
      <w:r w:rsidR="00BF45A0">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{"citationItems":[{"id":"ITEM-1","itemData":{"DOI":"10.1021/acs.biochem.8b00193","ISSN":"15204995","abstract":"© 2018 American Chemical Society. Plants from the widespread Lamiaceae family produce many labdane-related diterpenoids, a number of which serve medicinal roles, and whose biosynthesis is initiated by class II diterpene cyclases (DTCs). These enzymes utilize a general acid-base catalyzed cyclo-isomerization reaction to produce various stereoisomers of the eponymous labdaenyl carbocation intermediate, which can then undergo rearrangement and/or the addition of water prior to terminating deprotonation. Identification of the pair of residues that cooperatively serve as the catalytic base in the DTCs that produce ent-copalyl diphosphate (CPP) required for gibberellin phytohormone biosynthesis in all vascular plants has led to insight into the addition of water as well as rearrangement. Lamiaceae plants generally contain an additional DTC that produces the enantiomeric normal CPP, as well as others that yield hydroxylated products derived from the addition of water. Here the catalytic base in these DTCs was investigated. Notably, changing two adjacent residues that seem to serve as the catalytic base in the normal CPP synthase from Salvia miltiorrhiza (SmCPS) to the residues found in the closely related perigrinol diphosphate synthase from Marrubium vulgare (MvPPS), which produces a partially rearranged and hydroxylated product derived from the distinct syn stereoisomer of labdaenyl+, altered product outcome in an unexpected fashion. Specifically, the relevant SmCPS:H315N/T316V double mutant produces terpentedienyl diphosphate, which is derived from complete substituent rearrangement of syn rather than normal labdaenyl+. Accordingly, alteration of the residues that normally serve as the catalytic base surprisingly can impact stereo-control.","author":[{"dropping-particle":"","family":"Schulte","given":"Samuel","non-dropping-particle":"","parse-names":false,"suffix":""},{"dropping-particle":"","family":"Potter","given":"Kevin","non-dropping-particle":"","parse-names":false,"suffix":""},{"dropping-particle":"","family":"Lemke","given":"Cody","non-dropping-particle":"","parse-names":false,"suffix":""},{"dropping-particle":"","family":"Peters","given":"Reuben J.","non-dropping-particle":"","parse-names":false,"suffix":""}],"container-title":"Biochemistry","genre":"research-article","id":"ITEM-1","issued":{"date-parts":[["2018"]]},"page":"3473-3479","publisher":"American Chemical Society","title":"Catalytic bases and stereo-control in Lamiaceae class II diterpene cyclases","type":"article-journal","volume":"57"},"uris":["http://www.mendeley.com/documents/?uuid=75e1f965-c01b-4387-8485-79d28d3d67ad"]}],"mendeley":{"formattedCitation":"&lt;sup&gt;8&lt;/sup&gt;","plainTextFormattedCitation":"8","previouslyFormattedCitation":"&lt;sup&gt;7&lt;/sup&gt;"},"properties":{"noteIndex":0},"schema":"https://github.com/citation-style-language/schema/raw/master/csl-citation.json"}</w:instrText>
      </w:r>
      <w:r w:rsidR="00BF45A0">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8</w:t>
      </w:r>
      <w:r w:rsidR="00BF45A0">
        <w:rPr>
          <w:i w:val="0"/>
          <w:iCs w:val="0"/>
          <w:noProof/>
          <w:color w:val="000000" w:themeColor="text1"/>
          <w:sz w:val="20"/>
          <w:szCs w:val="20"/>
        </w:rPr>
        <w:fldChar w:fldCharType="end"/>
      </w:r>
      <w:r w:rsidR="00E61D19" w:rsidRPr="000D43AB">
        <w:rPr>
          <w:i w:val="0"/>
          <w:iCs w:val="0"/>
          <w:color w:val="000000" w:themeColor="text1"/>
        </w:rPr>
        <w:t xml:space="preserve"> </w:t>
      </w:r>
    </w:p>
    <w:p w14:paraId="0396E74F" w14:textId="77777777" w:rsidR="006868A3" w:rsidRPr="00833471" w:rsidRDefault="006868A3" w:rsidP="00FA3D6A">
      <w:pPr>
        <w:keepNext/>
      </w:pPr>
      <w:r w:rsidRPr="00833471">
        <w:rPr>
          <w:rFonts w:eastAsiaTheme="majorEastAsia" w:cs="Arial"/>
          <w:b/>
          <w:bCs/>
          <w:noProof/>
          <w:sz w:val="28"/>
          <w:szCs w:val="32"/>
        </w:rPr>
        <w:lastRenderedPageBreak/>
        <w:drawing>
          <wp:inline distT="0" distB="0" distL="0" distR="0" wp14:anchorId="61E7F68B" wp14:editId="35D8B99C">
            <wp:extent cx="5760639" cy="5049296"/>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rotWithShape="1">
                    <a:blip r:embed="rId14"/>
                    <a:srcRect t="3576" b="25734"/>
                    <a:stretch/>
                  </pic:blipFill>
                  <pic:spPr bwMode="auto">
                    <a:xfrm>
                      <a:off x="0" y="0"/>
                      <a:ext cx="5760720" cy="5049367"/>
                    </a:xfrm>
                    <a:prstGeom prst="rect">
                      <a:avLst/>
                    </a:prstGeom>
                    <a:ln>
                      <a:noFill/>
                    </a:ln>
                    <a:extLst>
                      <a:ext uri="{53640926-AAD7-44D8-BBD7-CCE9431645EC}">
                        <a14:shadowObscured xmlns:a14="http://schemas.microsoft.com/office/drawing/2010/main"/>
                      </a:ext>
                    </a:extLst>
                  </pic:spPr>
                </pic:pic>
              </a:graphicData>
            </a:graphic>
          </wp:inline>
        </w:drawing>
      </w:r>
    </w:p>
    <w:p w14:paraId="4F3466F0" w14:textId="4E0088D1" w:rsidR="006868A3" w:rsidRPr="000D43AB" w:rsidRDefault="006868A3" w:rsidP="00FA3D6A">
      <w:pPr>
        <w:pStyle w:val="Caption"/>
        <w:rPr>
          <w:i w:val="0"/>
          <w:iCs w:val="0"/>
          <w:color w:val="000000" w:themeColor="text1"/>
        </w:rPr>
      </w:pPr>
      <w:bookmarkStart w:id="7" w:name="_Toc134623354"/>
      <w:r w:rsidRPr="002E2462">
        <w:rPr>
          <w:rStyle w:val="Heading1Char"/>
          <w:i w:val="0"/>
          <w:iCs w:val="0"/>
          <w:color w:val="auto"/>
        </w:rPr>
        <w:t xml:space="preserve">Figure S </w:t>
      </w:r>
      <w:r w:rsidRPr="002E2462">
        <w:rPr>
          <w:rStyle w:val="Heading1Char"/>
          <w:i w:val="0"/>
          <w:iCs w:val="0"/>
          <w:color w:val="auto"/>
        </w:rPr>
        <w:fldChar w:fldCharType="begin"/>
      </w:r>
      <w:r w:rsidRPr="002E2462">
        <w:rPr>
          <w:rStyle w:val="Heading1Char"/>
          <w:i w:val="0"/>
          <w:iCs w:val="0"/>
          <w:color w:val="auto"/>
        </w:rPr>
        <w:instrText xml:space="preserve"> SEQ Figure_S \* ARABIC </w:instrText>
      </w:r>
      <w:r w:rsidRPr="002E2462">
        <w:rPr>
          <w:rStyle w:val="Heading1Char"/>
          <w:i w:val="0"/>
          <w:iCs w:val="0"/>
          <w:color w:val="auto"/>
        </w:rPr>
        <w:fldChar w:fldCharType="separate"/>
      </w:r>
      <w:r w:rsidR="00AA5E09">
        <w:rPr>
          <w:rStyle w:val="Heading1Char"/>
          <w:i w:val="0"/>
          <w:iCs w:val="0"/>
          <w:noProof/>
          <w:color w:val="auto"/>
        </w:rPr>
        <w:t>7</w:t>
      </w:r>
      <w:bookmarkEnd w:id="7"/>
      <w:r w:rsidRPr="002E2462">
        <w:rPr>
          <w:rStyle w:val="Heading1Char"/>
          <w:i w:val="0"/>
          <w:iCs w:val="0"/>
          <w:color w:val="auto"/>
        </w:rPr>
        <w:fldChar w:fldCharType="end"/>
      </w:r>
      <w:r w:rsidR="00382EC0" w:rsidRPr="000D43AB">
        <w:rPr>
          <w:i w:val="0"/>
          <w:iCs w:val="0"/>
          <w:noProof/>
          <w:color w:val="000000" w:themeColor="text1"/>
        </w:rPr>
        <w:t xml:space="preserve">: </w:t>
      </w:r>
      <w:r w:rsidR="00382EC0" w:rsidRPr="00806AC4">
        <w:rPr>
          <w:i w:val="0"/>
          <w:iCs w:val="0"/>
          <w:noProof/>
          <w:color w:val="000000" w:themeColor="text1"/>
          <w:sz w:val="20"/>
          <w:szCs w:val="20"/>
        </w:rPr>
        <w:t>Results of t</w:t>
      </w:r>
      <w:r w:rsidR="002E2462" w:rsidRPr="00806AC4">
        <w:rPr>
          <w:i w:val="0"/>
          <w:iCs w:val="0"/>
          <w:noProof/>
          <w:color w:val="000000" w:themeColor="text1"/>
          <w:sz w:val="20"/>
          <w:szCs w:val="20"/>
        </w:rPr>
        <w:t>h</w:t>
      </w:r>
      <w:r w:rsidR="00382EC0" w:rsidRPr="00806AC4">
        <w:rPr>
          <w:i w:val="0"/>
          <w:iCs w:val="0"/>
          <w:noProof/>
          <w:color w:val="000000" w:themeColor="text1"/>
          <w:sz w:val="20"/>
          <w:szCs w:val="20"/>
        </w:rPr>
        <w:t>e i</w:t>
      </w:r>
      <w:r w:rsidR="002E2462" w:rsidRPr="00806AC4">
        <w:rPr>
          <w:i w:val="0"/>
          <w:iCs w:val="0"/>
          <w:noProof/>
          <w:color w:val="000000" w:themeColor="text1"/>
          <w:sz w:val="20"/>
          <w:szCs w:val="20"/>
        </w:rPr>
        <w:t>n</w:t>
      </w:r>
      <w:r w:rsidR="00382EC0" w:rsidRPr="00806AC4">
        <w:rPr>
          <w:i w:val="0"/>
          <w:iCs w:val="0"/>
          <w:noProof/>
          <w:color w:val="000000" w:themeColor="text1"/>
          <w:sz w:val="20"/>
          <w:szCs w:val="20"/>
        </w:rPr>
        <w:t xml:space="preserve">ternal SHC library screening </w:t>
      </w:r>
      <w:r w:rsidR="00806AC4" w:rsidRPr="00806AC4">
        <w:rPr>
          <w:i w:val="0"/>
          <w:iCs w:val="0"/>
          <w:noProof/>
          <w:color w:val="000000" w:themeColor="text1"/>
          <w:sz w:val="20"/>
          <w:szCs w:val="20"/>
        </w:rPr>
        <w:t xml:space="preserve">for cyclization </w:t>
      </w:r>
      <w:r w:rsidR="00382EC0" w:rsidRPr="00806AC4">
        <w:rPr>
          <w:i w:val="0"/>
          <w:iCs w:val="0"/>
          <w:noProof/>
          <w:color w:val="000000" w:themeColor="text1"/>
          <w:sz w:val="20"/>
          <w:szCs w:val="20"/>
        </w:rPr>
        <w:t xml:space="preserve">of </w:t>
      </w:r>
      <w:r w:rsidR="00382EC0" w:rsidRPr="00806AC4">
        <w:rPr>
          <w:noProof/>
          <w:color w:val="000000" w:themeColor="text1"/>
          <w:sz w:val="20"/>
          <w:szCs w:val="20"/>
        </w:rPr>
        <w:t>E</w:t>
      </w:r>
      <w:r w:rsidR="00D37FD9" w:rsidRPr="00806AC4">
        <w:rPr>
          <w:i w:val="0"/>
          <w:iCs w:val="0"/>
          <w:noProof/>
          <w:color w:val="000000" w:themeColor="text1"/>
          <w:sz w:val="20"/>
          <w:szCs w:val="20"/>
        </w:rPr>
        <w:t>,</w:t>
      </w:r>
      <w:r w:rsidR="00D37FD9" w:rsidRPr="00806AC4">
        <w:rPr>
          <w:noProof/>
          <w:color w:val="000000" w:themeColor="text1"/>
          <w:sz w:val="20"/>
          <w:szCs w:val="20"/>
        </w:rPr>
        <w:t>E</w:t>
      </w:r>
      <w:r w:rsidR="00D37FD9" w:rsidRPr="00806AC4">
        <w:rPr>
          <w:i w:val="0"/>
          <w:iCs w:val="0"/>
          <w:noProof/>
          <w:color w:val="000000" w:themeColor="text1"/>
          <w:sz w:val="20"/>
          <w:szCs w:val="20"/>
        </w:rPr>
        <w:t>-farnesyl acetone</w:t>
      </w:r>
      <w:r w:rsidR="002E2462" w:rsidRPr="00806AC4">
        <w:rPr>
          <w:i w:val="0"/>
          <w:iCs w:val="0"/>
          <w:noProof/>
          <w:color w:val="000000" w:themeColor="text1"/>
          <w:sz w:val="20"/>
          <w:szCs w:val="20"/>
        </w:rPr>
        <w:t xml:space="preserve"> </w:t>
      </w:r>
      <w:r w:rsidR="002E2462" w:rsidRPr="00ED00A9">
        <w:rPr>
          <w:i w:val="0"/>
          <w:iCs w:val="0"/>
          <w:noProof/>
          <w:color w:val="000000" w:themeColor="text1"/>
          <w:sz w:val="20"/>
          <w:szCs w:val="20"/>
        </w:rPr>
        <w:t>13</w:t>
      </w:r>
      <w:r w:rsidR="00806AC4" w:rsidRPr="00806AC4">
        <w:rPr>
          <w:b/>
          <w:bCs/>
          <w:i w:val="0"/>
          <w:iCs w:val="0"/>
          <w:noProof/>
          <w:color w:val="000000" w:themeColor="text1"/>
          <w:sz w:val="20"/>
          <w:szCs w:val="20"/>
        </w:rPr>
        <w:t xml:space="preserve"> </w:t>
      </w:r>
      <w:r w:rsidR="00806AC4" w:rsidRPr="00806AC4">
        <w:rPr>
          <w:i w:val="0"/>
          <w:iCs w:val="0"/>
          <w:noProof/>
          <w:color w:val="000000" w:themeColor="text1"/>
          <w:sz w:val="20"/>
          <w:szCs w:val="20"/>
        </w:rPr>
        <w:t xml:space="preserve">to sclareoloxide </w:t>
      </w:r>
      <w:r w:rsidR="00806AC4" w:rsidRPr="00806AC4">
        <w:rPr>
          <w:b/>
          <w:bCs/>
          <w:i w:val="0"/>
          <w:iCs w:val="0"/>
          <w:noProof/>
          <w:color w:val="000000" w:themeColor="text1"/>
          <w:sz w:val="20"/>
          <w:szCs w:val="20"/>
        </w:rPr>
        <w:t>14</w:t>
      </w:r>
      <w:r w:rsidR="00382EC0" w:rsidRPr="00806AC4">
        <w:rPr>
          <w:i w:val="0"/>
          <w:iCs w:val="0"/>
          <w:noProof/>
          <w:color w:val="000000" w:themeColor="text1"/>
          <w:sz w:val="20"/>
          <w:szCs w:val="20"/>
        </w:rPr>
        <w:t xml:space="preserve">. </w:t>
      </w:r>
      <w:r w:rsidR="00806AC4" w:rsidRPr="00806AC4">
        <w:rPr>
          <w:i w:val="0"/>
          <w:iCs w:val="0"/>
          <w:noProof/>
          <w:color w:val="000000" w:themeColor="text1"/>
          <w:sz w:val="20"/>
          <w:szCs w:val="20"/>
        </w:rPr>
        <w:t>Products were identifed by NMR. Variants were plotted against their GC conversion (lower columns) and selectivity (upper columns). GC conversion and selectivity was determined as [Area_product]/[Area_substrate+Area_products].</w:t>
      </w:r>
      <w:r w:rsidR="006967AD">
        <w:rPr>
          <w:i w:val="0"/>
          <w:iCs w:val="0"/>
          <w:noProof/>
          <w:color w:val="000000" w:themeColor="text1"/>
          <w:sz w:val="20"/>
          <w:szCs w:val="20"/>
        </w:rPr>
        <w:t xml:space="preserve"> </w:t>
      </w:r>
      <w:r w:rsidR="007D35E8">
        <w:rPr>
          <w:i w:val="0"/>
          <w:iCs w:val="0"/>
          <w:noProof/>
          <w:color w:val="000000" w:themeColor="text1"/>
          <w:sz w:val="20"/>
          <w:szCs w:val="20"/>
        </w:rPr>
        <w:t xml:space="preserve">Conditions: 1 mM substrate, </w:t>
      </w:r>
      <w:r w:rsidR="007D35E8" w:rsidRPr="006967AD">
        <w:rPr>
          <w:noProof/>
          <w:color w:val="000000" w:themeColor="text1"/>
          <w:sz w:val="20"/>
          <w:szCs w:val="20"/>
        </w:rPr>
        <w:t xml:space="preserve">E. coli </w:t>
      </w:r>
      <w:r w:rsidR="007D35E8">
        <w:rPr>
          <w:i w:val="0"/>
          <w:iCs w:val="0"/>
          <w:noProof/>
          <w:color w:val="000000" w:themeColor="text1"/>
          <w:sz w:val="20"/>
          <w:szCs w:val="20"/>
        </w:rPr>
        <w:t xml:space="preserve">cells expressing SHC variant, OD = 20, 50 °C, 20 h. Enzyme expression was controlled via SDS-PAGE. Best hits were then compared in </w:t>
      </w:r>
      <w:r w:rsidR="002020E7">
        <w:rPr>
          <w:i w:val="0"/>
          <w:iCs w:val="0"/>
          <w:noProof/>
          <w:color w:val="000000" w:themeColor="text1"/>
          <w:sz w:val="20"/>
          <w:szCs w:val="20"/>
        </w:rPr>
        <w:t xml:space="preserve">analytical </w:t>
      </w:r>
      <w:r w:rsidR="007D35E8">
        <w:rPr>
          <w:i w:val="0"/>
          <w:iCs w:val="0"/>
          <w:noProof/>
          <w:color w:val="000000" w:themeColor="text1"/>
          <w:sz w:val="20"/>
          <w:szCs w:val="20"/>
        </w:rPr>
        <w:t>biotransformations in water.</w:t>
      </w:r>
    </w:p>
    <w:p w14:paraId="290B54BC" w14:textId="77777777" w:rsidR="006868A3" w:rsidRPr="00833471" w:rsidRDefault="006868A3" w:rsidP="00FA3D6A">
      <w:pPr>
        <w:keepNext/>
      </w:pPr>
      <w:r w:rsidRPr="00833471">
        <w:rPr>
          <w:rFonts w:eastAsiaTheme="majorEastAsia" w:cs="Arial"/>
          <w:b/>
          <w:bCs/>
          <w:noProof/>
          <w:sz w:val="28"/>
          <w:szCs w:val="32"/>
        </w:rPr>
        <w:lastRenderedPageBreak/>
        <w:drawing>
          <wp:inline distT="0" distB="0" distL="0" distR="0" wp14:anchorId="4406AA10" wp14:editId="7141532D">
            <wp:extent cx="5760720" cy="5311588"/>
            <wp:effectExtent l="0" t="0" r="0" b="381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rotWithShape="1">
                    <a:blip r:embed="rId15"/>
                    <a:srcRect t="4047" b="21593"/>
                    <a:stretch/>
                  </pic:blipFill>
                  <pic:spPr bwMode="auto">
                    <a:xfrm>
                      <a:off x="0" y="0"/>
                      <a:ext cx="5760720" cy="5311588"/>
                    </a:xfrm>
                    <a:prstGeom prst="rect">
                      <a:avLst/>
                    </a:prstGeom>
                    <a:ln>
                      <a:noFill/>
                    </a:ln>
                    <a:extLst>
                      <a:ext uri="{53640926-AAD7-44D8-BBD7-CCE9431645EC}">
                        <a14:shadowObscured xmlns:a14="http://schemas.microsoft.com/office/drawing/2010/main"/>
                      </a:ext>
                    </a:extLst>
                  </pic:spPr>
                </pic:pic>
              </a:graphicData>
            </a:graphic>
          </wp:inline>
        </w:drawing>
      </w:r>
    </w:p>
    <w:p w14:paraId="32BE663F" w14:textId="5E2362F1" w:rsidR="006868A3" w:rsidRPr="00C36F8B" w:rsidRDefault="006868A3" w:rsidP="00FA3D6A">
      <w:pPr>
        <w:pStyle w:val="Caption"/>
        <w:rPr>
          <w:i w:val="0"/>
          <w:iCs w:val="0"/>
          <w:noProof/>
          <w:color w:val="000000" w:themeColor="text1"/>
          <w:sz w:val="20"/>
          <w:szCs w:val="20"/>
        </w:rPr>
      </w:pPr>
      <w:bookmarkStart w:id="8" w:name="_Toc134623355"/>
      <w:r w:rsidRPr="00C36F8B">
        <w:rPr>
          <w:rStyle w:val="Heading1Char"/>
          <w:i w:val="0"/>
          <w:iCs w:val="0"/>
          <w:color w:val="auto"/>
        </w:rPr>
        <w:t xml:space="preserve">Figure S </w:t>
      </w:r>
      <w:r w:rsidRPr="00C36F8B">
        <w:rPr>
          <w:rStyle w:val="Heading1Char"/>
          <w:i w:val="0"/>
          <w:iCs w:val="0"/>
          <w:color w:val="auto"/>
        </w:rPr>
        <w:fldChar w:fldCharType="begin"/>
      </w:r>
      <w:r w:rsidRPr="00C36F8B">
        <w:rPr>
          <w:rStyle w:val="Heading1Char"/>
          <w:i w:val="0"/>
          <w:iCs w:val="0"/>
          <w:color w:val="auto"/>
        </w:rPr>
        <w:instrText xml:space="preserve"> SEQ Figure_S \* ARABIC </w:instrText>
      </w:r>
      <w:r w:rsidRPr="00C36F8B">
        <w:rPr>
          <w:rStyle w:val="Heading1Char"/>
          <w:i w:val="0"/>
          <w:iCs w:val="0"/>
          <w:color w:val="auto"/>
        </w:rPr>
        <w:fldChar w:fldCharType="separate"/>
      </w:r>
      <w:r w:rsidR="00AA5E09">
        <w:rPr>
          <w:rStyle w:val="Heading1Char"/>
          <w:i w:val="0"/>
          <w:iCs w:val="0"/>
          <w:noProof/>
          <w:color w:val="auto"/>
        </w:rPr>
        <w:t>8</w:t>
      </w:r>
      <w:bookmarkEnd w:id="8"/>
      <w:r w:rsidRPr="00C36F8B">
        <w:rPr>
          <w:rStyle w:val="Heading1Char"/>
          <w:i w:val="0"/>
          <w:iCs w:val="0"/>
          <w:color w:val="auto"/>
        </w:rPr>
        <w:fldChar w:fldCharType="end"/>
      </w:r>
      <w:r w:rsidR="00460D5B" w:rsidRPr="00C36F8B">
        <w:rPr>
          <w:i w:val="0"/>
          <w:iCs w:val="0"/>
          <w:noProof/>
          <w:color w:val="000000" w:themeColor="text1"/>
          <w:sz w:val="20"/>
          <w:szCs w:val="20"/>
        </w:rPr>
        <w:t>: Results of t</w:t>
      </w:r>
      <w:r w:rsidR="00806AC4" w:rsidRPr="00C36F8B">
        <w:rPr>
          <w:i w:val="0"/>
          <w:iCs w:val="0"/>
          <w:noProof/>
          <w:color w:val="000000" w:themeColor="text1"/>
          <w:sz w:val="20"/>
          <w:szCs w:val="20"/>
        </w:rPr>
        <w:t>h</w:t>
      </w:r>
      <w:r w:rsidR="00460D5B" w:rsidRPr="00C36F8B">
        <w:rPr>
          <w:i w:val="0"/>
          <w:iCs w:val="0"/>
          <w:noProof/>
          <w:color w:val="000000" w:themeColor="text1"/>
          <w:sz w:val="20"/>
          <w:szCs w:val="20"/>
        </w:rPr>
        <w:t>e i</w:t>
      </w:r>
      <w:r w:rsidR="00806AC4" w:rsidRPr="00C36F8B">
        <w:rPr>
          <w:i w:val="0"/>
          <w:iCs w:val="0"/>
          <w:noProof/>
          <w:color w:val="000000" w:themeColor="text1"/>
          <w:sz w:val="20"/>
          <w:szCs w:val="20"/>
        </w:rPr>
        <w:t>n</w:t>
      </w:r>
      <w:r w:rsidR="00460D5B" w:rsidRPr="00C36F8B">
        <w:rPr>
          <w:i w:val="0"/>
          <w:iCs w:val="0"/>
          <w:noProof/>
          <w:color w:val="000000" w:themeColor="text1"/>
          <w:sz w:val="20"/>
          <w:szCs w:val="20"/>
        </w:rPr>
        <w:t xml:space="preserve">ternal SHC library screening </w:t>
      </w:r>
      <w:r w:rsidR="00806AC4" w:rsidRPr="00C36F8B">
        <w:rPr>
          <w:i w:val="0"/>
          <w:iCs w:val="0"/>
          <w:noProof/>
          <w:color w:val="000000" w:themeColor="text1"/>
          <w:sz w:val="20"/>
          <w:szCs w:val="20"/>
        </w:rPr>
        <w:t xml:space="preserve">for cyclization </w:t>
      </w:r>
      <w:r w:rsidR="00460D5B" w:rsidRPr="00C36F8B">
        <w:rPr>
          <w:i w:val="0"/>
          <w:iCs w:val="0"/>
          <w:noProof/>
          <w:color w:val="000000" w:themeColor="text1"/>
          <w:sz w:val="20"/>
          <w:szCs w:val="20"/>
        </w:rPr>
        <w:t>of</w:t>
      </w:r>
      <w:r w:rsidR="00A52587" w:rsidRPr="00C36F8B">
        <w:rPr>
          <w:i w:val="0"/>
          <w:iCs w:val="0"/>
          <w:noProof/>
          <w:color w:val="000000" w:themeColor="text1"/>
          <w:sz w:val="20"/>
          <w:szCs w:val="20"/>
        </w:rPr>
        <w:t xml:space="preserve"> </w:t>
      </w:r>
      <w:r w:rsidR="00806AC4" w:rsidRPr="00C36F8B">
        <w:rPr>
          <w:i w:val="0"/>
          <w:iCs w:val="0"/>
          <w:noProof/>
          <w:color w:val="000000" w:themeColor="text1"/>
          <w:sz w:val="20"/>
          <w:szCs w:val="20"/>
        </w:rPr>
        <w:t>k</w:t>
      </w:r>
      <w:r w:rsidR="00A52587" w:rsidRPr="00C36F8B">
        <w:rPr>
          <w:i w:val="0"/>
          <w:iCs w:val="0"/>
          <w:noProof/>
          <w:color w:val="000000" w:themeColor="text1"/>
          <w:sz w:val="20"/>
          <w:szCs w:val="20"/>
        </w:rPr>
        <w:t xml:space="preserve">etoester </w:t>
      </w:r>
      <w:r w:rsidR="00A52587" w:rsidRPr="00ED00A9">
        <w:rPr>
          <w:i w:val="0"/>
          <w:iCs w:val="0"/>
          <w:noProof/>
          <w:color w:val="000000" w:themeColor="text1"/>
          <w:sz w:val="20"/>
          <w:szCs w:val="20"/>
        </w:rPr>
        <w:t>15</w:t>
      </w:r>
      <w:r w:rsidR="00806AC4" w:rsidRPr="00C36F8B">
        <w:rPr>
          <w:i w:val="0"/>
          <w:iCs w:val="0"/>
          <w:noProof/>
          <w:color w:val="000000" w:themeColor="text1"/>
          <w:sz w:val="20"/>
          <w:szCs w:val="20"/>
        </w:rPr>
        <w:t xml:space="preserve"> to </w:t>
      </w:r>
      <w:r w:rsidR="00C36F8B" w:rsidRPr="00C36F8B">
        <w:rPr>
          <w:i w:val="0"/>
          <w:iCs w:val="0"/>
          <w:noProof/>
          <w:color w:val="000000" w:themeColor="text1"/>
          <w:sz w:val="20"/>
          <w:szCs w:val="20"/>
        </w:rPr>
        <w:t xml:space="preserve">product </w:t>
      </w:r>
      <w:r w:rsidR="00C36F8B" w:rsidRPr="00ED00A9">
        <w:rPr>
          <w:i w:val="0"/>
          <w:iCs w:val="0"/>
          <w:noProof/>
          <w:color w:val="000000" w:themeColor="text1"/>
          <w:sz w:val="20"/>
          <w:szCs w:val="20"/>
        </w:rPr>
        <w:t>16</w:t>
      </w:r>
      <w:r w:rsidR="00460D5B" w:rsidRPr="00C36F8B">
        <w:rPr>
          <w:i w:val="0"/>
          <w:iCs w:val="0"/>
          <w:noProof/>
          <w:color w:val="000000" w:themeColor="text1"/>
          <w:sz w:val="20"/>
          <w:szCs w:val="20"/>
        </w:rPr>
        <w:t xml:space="preserve">. </w:t>
      </w:r>
      <w:r w:rsidR="00B35119">
        <w:rPr>
          <w:i w:val="0"/>
          <w:iCs w:val="0"/>
          <w:noProof/>
          <w:color w:val="000000" w:themeColor="text1"/>
          <w:sz w:val="20"/>
          <w:szCs w:val="20"/>
        </w:rPr>
        <w:t xml:space="preserve">Substrate </w:t>
      </w:r>
      <w:r w:rsidR="00B35119" w:rsidRPr="00ED00A9">
        <w:rPr>
          <w:i w:val="0"/>
          <w:iCs w:val="0"/>
          <w:noProof/>
          <w:color w:val="000000" w:themeColor="text1"/>
          <w:sz w:val="20"/>
          <w:szCs w:val="20"/>
        </w:rPr>
        <w:t xml:space="preserve">15 </w:t>
      </w:r>
      <w:r w:rsidR="00B35119">
        <w:rPr>
          <w:i w:val="0"/>
          <w:iCs w:val="0"/>
          <w:noProof/>
          <w:color w:val="000000" w:themeColor="text1"/>
          <w:sz w:val="20"/>
          <w:szCs w:val="20"/>
        </w:rPr>
        <w:t xml:space="preserve">is prone to decarboxylate to </w:t>
      </w:r>
      <w:r w:rsidR="00B35119" w:rsidRPr="00ED00A9">
        <w:rPr>
          <w:i w:val="0"/>
          <w:iCs w:val="0"/>
          <w:noProof/>
          <w:color w:val="000000" w:themeColor="text1"/>
          <w:sz w:val="20"/>
          <w:szCs w:val="20"/>
        </w:rPr>
        <w:t>13</w:t>
      </w:r>
      <w:r w:rsidR="00B35119">
        <w:rPr>
          <w:i w:val="0"/>
          <w:iCs w:val="0"/>
          <w:noProof/>
          <w:color w:val="000000" w:themeColor="text1"/>
          <w:sz w:val="20"/>
          <w:szCs w:val="20"/>
        </w:rPr>
        <w:t xml:space="preserve"> under GC injector conditions (300 °C). </w:t>
      </w:r>
      <w:r w:rsidR="00C36F8B" w:rsidRPr="00C36F8B">
        <w:rPr>
          <w:i w:val="0"/>
          <w:iCs w:val="0"/>
          <w:noProof/>
          <w:color w:val="000000" w:themeColor="text1"/>
          <w:sz w:val="20"/>
          <w:szCs w:val="20"/>
        </w:rPr>
        <w:t>Products were identifed by NMR. Variants were plotted against their GC conversion (lower columns) and selectivity (upper columns). GC conversion and selectivity was determined as [Area_product]/[Area_substrate+Area_products].</w:t>
      </w:r>
      <w:r w:rsidR="006967AD">
        <w:rPr>
          <w:i w:val="0"/>
          <w:iCs w:val="0"/>
          <w:noProof/>
          <w:color w:val="000000" w:themeColor="text1"/>
          <w:sz w:val="20"/>
          <w:szCs w:val="20"/>
        </w:rPr>
        <w:t xml:space="preserve"> Conditions: 1 mM substrate, </w:t>
      </w:r>
      <w:r w:rsidR="006967AD" w:rsidRPr="006967AD">
        <w:rPr>
          <w:noProof/>
          <w:color w:val="000000" w:themeColor="text1"/>
          <w:sz w:val="20"/>
          <w:szCs w:val="20"/>
        </w:rPr>
        <w:t xml:space="preserve">E. coli </w:t>
      </w:r>
      <w:r w:rsidR="006967AD">
        <w:rPr>
          <w:i w:val="0"/>
          <w:iCs w:val="0"/>
          <w:noProof/>
          <w:color w:val="000000" w:themeColor="text1"/>
          <w:sz w:val="20"/>
          <w:szCs w:val="20"/>
        </w:rPr>
        <w:t xml:space="preserve">cells expressing SHC variant, OD = 20, </w:t>
      </w:r>
      <w:r w:rsidR="007D35E8">
        <w:rPr>
          <w:i w:val="0"/>
          <w:iCs w:val="0"/>
          <w:noProof/>
          <w:color w:val="000000" w:themeColor="text1"/>
          <w:sz w:val="20"/>
          <w:szCs w:val="20"/>
        </w:rPr>
        <w:t>5</w:t>
      </w:r>
      <w:r w:rsidR="006967AD">
        <w:rPr>
          <w:i w:val="0"/>
          <w:iCs w:val="0"/>
          <w:noProof/>
          <w:color w:val="000000" w:themeColor="text1"/>
          <w:sz w:val="20"/>
          <w:szCs w:val="20"/>
        </w:rPr>
        <w:t xml:space="preserve">0 °C, 20 h. Similar enzyme expression was determined via SDS-PAGE. </w:t>
      </w:r>
      <w:r w:rsidR="0076020B">
        <w:rPr>
          <w:i w:val="0"/>
          <w:iCs w:val="0"/>
          <w:noProof/>
          <w:color w:val="000000" w:themeColor="text1"/>
          <w:sz w:val="20"/>
          <w:szCs w:val="20"/>
        </w:rPr>
        <w:t xml:space="preserve">Best hits were then compared in </w:t>
      </w:r>
      <w:r w:rsidR="002020E7">
        <w:rPr>
          <w:i w:val="0"/>
          <w:iCs w:val="0"/>
          <w:noProof/>
          <w:color w:val="000000" w:themeColor="text1"/>
          <w:sz w:val="20"/>
          <w:szCs w:val="20"/>
        </w:rPr>
        <w:t>analytical</w:t>
      </w:r>
      <w:r w:rsidR="0076020B">
        <w:rPr>
          <w:i w:val="0"/>
          <w:iCs w:val="0"/>
          <w:noProof/>
          <w:color w:val="000000" w:themeColor="text1"/>
          <w:sz w:val="20"/>
          <w:szCs w:val="20"/>
        </w:rPr>
        <w:t xml:space="preserve"> biotransformations in water.</w:t>
      </w:r>
    </w:p>
    <w:p w14:paraId="1798A479" w14:textId="77777777" w:rsidR="00DE5DC1" w:rsidRPr="00833471" w:rsidRDefault="00DE5DC1" w:rsidP="00FA3D6A"/>
    <w:p w14:paraId="1CA4FB75" w14:textId="77777777" w:rsidR="00DE5DC1" w:rsidRPr="00833471" w:rsidRDefault="00DE5DC1" w:rsidP="00FA3D6A"/>
    <w:p w14:paraId="01F30EEB" w14:textId="77777777" w:rsidR="00DE5DC1" w:rsidRPr="00833471" w:rsidRDefault="00DE5DC1" w:rsidP="00FA3D6A"/>
    <w:p w14:paraId="411F7BE9" w14:textId="4914C391" w:rsidR="006868A3" w:rsidRPr="00833471" w:rsidRDefault="00012234" w:rsidP="00FA3D6A">
      <w:pPr>
        <w:keepNext/>
      </w:pPr>
      <w:r>
        <w:rPr>
          <w:noProof/>
        </w:rPr>
        <w:lastRenderedPageBreak/>
        <w:drawing>
          <wp:inline distT="0" distB="0" distL="0" distR="0" wp14:anchorId="3C9F73FB" wp14:editId="7BA95E7B">
            <wp:extent cx="5760720" cy="3905250"/>
            <wp:effectExtent l="0" t="0" r="0"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rotWithShape="1">
                    <a:blip r:embed="rId16"/>
                    <a:srcRect t="18669" b="26660"/>
                    <a:stretch/>
                  </pic:blipFill>
                  <pic:spPr bwMode="auto">
                    <a:xfrm>
                      <a:off x="0" y="0"/>
                      <a:ext cx="5760720" cy="3905250"/>
                    </a:xfrm>
                    <a:prstGeom prst="rect">
                      <a:avLst/>
                    </a:prstGeom>
                    <a:ln>
                      <a:noFill/>
                    </a:ln>
                    <a:extLst>
                      <a:ext uri="{53640926-AAD7-44D8-BBD7-CCE9431645EC}">
                        <a14:shadowObscured xmlns:a14="http://schemas.microsoft.com/office/drawing/2010/main"/>
                      </a:ext>
                    </a:extLst>
                  </pic:spPr>
                </pic:pic>
              </a:graphicData>
            </a:graphic>
          </wp:inline>
        </w:drawing>
      </w:r>
    </w:p>
    <w:p w14:paraId="6FE17308" w14:textId="3602BB92" w:rsidR="006868A3" w:rsidRPr="00A3637B" w:rsidRDefault="006868A3" w:rsidP="00FA3D6A">
      <w:pPr>
        <w:pStyle w:val="Caption"/>
        <w:rPr>
          <w:i w:val="0"/>
          <w:iCs w:val="0"/>
          <w:color w:val="000000" w:themeColor="text1"/>
        </w:rPr>
      </w:pPr>
      <w:bookmarkStart w:id="9" w:name="_Toc134623356"/>
      <w:r w:rsidRPr="00C36F8B">
        <w:rPr>
          <w:rStyle w:val="Heading1Char"/>
          <w:i w:val="0"/>
          <w:iCs w:val="0"/>
          <w:color w:val="auto"/>
        </w:rPr>
        <w:t xml:space="preserve">Figure S </w:t>
      </w:r>
      <w:r w:rsidRPr="00C36F8B">
        <w:rPr>
          <w:rStyle w:val="Heading1Char"/>
          <w:i w:val="0"/>
          <w:iCs w:val="0"/>
          <w:color w:val="auto"/>
        </w:rPr>
        <w:fldChar w:fldCharType="begin"/>
      </w:r>
      <w:r w:rsidRPr="00C36F8B">
        <w:rPr>
          <w:rStyle w:val="Heading1Char"/>
          <w:i w:val="0"/>
          <w:iCs w:val="0"/>
          <w:color w:val="auto"/>
        </w:rPr>
        <w:instrText xml:space="preserve"> SEQ Figure_S \* ARABIC </w:instrText>
      </w:r>
      <w:r w:rsidRPr="00C36F8B">
        <w:rPr>
          <w:rStyle w:val="Heading1Char"/>
          <w:i w:val="0"/>
          <w:iCs w:val="0"/>
          <w:color w:val="auto"/>
        </w:rPr>
        <w:fldChar w:fldCharType="separate"/>
      </w:r>
      <w:r w:rsidR="00AA5E09">
        <w:rPr>
          <w:rStyle w:val="Heading1Char"/>
          <w:i w:val="0"/>
          <w:iCs w:val="0"/>
          <w:noProof/>
          <w:color w:val="auto"/>
        </w:rPr>
        <w:t>9</w:t>
      </w:r>
      <w:bookmarkEnd w:id="9"/>
      <w:r w:rsidRPr="00C36F8B">
        <w:rPr>
          <w:rStyle w:val="Heading1Char"/>
          <w:i w:val="0"/>
          <w:iCs w:val="0"/>
          <w:color w:val="auto"/>
        </w:rPr>
        <w:fldChar w:fldCharType="end"/>
      </w:r>
      <w:r w:rsidR="00DE5DC1" w:rsidRPr="000D43AB">
        <w:rPr>
          <w:i w:val="0"/>
          <w:iCs w:val="0"/>
          <w:noProof/>
          <w:color w:val="000000" w:themeColor="text1"/>
        </w:rPr>
        <w:t xml:space="preserve">: </w:t>
      </w:r>
      <w:r w:rsidR="00AE420B">
        <w:rPr>
          <w:i w:val="0"/>
          <w:iCs w:val="0"/>
          <w:noProof/>
          <w:color w:val="000000" w:themeColor="text1"/>
        </w:rPr>
        <w:t>C</w:t>
      </w:r>
      <w:r w:rsidR="00810C74" w:rsidRPr="000D43AB">
        <w:rPr>
          <w:i w:val="0"/>
          <w:iCs w:val="0"/>
          <w:noProof/>
          <w:color w:val="000000" w:themeColor="text1"/>
        </w:rPr>
        <w:t xml:space="preserve">omparing </w:t>
      </w:r>
      <w:r w:rsidR="00AE420B">
        <w:rPr>
          <w:rFonts w:ascii="Open Sans" w:hAnsi="Open Sans" w:cs="Open Sans"/>
          <w:i w:val="0"/>
          <w:iCs w:val="0"/>
          <w:noProof/>
          <w:color w:val="000000" w:themeColor="text1"/>
        </w:rPr>
        <w:t>α</w:t>
      </w:r>
      <w:r w:rsidR="00AE420B">
        <w:rPr>
          <w:i w:val="0"/>
          <w:iCs w:val="0"/>
          <w:noProof/>
          <w:color w:val="000000" w:themeColor="text1"/>
        </w:rPr>
        <w:t>-</w:t>
      </w:r>
      <w:r w:rsidR="00810C74" w:rsidRPr="000D43AB">
        <w:rPr>
          <w:i w:val="0"/>
          <w:iCs w:val="0"/>
          <w:noProof/>
          <w:color w:val="000000" w:themeColor="text1"/>
        </w:rPr>
        <w:t xml:space="preserve">, </w:t>
      </w:r>
      <w:r w:rsidR="00AE420B">
        <w:rPr>
          <w:rFonts w:cs="Arial"/>
          <w:i w:val="0"/>
          <w:iCs w:val="0"/>
          <w:noProof/>
          <w:color w:val="000000" w:themeColor="text1"/>
        </w:rPr>
        <w:t>β</w:t>
      </w:r>
      <w:r w:rsidR="00AE420B">
        <w:rPr>
          <w:i w:val="0"/>
          <w:iCs w:val="0"/>
          <w:noProof/>
          <w:color w:val="000000" w:themeColor="text1"/>
        </w:rPr>
        <w:t>-</w:t>
      </w:r>
      <w:r w:rsidR="00810C74" w:rsidRPr="000D43AB">
        <w:rPr>
          <w:i w:val="0"/>
          <w:iCs w:val="0"/>
          <w:noProof/>
          <w:color w:val="000000" w:themeColor="text1"/>
        </w:rPr>
        <w:t xml:space="preserve">, </w:t>
      </w:r>
      <w:r w:rsidR="00AE420B">
        <w:rPr>
          <w:rFonts w:cs="Arial"/>
          <w:i w:val="0"/>
          <w:iCs w:val="0"/>
          <w:noProof/>
          <w:color w:val="000000" w:themeColor="text1"/>
        </w:rPr>
        <w:t>γ</w:t>
      </w:r>
      <w:r w:rsidR="00AE420B">
        <w:rPr>
          <w:i w:val="0"/>
          <w:iCs w:val="0"/>
          <w:noProof/>
          <w:color w:val="000000" w:themeColor="text1"/>
        </w:rPr>
        <w:t>-</w:t>
      </w:r>
      <w:r w:rsidR="00810C74" w:rsidRPr="000D43AB">
        <w:rPr>
          <w:i w:val="0"/>
          <w:iCs w:val="0"/>
          <w:noProof/>
          <w:color w:val="000000" w:themeColor="text1"/>
        </w:rPr>
        <w:t>, and 2-hydroxypropyl-</w:t>
      </w:r>
      <w:r w:rsidR="00AE420B">
        <w:rPr>
          <w:rFonts w:cs="Arial"/>
          <w:i w:val="0"/>
          <w:iCs w:val="0"/>
          <w:noProof/>
          <w:color w:val="000000" w:themeColor="text1"/>
        </w:rPr>
        <w:t>β</w:t>
      </w:r>
      <w:r w:rsidR="00810C74" w:rsidRPr="000D43AB">
        <w:rPr>
          <w:i w:val="0"/>
          <w:iCs w:val="0"/>
          <w:noProof/>
          <w:color w:val="000000" w:themeColor="text1"/>
        </w:rPr>
        <w:t>-cyclo</w:t>
      </w:r>
      <w:r w:rsidR="00A60D1E" w:rsidRPr="000D43AB">
        <w:rPr>
          <w:i w:val="0"/>
          <w:iCs w:val="0"/>
          <w:noProof/>
          <w:color w:val="000000" w:themeColor="text1"/>
        </w:rPr>
        <w:t xml:space="preserve">dextrin </w:t>
      </w:r>
      <w:r w:rsidR="00AE420B">
        <w:rPr>
          <w:i w:val="0"/>
          <w:iCs w:val="0"/>
          <w:noProof/>
          <w:color w:val="000000" w:themeColor="text1"/>
        </w:rPr>
        <w:t xml:space="preserve">in the biotransfromation of </w:t>
      </w:r>
      <w:r w:rsidR="00CC32CD">
        <w:rPr>
          <w:i w:val="0"/>
          <w:iCs w:val="0"/>
          <w:noProof/>
          <w:color w:val="000000" w:themeColor="text1"/>
        </w:rPr>
        <w:t>19 to 20, 17 to 18 and</w:t>
      </w:r>
      <w:r w:rsidR="00BC2777">
        <w:rPr>
          <w:i w:val="0"/>
          <w:iCs w:val="0"/>
          <w:noProof/>
          <w:color w:val="000000" w:themeColor="text1"/>
        </w:rPr>
        <w:t xml:space="preserve"> 21 to 22 using different AacSHCs</w:t>
      </w:r>
      <w:r w:rsidR="00D27464">
        <w:rPr>
          <w:i w:val="0"/>
          <w:iCs w:val="0"/>
          <w:noProof/>
          <w:color w:val="000000" w:themeColor="text1"/>
        </w:rPr>
        <w:t xml:space="preserve"> (red letters)</w:t>
      </w:r>
      <w:r w:rsidR="00A60D1E" w:rsidRPr="000D43AB">
        <w:rPr>
          <w:i w:val="0"/>
          <w:iCs w:val="0"/>
          <w:noProof/>
          <w:color w:val="000000" w:themeColor="text1"/>
        </w:rPr>
        <w:t xml:space="preserve">. Conditions: </w:t>
      </w:r>
      <w:r w:rsidR="00BC2777">
        <w:rPr>
          <w:i w:val="0"/>
          <w:iCs w:val="0"/>
          <w:noProof/>
          <w:color w:val="000000" w:themeColor="text1"/>
        </w:rPr>
        <w:t>10 g</w:t>
      </w:r>
      <w:r w:rsidR="0076020B" w:rsidRPr="0076020B">
        <w:rPr>
          <w:i w:val="0"/>
          <w:iCs w:val="0"/>
          <w:noProof/>
          <w:color w:val="000000" w:themeColor="text1"/>
          <w:vertAlign w:val="subscript"/>
        </w:rPr>
        <w:t>CDW</w:t>
      </w:r>
      <w:r w:rsidR="00BC2777">
        <w:rPr>
          <w:i w:val="0"/>
          <w:iCs w:val="0"/>
          <w:noProof/>
          <w:color w:val="000000" w:themeColor="text1"/>
        </w:rPr>
        <w:t xml:space="preserve">/L </w:t>
      </w:r>
      <w:r w:rsidR="00621C7A" w:rsidRPr="00621C7A">
        <w:rPr>
          <w:noProof/>
          <w:color w:val="000000" w:themeColor="text1"/>
        </w:rPr>
        <w:t>E. coli</w:t>
      </w:r>
      <w:r w:rsidR="00621C7A">
        <w:rPr>
          <w:i w:val="0"/>
          <w:iCs w:val="0"/>
          <w:noProof/>
          <w:color w:val="000000" w:themeColor="text1"/>
        </w:rPr>
        <w:t xml:space="preserve"> </w:t>
      </w:r>
      <w:r w:rsidR="00BC2777">
        <w:rPr>
          <w:i w:val="0"/>
          <w:iCs w:val="0"/>
          <w:noProof/>
          <w:color w:val="000000" w:themeColor="text1"/>
        </w:rPr>
        <w:t>cells</w:t>
      </w:r>
      <w:r w:rsidR="00621C7A">
        <w:rPr>
          <w:i w:val="0"/>
          <w:iCs w:val="0"/>
          <w:noProof/>
          <w:color w:val="000000" w:themeColor="text1"/>
        </w:rPr>
        <w:t xml:space="preserve"> expressing the </w:t>
      </w:r>
      <w:r w:rsidR="00A3637B">
        <w:rPr>
          <w:i w:val="0"/>
          <w:iCs w:val="0"/>
          <w:noProof/>
          <w:color w:val="000000" w:themeColor="text1"/>
        </w:rPr>
        <w:t>SHC variant (red letters)</w:t>
      </w:r>
      <w:r w:rsidR="00BC2777">
        <w:rPr>
          <w:i w:val="0"/>
          <w:iCs w:val="0"/>
          <w:noProof/>
          <w:color w:val="000000" w:themeColor="text1"/>
        </w:rPr>
        <w:t xml:space="preserve">, </w:t>
      </w:r>
      <w:r w:rsidR="00621C7A">
        <w:rPr>
          <w:i w:val="0"/>
          <w:iCs w:val="0"/>
          <w:noProof/>
          <w:color w:val="000000" w:themeColor="text1"/>
        </w:rPr>
        <w:t>1 mM substrate, 1 mM cyclodextrin,</w:t>
      </w:r>
      <w:r w:rsidR="00A3637B">
        <w:rPr>
          <w:i w:val="0"/>
          <w:iCs w:val="0"/>
          <w:noProof/>
          <w:color w:val="000000" w:themeColor="text1"/>
        </w:rPr>
        <w:t xml:space="preserve"> </w:t>
      </w:r>
      <w:r w:rsidR="00A3637B" w:rsidRPr="00A3637B">
        <w:rPr>
          <w:noProof/>
          <w:color w:val="000000" w:themeColor="text1"/>
        </w:rPr>
        <w:t>dd</w:t>
      </w:r>
      <w:r w:rsidR="00A3637B">
        <w:rPr>
          <w:i w:val="0"/>
          <w:iCs w:val="0"/>
          <w:noProof/>
          <w:color w:val="000000" w:themeColor="text1"/>
        </w:rPr>
        <w:t>H</w:t>
      </w:r>
      <w:r w:rsidR="00A3637B">
        <w:rPr>
          <w:i w:val="0"/>
          <w:iCs w:val="0"/>
          <w:noProof/>
          <w:color w:val="000000" w:themeColor="text1"/>
          <w:vertAlign w:val="subscript"/>
        </w:rPr>
        <w:t>2</w:t>
      </w:r>
      <w:r w:rsidR="00A3637B">
        <w:rPr>
          <w:i w:val="0"/>
          <w:iCs w:val="0"/>
          <w:noProof/>
          <w:color w:val="000000" w:themeColor="text1"/>
        </w:rPr>
        <w:t xml:space="preserve">O, 30 °C, </w:t>
      </w:r>
      <w:r w:rsidR="004215BA">
        <w:rPr>
          <w:i w:val="0"/>
          <w:iCs w:val="0"/>
          <w:noProof/>
          <w:color w:val="000000" w:themeColor="text1"/>
        </w:rPr>
        <w:t>20 h.</w:t>
      </w:r>
    </w:p>
    <w:p w14:paraId="29C12BA8" w14:textId="47290580" w:rsidR="006868A3" w:rsidRPr="00833471" w:rsidRDefault="000D43AB" w:rsidP="00E74339">
      <w:pPr>
        <w:keepNext/>
        <w:jc w:val="center"/>
      </w:pPr>
      <w:r>
        <w:rPr>
          <w:noProof/>
        </w:rPr>
        <w:lastRenderedPageBreak/>
        <w:drawing>
          <wp:inline distT="0" distB="0" distL="0" distR="0" wp14:anchorId="0BC4EC60" wp14:editId="2751F5E1">
            <wp:extent cx="4310380" cy="5979226"/>
            <wp:effectExtent l="0" t="0" r="0" b="2540"/>
            <wp:docPr id="73" name="Picture 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10;&#10;Description automatically generated with medium confidence"/>
                    <pic:cNvPicPr/>
                  </pic:nvPicPr>
                  <pic:blipFill rotWithShape="1">
                    <a:blip r:embed="rId17"/>
                    <a:srcRect l="13915" t="6484" r="11249" b="9796"/>
                    <a:stretch/>
                  </pic:blipFill>
                  <pic:spPr bwMode="auto">
                    <a:xfrm>
                      <a:off x="0" y="0"/>
                      <a:ext cx="4311066" cy="5980178"/>
                    </a:xfrm>
                    <a:prstGeom prst="rect">
                      <a:avLst/>
                    </a:prstGeom>
                    <a:ln>
                      <a:noFill/>
                    </a:ln>
                    <a:extLst>
                      <a:ext uri="{53640926-AAD7-44D8-BBD7-CCE9431645EC}">
                        <a14:shadowObscured xmlns:a14="http://schemas.microsoft.com/office/drawing/2010/main"/>
                      </a:ext>
                    </a:extLst>
                  </pic:spPr>
                </pic:pic>
              </a:graphicData>
            </a:graphic>
          </wp:inline>
        </w:drawing>
      </w:r>
    </w:p>
    <w:p w14:paraId="72B487D2" w14:textId="401E7FDA" w:rsidR="006868A3" w:rsidRPr="00AF7B2F" w:rsidRDefault="006868A3" w:rsidP="00FA3D6A">
      <w:pPr>
        <w:pStyle w:val="Caption"/>
        <w:rPr>
          <w:i w:val="0"/>
          <w:iCs w:val="0"/>
          <w:color w:val="000000" w:themeColor="text1"/>
        </w:rPr>
      </w:pPr>
      <w:bookmarkStart w:id="10" w:name="_Toc134623357"/>
      <w:r w:rsidRPr="00E74339">
        <w:rPr>
          <w:rStyle w:val="Heading1Char"/>
          <w:i w:val="0"/>
          <w:iCs w:val="0"/>
          <w:color w:val="auto"/>
        </w:rPr>
        <w:t xml:space="preserve">Figure S </w:t>
      </w:r>
      <w:r w:rsidRPr="00E74339">
        <w:rPr>
          <w:rStyle w:val="Heading1Char"/>
          <w:i w:val="0"/>
          <w:iCs w:val="0"/>
          <w:color w:val="auto"/>
        </w:rPr>
        <w:fldChar w:fldCharType="begin"/>
      </w:r>
      <w:r w:rsidRPr="00E74339">
        <w:rPr>
          <w:rStyle w:val="Heading1Char"/>
          <w:i w:val="0"/>
          <w:iCs w:val="0"/>
          <w:color w:val="auto"/>
        </w:rPr>
        <w:instrText xml:space="preserve"> SEQ Figure_S \* ARABIC </w:instrText>
      </w:r>
      <w:r w:rsidRPr="00E74339">
        <w:rPr>
          <w:rStyle w:val="Heading1Char"/>
          <w:i w:val="0"/>
          <w:iCs w:val="0"/>
          <w:color w:val="auto"/>
        </w:rPr>
        <w:fldChar w:fldCharType="separate"/>
      </w:r>
      <w:r w:rsidR="00AA5E09">
        <w:rPr>
          <w:rStyle w:val="Heading1Char"/>
          <w:i w:val="0"/>
          <w:iCs w:val="0"/>
          <w:noProof/>
          <w:color w:val="auto"/>
        </w:rPr>
        <w:t>10</w:t>
      </w:r>
      <w:bookmarkEnd w:id="10"/>
      <w:r w:rsidRPr="00E74339">
        <w:rPr>
          <w:rStyle w:val="Heading1Char"/>
          <w:i w:val="0"/>
          <w:iCs w:val="0"/>
          <w:color w:val="auto"/>
        </w:rPr>
        <w:fldChar w:fldCharType="end"/>
      </w:r>
      <w:r w:rsidR="00FA5FE5" w:rsidRPr="000D43AB">
        <w:rPr>
          <w:i w:val="0"/>
          <w:iCs w:val="0"/>
          <w:noProof/>
          <w:color w:val="000000" w:themeColor="text1"/>
        </w:rPr>
        <w:t xml:space="preserve">: </w:t>
      </w:r>
      <w:r w:rsidR="00FA5FE5" w:rsidRPr="00260EF3">
        <w:rPr>
          <w:i w:val="0"/>
          <w:iCs w:val="0"/>
          <w:noProof/>
          <w:color w:val="000000" w:themeColor="text1"/>
          <w:sz w:val="20"/>
          <w:szCs w:val="20"/>
        </w:rPr>
        <w:t xml:space="preserve">Investigation </w:t>
      </w:r>
      <w:r w:rsidR="00685409" w:rsidRPr="00260EF3">
        <w:rPr>
          <w:i w:val="0"/>
          <w:iCs w:val="0"/>
          <w:noProof/>
          <w:color w:val="000000" w:themeColor="text1"/>
          <w:sz w:val="20"/>
          <w:szCs w:val="20"/>
        </w:rPr>
        <w:t xml:space="preserve">on the </w:t>
      </w:r>
      <w:r w:rsidR="00664CC4">
        <w:rPr>
          <w:i w:val="0"/>
          <w:iCs w:val="0"/>
          <w:noProof/>
          <w:color w:val="000000" w:themeColor="text1"/>
          <w:sz w:val="20"/>
          <w:szCs w:val="20"/>
        </w:rPr>
        <w:t xml:space="preserve">SHC </w:t>
      </w:r>
      <w:r w:rsidR="00685409" w:rsidRPr="00260EF3">
        <w:rPr>
          <w:i w:val="0"/>
          <w:iCs w:val="0"/>
          <w:noProof/>
          <w:color w:val="000000" w:themeColor="text1"/>
          <w:sz w:val="20"/>
          <w:szCs w:val="20"/>
        </w:rPr>
        <w:t xml:space="preserve">biocatalyst preparation as lyophilized </w:t>
      </w:r>
      <w:r w:rsidR="00685409" w:rsidRPr="00260EF3">
        <w:rPr>
          <w:noProof/>
          <w:color w:val="000000" w:themeColor="text1"/>
          <w:sz w:val="20"/>
          <w:szCs w:val="20"/>
        </w:rPr>
        <w:t>E.coli</w:t>
      </w:r>
      <w:r w:rsidR="00685409" w:rsidRPr="00260EF3">
        <w:rPr>
          <w:i w:val="0"/>
          <w:iCs w:val="0"/>
          <w:noProof/>
          <w:color w:val="000000" w:themeColor="text1"/>
          <w:sz w:val="20"/>
          <w:szCs w:val="20"/>
        </w:rPr>
        <w:t xml:space="preserve"> cells. (a) Model reaction of </w:t>
      </w:r>
      <w:r w:rsidR="00AF7B2F" w:rsidRPr="00260EF3">
        <w:rPr>
          <w:b/>
          <w:bCs/>
          <w:noProof/>
          <w:color w:val="000000" w:themeColor="text1"/>
          <w:sz w:val="20"/>
          <w:szCs w:val="20"/>
        </w:rPr>
        <w:t>Z</w:t>
      </w:r>
      <w:r w:rsidR="00AF7B2F" w:rsidRPr="00260EF3">
        <w:rPr>
          <w:b/>
          <w:bCs/>
          <w:i w:val="0"/>
          <w:iCs w:val="0"/>
          <w:noProof/>
          <w:color w:val="000000" w:themeColor="text1"/>
          <w:sz w:val="20"/>
          <w:szCs w:val="20"/>
        </w:rPr>
        <w:t>-17</w:t>
      </w:r>
      <w:r w:rsidR="00AF7B2F" w:rsidRPr="00260EF3">
        <w:rPr>
          <w:i w:val="0"/>
          <w:iCs w:val="0"/>
          <w:noProof/>
          <w:color w:val="000000" w:themeColor="text1"/>
          <w:sz w:val="20"/>
          <w:szCs w:val="20"/>
        </w:rPr>
        <w:t xml:space="preserve"> monocyclization to (–)-</w:t>
      </w:r>
      <w:r w:rsidR="00AF7B2F" w:rsidRPr="00260EF3">
        <w:rPr>
          <w:rFonts w:cs="Arial"/>
          <w:i w:val="0"/>
          <w:iCs w:val="0"/>
          <w:noProof/>
          <w:color w:val="000000" w:themeColor="text1"/>
          <w:sz w:val="20"/>
          <w:szCs w:val="20"/>
        </w:rPr>
        <w:t>γ</w:t>
      </w:r>
      <w:r w:rsidR="00AF7B2F" w:rsidRPr="00260EF3">
        <w:rPr>
          <w:i w:val="0"/>
          <w:iCs w:val="0"/>
          <w:noProof/>
          <w:color w:val="000000" w:themeColor="text1"/>
          <w:sz w:val="20"/>
          <w:szCs w:val="20"/>
        </w:rPr>
        <w:t xml:space="preserve">-dihydroionone </w:t>
      </w:r>
      <w:r w:rsidR="00AF7B2F" w:rsidRPr="00ED00A9">
        <w:rPr>
          <w:i w:val="0"/>
          <w:iCs w:val="0"/>
          <w:noProof/>
          <w:color w:val="000000" w:themeColor="text1"/>
          <w:sz w:val="20"/>
          <w:szCs w:val="20"/>
        </w:rPr>
        <w:t xml:space="preserve">24 </w:t>
      </w:r>
      <w:r w:rsidR="00AF7B2F" w:rsidRPr="00260EF3">
        <w:rPr>
          <w:i w:val="0"/>
          <w:iCs w:val="0"/>
          <w:noProof/>
          <w:color w:val="000000" w:themeColor="text1"/>
          <w:sz w:val="20"/>
          <w:szCs w:val="20"/>
        </w:rPr>
        <w:t xml:space="preserve">with fresh cells and lyophilized cells shows </w:t>
      </w:r>
      <w:r w:rsidR="00D27093" w:rsidRPr="00260EF3">
        <w:rPr>
          <w:i w:val="0"/>
          <w:iCs w:val="0"/>
          <w:noProof/>
          <w:color w:val="000000" w:themeColor="text1"/>
          <w:sz w:val="20"/>
          <w:szCs w:val="20"/>
        </w:rPr>
        <w:t xml:space="preserve">almost </w:t>
      </w:r>
      <w:r w:rsidR="00AF7B2F" w:rsidRPr="00260EF3">
        <w:rPr>
          <w:i w:val="0"/>
          <w:iCs w:val="0"/>
          <w:noProof/>
          <w:color w:val="000000" w:themeColor="text1"/>
          <w:sz w:val="20"/>
          <w:szCs w:val="20"/>
        </w:rPr>
        <w:t xml:space="preserve">no change in activity </w:t>
      </w:r>
      <w:r w:rsidR="00D27093" w:rsidRPr="00260EF3">
        <w:rPr>
          <w:i w:val="0"/>
          <w:iCs w:val="0"/>
          <w:noProof/>
          <w:color w:val="000000" w:themeColor="text1"/>
          <w:sz w:val="20"/>
          <w:szCs w:val="20"/>
        </w:rPr>
        <w:t xml:space="preserve">even after </w:t>
      </w:r>
      <w:r w:rsidR="00AF7B2F" w:rsidRPr="00260EF3">
        <w:rPr>
          <w:i w:val="0"/>
          <w:iCs w:val="0"/>
          <w:noProof/>
          <w:color w:val="000000" w:themeColor="text1"/>
          <w:sz w:val="20"/>
          <w:szCs w:val="20"/>
        </w:rPr>
        <w:t xml:space="preserve">over </w:t>
      </w:r>
      <w:r w:rsidR="00D27093" w:rsidRPr="00260EF3">
        <w:rPr>
          <w:i w:val="0"/>
          <w:iCs w:val="0"/>
          <w:noProof/>
          <w:color w:val="000000" w:themeColor="text1"/>
          <w:sz w:val="20"/>
          <w:szCs w:val="20"/>
        </w:rPr>
        <w:t xml:space="preserve">300 days. Average </w:t>
      </w:r>
      <w:r w:rsidR="00ED76AA" w:rsidRPr="00260EF3">
        <w:rPr>
          <w:i w:val="0"/>
          <w:iCs w:val="0"/>
          <w:noProof/>
          <w:color w:val="000000" w:themeColor="text1"/>
          <w:sz w:val="20"/>
          <w:szCs w:val="20"/>
        </w:rPr>
        <w:t xml:space="preserve">shrinking factor of fresh </w:t>
      </w:r>
      <w:r w:rsidR="00ED76AA" w:rsidRPr="00260EF3">
        <w:rPr>
          <w:noProof/>
          <w:color w:val="000000" w:themeColor="text1"/>
          <w:sz w:val="20"/>
          <w:szCs w:val="20"/>
        </w:rPr>
        <w:t>E. coli</w:t>
      </w:r>
      <w:r w:rsidR="00ED76AA" w:rsidRPr="00260EF3">
        <w:rPr>
          <w:i w:val="0"/>
          <w:iCs w:val="0"/>
          <w:noProof/>
          <w:color w:val="000000" w:themeColor="text1"/>
          <w:sz w:val="20"/>
          <w:szCs w:val="20"/>
        </w:rPr>
        <w:t xml:space="preserve"> cells was determined with ~4.8</w:t>
      </w:r>
      <w:r w:rsidR="00271E66" w:rsidRPr="00260EF3">
        <w:rPr>
          <w:i w:val="0"/>
          <w:iCs w:val="0"/>
          <w:noProof/>
          <w:color w:val="000000" w:themeColor="text1"/>
          <w:sz w:val="20"/>
          <w:szCs w:val="20"/>
        </w:rPr>
        <w:t>. (b)</w:t>
      </w:r>
      <w:r w:rsidR="005F4F95" w:rsidRPr="00260EF3">
        <w:rPr>
          <w:i w:val="0"/>
          <w:iCs w:val="0"/>
          <w:noProof/>
          <w:color w:val="000000" w:themeColor="text1"/>
          <w:sz w:val="20"/>
          <w:szCs w:val="20"/>
        </w:rPr>
        <w:t xml:space="preserve"> Overlay of </w:t>
      </w:r>
      <w:r w:rsidR="00271369" w:rsidRPr="00260EF3">
        <w:rPr>
          <w:i w:val="0"/>
          <w:iCs w:val="0"/>
          <w:noProof/>
          <w:color w:val="000000" w:themeColor="text1"/>
          <w:sz w:val="20"/>
          <w:szCs w:val="20"/>
        </w:rPr>
        <w:t xml:space="preserve">fluorescence microscope </w:t>
      </w:r>
      <w:r w:rsidR="00507E00" w:rsidRPr="00260EF3">
        <w:rPr>
          <w:i w:val="0"/>
          <w:iCs w:val="0"/>
          <w:noProof/>
          <w:color w:val="000000" w:themeColor="text1"/>
          <w:sz w:val="20"/>
          <w:szCs w:val="20"/>
        </w:rPr>
        <w:t xml:space="preserve">pictures taken from </w:t>
      </w:r>
      <w:r w:rsidR="005F4F95" w:rsidRPr="00260EF3">
        <w:rPr>
          <w:i w:val="0"/>
          <w:iCs w:val="0"/>
          <w:noProof/>
          <w:color w:val="000000" w:themeColor="text1"/>
          <w:sz w:val="20"/>
          <w:szCs w:val="20"/>
          <w:u w:val="single"/>
        </w:rPr>
        <w:t>fresh</w:t>
      </w:r>
      <w:r w:rsidR="005F4F95" w:rsidRPr="00260EF3">
        <w:rPr>
          <w:i w:val="0"/>
          <w:iCs w:val="0"/>
          <w:noProof/>
          <w:color w:val="000000" w:themeColor="text1"/>
          <w:sz w:val="20"/>
          <w:szCs w:val="20"/>
        </w:rPr>
        <w:t xml:space="preserve"> </w:t>
      </w:r>
      <w:r w:rsidR="005F4F95" w:rsidRPr="00260EF3">
        <w:rPr>
          <w:noProof/>
          <w:color w:val="000000" w:themeColor="text1"/>
          <w:sz w:val="20"/>
          <w:szCs w:val="20"/>
        </w:rPr>
        <w:t>E. coli</w:t>
      </w:r>
      <w:r w:rsidR="005F4F95" w:rsidRPr="00260EF3">
        <w:rPr>
          <w:i w:val="0"/>
          <w:iCs w:val="0"/>
          <w:noProof/>
          <w:color w:val="000000" w:themeColor="text1"/>
          <w:sz w:val="20"/>
          <w:szCs w:val="20"/>
        </w:rPr>
        <w:t xml:space="preserve"> cells stained with DAPI (blue) and SYTOX</w:t>
      </w:r>
      <w:r w:rsidR="00CA2285" w:rsidRPr="00260EF3">
        <w:rPr>
          <w:i w:val="0"/>
          <w:iCs w:val="0"/>
          <w:noProof/>
          <w:color w:val="000000" w:themeColor="text1"/>
          <w:sz w:val="20"/>
          <w:szCs w:val="20"/>
        </w:rPr>
        <w:t xml:space="preserve"> (green) </w:t>
      </w:r>
      <w:r w:rsidR="005957A6" w:rsidRPr="00260EF3">
        <w:rPr>
          <w:i w:val="0"/>
          <w:iCs w:val="0"/>
          <w:noProof/>
          <w:color w:val="000000" w:themeColor="text1"/>
          <w:sz w:val="20"/>
          <w:szCs w:val="20"/>
        </w:rPr>
        <w:t xml:space="preserve">demonstrates </w:t>
      </w:r>
      <w:r w:rsidR="006B0B10" w:rsidRPr="00260EF3">
        <w:rPr>
          <w:i w:val="0"/>
          <w:iCs w:val="0"/>
          <w:noProof/>
          <w:color w:val="000000" w:themeColor="text1"/>
          <w:sz w:val="20"/>
          <w:szCs w:val="20"/>
        </w:rPr>
        <w:t>high abundance of living (blue)</w:t>
      </w:r>
      <w:r w:rsidR="00A431EC" w:rsidRPr="00260EF3">
        <w:rPr>
          <w:i w:val="0"/>
          <w:iCs w:val="0"/>
          <w:noProof/>
          <w:color w:val="000000" w:themeColor="text1"/>
          <w:sz w:val="20"/>
          <w:szCs w:val="20"/>
        </w:rPr>
        <w:t xml:space="preserve"> </w:t>
      </w:r>
      <w:r w:rsidR="006B0B10" w:rsidRPr="00260EF3">
        <w:rPr>
          <w:i w:val="0"/>
          <w:iCs w:val="0"/>
          <w:noProof/>
          <w:color w:val="000000" w:themeColor="text1"/>
          <w:sz w:val="20"/>
          <w:szCs w:val="20"/>
        </w:rPr>
        <w:t>cells. (c)</w:t>
      </w:r>
      <w:r w:rsidR="00A431EC" w:rsidRPr="00260EF3">
        <w:rPr>
          <w:i w:val="0"/>
          <w:iCs w:val="0"/>
          <w:noProof/>
          <w:color w:val="000000" w:themeColor="text1"/>
          <w:sz w:val="20"/>
          <w:szCs w:val="20"/>
        </w:rPr>
        <w:t xml:space="preserve"> Overlay of </w:t>
      </w:r>
      <w:r w:rsidR="00271369" w:rsidRPr="00260EF3">
        <w:rPr>
          <w:i w:val="0"/>
          <w:iCs w:val="0"/>
          <w:noProof/>
          <w:color w:val="000000" w:themeColor="text1"/>
          <w:sz w:val="20"/>
          <w:szCs w:val="20"/>
        </w:rPr>
        <w:t xml:space="preserve">fluorescence microscope pictures taken from </w:t>
      </w:r>
      <w:r w:rsidR="00A431EC" w:rsidRPr="00260EF3">
        <w:rPr>
          <w:i w:val="0"/>
          <w:iCs w:val="0"/>
          <w:noProof/>
          <w:color w:val="000000" w:themeColor="text1"/>
          <w:sz w:val="20"/>
          <w:szCs w:val="20"/>
          <w:u w:val="single"/>
        </w:rPr>
        <w:t>lyophilized</w:t>
      </w:r>
      <w:r w:rsidR="00A431EC" w:rsidRPr="00260EF3">
        <w:rPr>
          <w:i w:val="0"/>
          <w:iCs w:val="0"/>
          <w:noProof/>
          <w:color w:val="000000" w:themeColor="text1"/>
          <w:sz w:val="20"/>
          <w:szCs w:val="20"/>
        </w:rPr>
        <w:t xml:space="preserve"> </w:t>
      </w:r>
      <w:r w:rsidR="00A431EC" w:rsidRPr="00260EF3">
        <w:rPr>
          <w:noProof/>
          <w:color w:val="000000" w:themeColor="text1"/>
          <w:sz w:val="20"/>
          <w:szCs w:val="20"/>
        </w:rPr>
        <w:t>E. coli</w:t>
      </w:r>
      <w:r w:rsidR="00A431EC" w:rsidRPr="00260EF3">
        <w:rPr>
          <w:i w:val="0"/>
          <w:iCs w:val="0"/>
          <w:noProof/>
          <w:color w:val="000000" w:themeColor="text1"/>
          <w:sz w:val="20"/>
          <w:szCs w:val="20"/>
        </w:rPr>
        <w:t xml:space="preserve"> cells stained with DAPI (blue) and SYTOX (green) demonstrates high abundance of dead (</w:t>
      </w:r>
      <w:r w:rsidR="00731865" w:rsidRPr="00260EF3">
        <w:rPr>
          <w:i w:val="0"/>
          <w:iCs w:val="0"/>
          <w:noProof/>
          <w:color w:val="000000" w:themeColor="text1"/>
          <w:sz w:val="20"/>
          <w:szCs w:val="20"/>
        </w:rPr>
        <w:t>green</w:t>
      </w:r>
      <w:r w:rsidR="00A431EC" w:rsidRPr="00260EF3">
        <w:rPr>
          <w:i w:val="0"/>
          <w:iCs w:val="0"/>
          <w:noProof/>
          <w:color w:val="000000" w:themeColor="text1"/>
          <w:sz w:val="20"/>
          <w:szCs w:val="20"/>
        </w:rPr>
        <w:t>) cells</w:t>
      </w:r>
      <w:r w:rsidR="00731865" w:rsidRPr="00260EF3">
        <w:rPr>
          <w:i w:val="0"/>
          <w:iCs w:val="0"/>
          <w:noProof/>
          <w:color w:val="000000" w:themeColor="text1"/>
          <w:sz w:val="20"/>
          <w:szCs w:val="20"/>
        </w:rPr>
        <w:t xml:space="preserve"> or a mixture of living and dead cells (cyan)</w:t>
      </w:r>
      <w:r w:rsidR="00C17BB8" w:rsidRPr="00260EF3">
        <w:rPr>
          <w:i w:val="0"/>
          <w:iCs w:val="0"/>
          <w:noProof/>
          <w:color w:val="000000" w:themeColor="text1"/>
          <w:sz w:val="20"/>
          <w:szCs w:val="20"/>
        </w:rPr>
        <w:t xml:space="preserve">. (d) and (e) </w:t>
      </w:r>
      <w:r w:rsidR="00507E00" w:rsidRPr="00260EF3">
        <w:rPr>
          <w:i w:val="0"/>
          <w:iCs w:val="0"/>
          <w:noProof/>
          <w:color w:val="000000" w:themeColor="text1"/>
          <w:sz w:val="20"/>
          <w:szCs w:val="20"/>
        </w:rPr>
        <w:t>are the negatives of (b) and (c). For details on Flu</w:t>
      </w:r>
      <w:r w:rsidR="00271369" w:rsidRPr="00260EF3">
        <w:rPr>
          <w:i w:val="0"/>
          <w:iCs w:val="0"/>
          <w:noProof/>
          <w:color w:val="000000" w:themeColor="text1"/>
          <w:sz w:val="20"/>
          <w:szCs w:val="20"/>
        </w:rPr>
        <w:t>orescence micros</w:t>
      </w:r>
      <w:r w:rsidR="00260EF3" w:rsidRPr="00260EF3">
        <w:rPr>
          <w:i w:val="0"/>
          <w:iCs w:val="0"/>
          <w:noProof/>
          <w:color w:val="000000" w:themeColor="text1"/>
          <w:sz w:val="20"/>
          <w:szCs w:val="20"/>
        </w:rPr>
        <w:t>copy please see section below.</w:t>
      </w:r>
    </w:p>
    <w:p w14:paraId="64AC7118" w14:textId="1A4B8BD5" w:rsidR="006868A3" w:rsidRPr="00833471" w:rsidRDefault="000D43AB" w:rsidP="00147592">
      <w:pPr>
        <w:keepNext/>
        <w:jc w:val="center"/>
      </w:pPr>
      <w:r>
        <w:rPr>
          <w:noProof/>
        </w:rPr>
        <w:lastRenderedPageBreak/>
        <w:drawing>
          <wp:inline distT="0" distB="0" distL="0" distR="0" wp14:anchorId="5F403681" wp14:editId="538E33D5">
            <wp:extent cx="3449320" cy="2588820"/>
            <wp:effectExtent l="0" t="0" r="0" b="2540"/>
            <wp:docPr id="74" name="Picture 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 bar chart&#10;&#10;Description automatically generated"/>
                    <pic:cNvPicPr/>
                  </pic:nvPicPr>
                  <pic:blipFill rotWithShape="1">
                    <a:blip r:embed="rId18"/>
                    <a:srcRect l="14534" t="12385" r="25576" b="51366"/>
                    <a:stretch/>
                  </pic:blipFill>
                  <pic:spPr bwMode="auto">
                    <a:xfrm>
                      <a:off x="0" y="0"/>
                      <a:ext cx="3450025" cy="2589349"/>
                    </a:xfrm>
                    <a:prstGeom prst="rect">
                      <a:avLst/>
                    </a:prstGeom>
                    <a:ln>
                      <a:noFill/>
                    </a:ln>
                    <a:extLst>
                      <a:ext uri="{53640926-AAD7-44D8-BBD7-CCE9431645EC}">
                        <a14:shadowObscured xmlns:a14="http://schemas.microsoft.com/office/drawing/2010/main"/>
                      </a:ext>
                    </a:extLst>
                  </pic:spPr>
                </pic:pic>
              </a:graphicData>
            </a:graphic>
          </wp:inline>
        </w:drawing>
      </w:r>
    </w:p>
    <w:p w14:paraId="467B9044" w14:textId="119614F5" w:rsidR="006868A3" w:rsidRPr="001D5E0E" w:rsidRDefault="006868A3" w:rsidP="00FA3D6A">
      <w:pPr>
        <w:pStyle w:val="Caption"/>
        <w:rPr>
          <w:i w:val="0"/>
          <w:iCs w:val="0"/>
          <w:noProof/>
          <w:color w:val="000000" w:themeColor="text1"/>
        </w:rPr>
      </w:pPr>
      <w:bookmarkStart w:id="11" w:name="_Toc134623358"/>
      <w:r w:rsidRPr="00FC6717">
        <w:rPr>
          <w:rStyle w:val="Heading1Char"/>
          <w:i w:val="0"/>
          <w:iCs w:val="0"/>
          <w:color w:val="auto"/>
        </w:rPr>
        <w:t xml:space="preserve">Figure S </w:t>
      </w:r>
      <w:r w:rsidRPr="00FC6717">
        <w:rPr>
          <w:rStyle w:val="Heading1Char"/>
          <w:i w:val="0"/>
          <w:iCs w:val="0"/>
          <w:color w:val="auto"/>
        </w:rPr>
        <w:fldChar w:fldCharType="begin"/>
      </w:r>
      <w:r w:rsidRPr="00FC6717">
        <w:rPr>
          <w:rStyle w:val="Heading1Char"/>
          <w:i w:val="0"/>
          <w:iCs w:val="0"/>
          <w:color w:val="auto"/>
        </w:rPr>
        <w:instrText xml:space="preserve"> SEQ Figure_S \* ARABIC </w:instrText>
      </w:r>
      <w:r w:rsidRPr="00FC6717">
        <w:rPr>
          <w:rStyle w:val="Heading1Char"/>
          <w:i w:val="0"/>
          <w:iCs w:val="0"/>
          <w:color w:val="auto"/>
        </w:rPr>
        <w:fldChar w:fldCharType="separate"/>
      </w:r>
      <w:r w:rsidR="00AA5E09">
        <w:rPr>
          <w:rStyle w:val="Heading1Char"/>
          <w:i w:val="0"/>
          <w:iCs w:val="0"/>
          <w:noProof/>
          <w:color w:val="auto"/>
        </w:rPr>
        <w:t>11</w:t>
      </w:r>
      <w:bookmarkEnd w:id="11"/>
      <w:r w:rsidRPr="00FC6717">
        <w:rPr>
          <w:rStyle w:val="Heading1Char"/>
          <w:i w:val="0"/>
          <w:iCs w:val="0"/>
          <w:color w:val="auto"/>
        </w:rPr>
        <w:fldChar w:fldCharType="end"/>
      </w:r>
      <w:r w:rsidR="00FA17F8" w:rsidRPr="00664CC4">
        <w:rPr>
          <w:i w:val="0"/>
          <w:iCs w:val="0"/>
          <w:noProof/>
          <w:color w:val="000000" w:themeColor="text1"/>
          <w:sz w:val="20"/>
          <w:szCs w:val="20"/>
        </w:rPr>
        <w:t>:</w:t>
      </w:r>
      <w:r w:rsidR="00FA17F8" w:rsidRPr="000D43AB">
        <w:rPr>
          <w:i w:val="0"/>
          <w:iCs w:val="0"/>
          <w:noProof/>
          <w:color w:val="000000" w:themeColor="text1"/>
        </w:rPr>
        <w:t xml:space="preserve"> </w:t>
      </w:r>
      <w:r w:rsidR="0015726C">
        <w:rPr>
          <w:i w:val="0"/>
          <w:iCs w:val="0"/>
          <w:noProof/>
          <w:color w:val="000000" w:themeColor="text1"/>
        </w:rPr>
        <w:t>B</w:t>
      </w:r>
      <w:r w:rsidR="002410C0" w:rsidRPr="00E305B2">
        <w:rPr>
          <w:i w:val="0"/>
          <w:iCs w:val="0"/>
          <w:noProof/>
          <w:color w:val="000000" w:themeColor="text1"/>
          <w:sz w:val="20"/>
          <w:szCs w:val="20"/>
        </w:rPr>
        <w:t>iotransf</w:t>
      </w:r>
      <w:r w:rsidR="00664CC4">
        <w:rPr>
          <w:i w:val="0"/>
          <w:iCs w:val="0"/>
          <w:noProof/>
          <w:color w:val="000000" w:themeColor="text1"/>
          <w:sz w:val="20"/>
          <w:szCs w:val="20"/>
        </w:rPr>
        <w:t>or</w:t>
      </w:r>
      <w:r w:rsidR="002410C0" w:rsidRPr="00E305B2">
        <w:rPr>
          <w:i w:val="0"/>
          <w:iCs w:val="0"/>
          <w:noProof/>
          <w:color w:val="000000" w:themeColor="text1"/>
          <w:sz w:val="20"/>
          <w:szCs w:val="20"/>
        </w:rPr>
        <w:t xml:space="preserve">mation </w:t>
      </w:r>
      <w:r w:rsidR="002410C0" w:rsidRPr="00ED00A9">
        <w:rPr>
          <w:i w:val="0"/>
          <w:iCs w:val="0"/>
          <w:noProof/>
          <w:color w:val="000000" w:themeColor="text1"/>
          <w:sz w:val="20"/>
          <w:szCs w:val="20"/>
        </w:rPr>
        <w:t>of 17 to 18 using</w:t>
      </w:r>
      <w:r w:rsidR="002410C0" w:rsidRPr="00E305B2">
        <w:rPr>
          <w:i w:val="0"/>
          <w:iCs w:val="0"/>
          <w:noProof/>
          <w:color w:val="000000" w:themeColor="text1"/>
          <w:sz w:val="20"/>
          <w:szCs w:val="20"/>
        </w:rPr>
        <w:t xml:space="preserve"> either water</w:t>
      </w:r>
      <w:r w:rsidR="00FC6717" w:rsidRPr="00E305B2">
        <w:rPr>
          <w:i w:val="0"/>
          <w:iCs w:val="0"/>
          <w:noProof/>
          <w:color w:val="000000" w:themeColor="text1"/>
          <w:sz w:val="20"/>
          <w:szCs w:val="20"/>
        </w:rPr>
        <w:t xml:space="preserve">, </w:t>
      </w:r>
      <w:r w:rsidR="007037B2" w:rsidRPr="00E305B2">
        <w:rPr>
          <w:i w:val="0"/>
          <w:iCs w:val="0"/>
          <w:noProof/>
          <w:color w:val="000000" w:themeColor="text1"/>
          <w:sz w:val="20"/>
          <w:szCs w:val="20"/>
        </w:rPr>
        <w:t>100 mM acetate or 100 mM citrate buffer at pH = 6.0</w:t>
      </w:r>
      <w:r w:rsidR="0015726C">
        <w:rPr>
          <w:i w:val="0"/>
          <w:iCs w:val="0"/>
          <w:noProof/>
          <w:color w:val="000000" w:themeColor="text1"/>
          <w:sz w:val="20"/>
          <w:szCs w:val="20"/>
        </w:rPr>
        <w:t xml:space="preserve"> compared </w:t>
      </w:r>
      <w:r w:rsidR="0066549E">
        <w:rPr>
          <w:i w:val="0"/>
          <w:iCs w:val="0"/>
          <w:noProof/>
          <w:color w:val="000000" w:themeColor="text1"/>
          <w:sz w:val="20"/>
          <w:szCs w:val="20"/>
        </w:rPr>
        <w:t>in their space-time-yields</w:t>
      </w:r>
      <w:r w:rsidR="00FC6717" w:rsidRPr="00E305B2">
        <w:rPr>
          <w:i w:val="0"/>
          <w:iCs w:val="0"/>
          <w:noProof/>
          <w:color w:val="000000" w:themeColor="text1"/>
          <w:sz w:val="20"/>
          <w:szCs w:val="20"/>
        </w:rPr>
        <w:t xml:space="preserve">. </w:t>
      </w:r>
      <w:r w:rsidR="00196AF6" w:rsidRPr="00E305B2">
        <w:rPr>
          <w:i w:val="0"/>
          <w:iCs w:val="0"/>
          <w:noProof/>
          <w:color w:val="000000" w:themeColor="text1"/>
          <w:sz w:val="20"/>
          <w:szCs w:val="20"/>
        </w:rPr>
        <w:t>Conditions: 10 g</w:t>
      </w:r>
      <w:r w:rsidR="00BC415A" w:rsidRPr="00BC415A">
        <w:rPr>
          <w:i w:val="0"/>
          <w:iCs w:val="0"/>
          <w:noProof/>
          <w:color w:val="000000" w:themeColor="text1"/>
          <w:sz w:val="20"/>
          <w:szCs w:val="20"/>
          <w:vertAlign w:val="subscript"/>
        </w:rPr>
        <w:t>CDW</w:t>
      </w:r>
      <w:r w:rsidR="00196AF6" w:rsidRPr="00E305B2">
        <w:rPr>
          <w:i w:val="0"/>
          <w:iCs w:val="0"/>
          <w:noProof/>
          <w:color w:val="000000" w:themeColor="text1"/>
          <w:sz w:val="20"/>
          <w:szCs w:val="20"/>
        </w:rPr>
        <w:t xml:space="preserve">/L </w:t>
      </w:r>
      <w:r w:rsidR="00196AF6" w:rsidRPr="00E305B2">
        <w:rPr>
          <w:noProof/>
          <w:color w:val="000000" w:themeColor="text1"/>
          <w:sz w:val="20"/>
          <w:szCs w:val="20"/>
        </w:rPr>
        <w:t>E. coli</w:t>
      </w:r>
      <w:r w:rsidR="00196AF6" w:rsidRPr="00E305B2">
        <w:rPr>
          <w:i w:val="0"/>
          <w:iCs w:val="0"/>
          <w:noProof/>
          <w:color w:val="000000" w:themeColor="text1"/>
          <w:sz w:val="20"/>
          <w:szCs w:val="20"/>
        </w:rPr>
        <w:t xml:space="preserve"> cells expressing the SHC variant (red letters), substrate</w:t>
      </w:r>
      <w:r w:rsidR="002B7927">
        <w:rPr>
          <w:i w:val="0"/>
          <w:iCs w:val="0"/>
          <w:noProof/>
          <w:color w:val="000000" w:themeColor="text1"/>
          <w:sz w:val="20"/>
          <w:szCs w:val="20"/>
        </w:rPr>
        <w:t xml:space="preserve">, </w:t>
      </w:r>
      <w:r w:rsidR="00196AF6" w:rsidRPr="00E305B2">
        <w:rPr>
          <w:i w:val="0"/>
          <w:iCs w:val="0"/>
          <w:noProof/>
          <w:color w:val="000000" w:themeColor="text1"/>
          <w:sz w:val="20"/>
          <w:szCs w:val="20"/>
        </w:rPr>
        <w:t>20 h.</w:t>
      </w:r>
      <w:r w:rsidR="00E305B2">
        <w:rPr>
          <w:i w:val="0"/>
          <w:iCs w:val="0"/>
          <w:noProof/>
          <w:color w:val="000000" w:themeColor="text1"/>
          <w:sz w:val="20"/>
          <w:szCs w:val="20"/>
        </w:rPr>
        <w:t xml:space="preserve"> </w:t>
      </w:r>
      <w:r w:rsidR="002B7927">
        <w:rPr>
          <w:i w:val="0"/>
          <w:iCs w:val="0"/>
          <w:noProof/>
          <w:color w:val="000000" w:themeColor="text1"/>
          <w:sz w:val="20"/>
          <w:szCs w:val="20"/>
        </w:rPr>
        <w:t xml:space="preserve">Space-time-yield was determined by </w:t>
      </w:r>
      <w:r w:rsidR="001D5E0E">
        <w:rPr>
          <w:i w:val="0"/>
          <w:iCs w:val="0"/>
          <w:noProof/>
          <w:color w:val="000000" w:themeColor="text1"/>
          <w:sz w:val="20"/>
          <w:szCs w:val="20"/>
        </w:rPr>
        <w:t>[GC conversion</w:t>
      </w:r>
      <w:r w:rsidR="002D67C8">
        <w:rPr>
          <w:i w:val="0"/>
          <w:iCs w:val="0"/>
          <w:noProof/>
          <w:color w:val="000000" w:themeColor="text1"/>
          <w:sz w:val="20"/>
          <w:szCs w:val="20"/>
        </w:rPr>
        <w:t>]</w:t>
      </w:r>
      <w:r w:rsidR="001D5E0E">
        <w:rPr>
          <w:rFonts w:ascii="Open Sans" w:hAnsi="Open Sans" w:cs="Open Sans"/>
          <w:i w:val="0"/>
          <w:iCs w:val="0"/>
          <w:noProof/>
          <w:color w:val="000000" w:themeColor="text1"/>
          <w:sz w:val="20"/>
          <w:szCs w:val="20"/>
        </w:rPr>
        <w:t>·</w:t>
      </w:r>
      <w:r w:rsidR="002D67C8">
        <w:rPr>
          <w:rFonts w:ascii="Open Sans" w:hAnsi="Open Sans" w:cs="Open Sans"/>
          <w:i w:val="0"/>
          <w:iCs w:val="0"/>
          <w:noProof/>
          <w:color w:val="000000" w:themeColor="text1"/>
          <w:sz w:val="20"/>
          <w:szCs w:val="20"/>
        </w:rPr>
        <w:t>[</w:t>
      </w:r>
      <w:r w:rsidR="001D5E0E">
        <w:rPr>
          <w:i w:val="0"/>
          <w:iCs w:val="0"/>
          <w:noProof/>
          <w:color w:val="000000" w:themeColor="text1"/>
          <w:sz w:val="20"/>
          <w:szCs w:val="20"/>
        </w:rPr>
        <w:t>c</w:t>
      </w:r>
      <w:r w:rsidR="001D5E0E">
        <w:rPr>
          <w:i w:val="0"/>
          <w:iCs w:val="0"/>
          <w:noProof/>
          <w:color w:val="000000" w:themeColor="text1"/>
          <w:sz w:val="20"/>
          <w:szCs w:val="20"/>
          <w:vertAlign w:val="subscript"/>
        </w:rPr>
        <w:t>substrate</w:t>
      </w:r>
      <w:r w:rsidR="002D67C8">
        <w:rPr>
          <w:i w:val="0"/>
          <w:iCs w:val="0"/>
          <w:noProof/>
          <w:color w:val="000000" w:themeColor="text1"/>
          <w:sz w:val="20"/>
          <w:szCs w:val="20"/>
        </w:rPr>
        <w:t>]</w:t>
      </w:r>
      <w:r w:rsidR="001D5E0E">
        <w:rPr>
          <w:i w:val="0"/>
          <w:iCs w:val="0"/>
          <w:noProof/>
          <w:color w:val="000000" w:themeColor="text1"/>
          <w:sz w:val="20"/>
          <w:szCs w:val="20"/>
        </w:rPr>
        <w:t>/</w:t>
      </w:r>
      <w:r w:rsidR="0061358E">
        <w:rPr>
          <w:i w:val="0"/>
          <w:iCs w:val="0"/>
          <w:noProof/>
          <w:color w:val="000000" w:themeColor="text1"/>
          <w:sz w:val="20"/>
          <w:szCs w:val="20"/>
        </w:rPr>
        <w:t>[</w:t>
      </w:r>
      <w:r w:rsidR="002A7D4A">
        <w:rPr>
          <w:i w:val="0"/>
          <w:iCs w:val="0"/>
          <w:noProof/>
          <w:color w:val="000000" w:themeColor="text1"/>
          <w:sz w:val="20"/>
          <w:szCs w:val="20"/>
        </w:rPr>
        <w:t>time].</w:t>
      </w:r>
    </w:p>
    <w:p w14:paraId="52AFFBE4" w14:textId="77777777" w:rsidR="00FA17F8" w:rsidRPr="00833471" w:rsidRDefault="00FA17F8" w:rsidP="00FA3D6A"/>
    <w:p w14:paraId="159E1E28" w14:textId="77777777" w:rsidR="00FA17F8" w:rsidRPr="00833471" w:rsidRDefault="00FA17F8" w:rsidP="00FA3D6A"/>
    <w:p w14:paraId="4DC05FB6" w14:textId="77777777" w:rsidR="00FA17F8" w:rsidRPr="00833471" w:rsidRDefault="00FA17F8" w:rsidP="00FA3D6A"/>
    <w:p w14:paraId="607896B1" w14:textId="0CF8CCA0" w:rsidR="006868A3" w:rsidRPr="00833471" w:rsidRDefault="0038186B" w:rsidP="00FA3D6A">
      <w:pPr>
        <w:keepNext/>
      </w:pPr>
      <w:r>
        <w:rPr>
          <w:noProof/>
        </w:rPr>
        <w:lastRenderedPageBreak/>
        <w:drawing>
          <wp:inline distT="0" distB="0" distL="0" distR="0" wp14:anchorId="3FCEE134" wp14:editId="67CF46EC">
            <wp:extent cx="5760720" cy="6393820"/>
            <wp:effectExtent l="0" t="0" r="0" b="6985"/>
            <wp:docPr id="14" name="Picture 14" descr="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ar chart&#10;&#10;Description automatically generated with medium confidence"/>
                    <pic:cNvPicPr/>
                  </pic:nvPicPr>
                  <pic:blipFill rotWithShape="1">
                    <a:blip r:embed="rId19"/>
                    <a:srcRect b="10490"/>
                    <a:stretch/>
                  </pic:blipFill>
                  <pic:spPr bwMode="auto">
                    <a:xfrm>
                      <a:off x="0" y="0"/>
                      <a:ext cx="5760720" cy="6393820"/>
                    </a:xfrm>
                    <a:prstGeom prst="rect">
                      <a:avLst/>
                    </a:prstGeom>
                    <a:ln>
                      <a:noFill/>
                    </a:ln>
                    <a:extLst>
                      <a:ext uri="{53640926-AAD7-44D8-BBD7-CCE9431645EC}">
                        <a14:shadowObscured xmlns:a14="http://schemas.microsoft.com/office/drawing/2010/main"/>
                      </a:ext>
                    </a:extLst>
                  </pic:spPr>
                </pic:pic>
              </a:graphicData>
            </a:graphic>
          </wp:inline>
        </w:drawing>
      </w:r>
    </w:p>
    <w:p w14:paraId="0D39DF91" w14:textId="66F0B596" w:rsidR="006868A3" w:rsidRPr="00C47B9E" w:rsidRDefault="006868A3" w:rsidP="00FA3D6A">
      <w:pPr>
        <w:pStyle w:val="Caption"/>
        <w:rPr>
          <w:i w:val="0"/>
          <w:iCs w:val="0"/>
          <w:color w:val="000000" w:themeColor="text1"/>
        </w:rPr>
      </w:pPr>
      <w:bookmarkStart w:id="12" w:name="_Toc134623359"/>
      <w:r w:rsidRPr="00841281">
        <w:rPr>
          <w:rStyle w:val="Heading1Char"/>
          <w:i w:val="0"/>
          <w:iCs w:val="0"/>
          <w:color w:val="auto"/>
        </w:rPr>
        <w:t xml:space="preserve">Figure S </w:t>
      </w:r>
      <w:r w:rsidRPr="00841281">
        <w:rPr>
          <w:rStyle w:val="Heading1Char"/>
          <w:i w:val="0"/>
          <w:iCs w:val="0"/>
          <w:color w:val="auto"/>
        </w:rPr>
        <w:fldChar w:fldCharType="begin"/>
      </w:r>
      <w:r w:rsidRPr="00841281">
        <w:rPr>
          <w:rStyle w:val="Heading1Char"/>
          <w:i w:val="0"/>
          <w:iCs w:val="0"/>
          <w:color w:val="auto"/>
        </w:rPr>
        <w:instrText xml:space="preserve"> SEQ Figure_S \* ARABIC </w:instrText>
      </w:r>
      <w:r w:rsidRPr="00841281">
        <w:rPr>
          <w:rStyle w:val="Heading1Char"/>
          <w:i w:val="0"/>
          <w:iCs w:val="0"/>
          <w:color w:val="auto"/>
        </w:rPr>
        <w:fldChar w:fldCharType="separate"/>
      </w:r>
      <w:r w:rsidR="00AA5E09">
        <w:rPr>
          <w:rStyle w:val="Heading1Char"/>
          <w:i w:val="0"/>
          <w:iCs w:val="0"/>
          <w:noProof/>
          <w:color w:val="auto"/>
        </w:rPr>
        <w:t>12</w:t>
      </w:r>
      <w:bookmarkEnd w:id="12"/>
      <w:r w:rsidRPr="00841281">
        <w:rPr>
          <w:rStyle w:val="Heading1Char"/>
          <w:i w:val="0"/>
          <w:iCs w:val="0"/>
          <w:color w:val="auto"/>
        </w:rPr>
        <w:fldChar w:fldCharType="end"/>
      </w:r>
      <w:r w:rsidR="006B58F7" w:rsidRPr="00841281">
        <w:rPr>
          <w:i w:val="0"/>
          <w:iCs w:val="0"/>
          <w:noProof/>
          <w:color w:val="000000" w:themeColor="text1"/>
          <w:sz w:val="20"/>
          <w:szCs w:val="20"/>
        </w:rPr>
        <w:t xml:space="preserve">: </w:t>
      </w:r>
      <w:r w:rsidR="00841281">
        <w:rPr>
          <w:i w:val="0"/>
          <w:iCs w:val="0"/>
          <w:noProof/>
          <w:color w:val="000000" w:themeColor="text1"/>
          <w:sz w:val="20"/>
          <w:szCs w:val="20"/>
        </w:rPr>
        <w:t>B</w:t>
      </w:r>
      <w:r w:rsidR="00364F65" w:rsidRPr="00841281">
        <w:rPr>
          <w:i w:val="0"/>
          <w:iCs w:val="0"/>
          <w:noProof/>
          <w:color w:val="000000" w:themeColor="text1"/>
          <w:sz w:val="20"/>
          <w:szCs w:val="20"/>
        </w:rPr>
        <w:t>iotransformation of substrate</w:t>
      </w:r>
      <w:r w:rsidR="00364F65" w:rsidRPr="00ED00A9">
        <w:rPr>
          <w:i w:val="0"/>
          <w:iCs w:val="0"/>
          <w:noProof/>
          <w:color w:val="000000" w:themeColor="text1"/>
          <w:sz w:val="20"/>
          <w:szCs w:val="20"/>
        </w:rPr>
        <w:t xml:space="preserve">s </w:t>
      </w:r>
      <w:r w:rsidR="00841281" w:rsidRPr="00ED00A9">
        <w:rPr>
          <w:i w:val="0"/>
          <w:iCs w:val="0"/>
          <w:noProof/>
          <w:color w:val="000000" w:themeColor="text1"/>
          <w:sz w:val="20"/>
          <w:szCs w:val="20"/>
        </w:rPr>
        <w:t xml:space="preserve">17, </w:t>
      </w:r>
      <w:r w:rsidR="00364F65" w:rsidRPr="00ED00A9">
        <w:rPr>
          <w:i w:val="0"/>
          <w:iCs w:val="0"/>
          <w:noProof/>
          <w:color w:val="000000" w:themeColor="text1"/>
          <w:sz w:val="20"/>
          <w:szCs w:val="20"/>
        </w:rPr>
        <w:t>13</w:t>
      </w:r>
      <w:r w:rsidR="00841281" w:rsidRPr="00ED00A9">
        <w:rPr>
          <w:i w:val="0"/>
          <w:iCs w:val="0"/>
          <w:noProof/>
          <w:color w:val="000000" w:themeColor="text1"/>
          <w:sz w:val="20"/>
          <w:szCs w:val="20"/>
        </w:rPr>
        <w:t xml:space="preserve"> and 10</w:t>
      </w:r>
      <w:r w:rsidR="00841281">
        <w:rPr>
          <w:i w:val="0"/>
          <w:iCs w:val="0"/>
          <w:noProof/>
          <w:color w:val="000000" w:themeColor="text1"/>
          <w:sz w:val="20"/>
          <w:szCs w:val="20"/>
        </w:rPr>
        <w:t xml:space="preserve"> </w:t>
      </w:r>
      <w:r w:rsidR="009317E8">
        <w:rPr>
          <w:i w:val="0"/>
          <w:iCs w:val="0"/>
          <w:noProof/>
          <w:color w:val="000000" w:themeColor="text1"/>
          <w:sz w:val="20"/>
          <w:szCs w:val="20"/>
        </w:rPr>
        <w:t>using 10 or 50 g</w:t>
      </w:r>
      <w:r w:rsidR="00BC415A" w:rsidRPr="00BC415A">
        <w:rPr>
          <w:i w:val="0"/>
          <w:iCs w:val="0"/>
          <w:noProof/>
          <w:color w:val="000000" w:themeColor="text1"/>
          <w:sz w:val="20"/>
          <w:szCs w:val="20"/>
          <w:vertAlign w:val="subscript"/>
        </w:rPr>
        <w:t>CDW</w:t>
      </w:r>
      <w:r w:rsidR="009317E8">
        <w:rPr>
          <w:i w:val="0"/>
          <w:iCs w:val="0"/>
          <w:noProof/>
          <w:color w:val="000000" w:themeColor="text1"/>
          <w:sz w:val="20"/>
          <w:szCs w:val="20"/>
        </w:rPr>
        <w:t xml:space="preserve">/L </w:t>
      </w:r>
      <w:r w:rsidR="009317E8" w:rsidRPr="00BA3286">
        <w:rPr>
          <w:noProof/>
          <w:color w:val="000000" w:themeColor="text1"/>
          <w:sz w:val="20"/>
          <w:szCs w:val="20"/>
        </w:rPr>
        <w:t>E. coli</w:t>
      </w:r>
      <w:r w:rsidR="009317E8">
        <w:rPr>
          <w:i w:val="0"/>
          <w:iCs w:val="0"/>
          <w:noProof/>
          <w:color w:val="000000" w:themeColor="text1"/>
          <w:sz w:val="20"/>
          <w:szCs w:val="20"/>
        </w:rPr>
        <w:t xml:space="preserve"> cells expressing the corresponding SHC variant (red letters)</w:t>
      </w:r>
      <w:r w:rsidR="00BA3286">
        <w:rPr>
          <w:i w:val="0"/>
          <w:iCs w:val="0"/>
          <w:noProof/>
          <w:color w:val="000000" w:themeColor="text1"/>
          <w:sz w:val="20"/>
          <w:szCs w:val="20"/>
        </w:rPr>
        <w:t xml:space="preserve">, </w:t>
      </w:r>
      <w:r w:rsidR="00364F65" w:rsidRPr="00841281">
        <w:rPr>
          <w:i w:val="0"/>
          <w:iCs w:val="0"/>
          <w:noProof/>
          <w:color w:val="000000" w:themeColor="text1"/>
          <w:sz w:val="20"/>
          <w:szCs w:val="20"/>
        </w:rPr>
        <w:t xml:space="preserve">different </w:t>
      </w:r>
      <w:r w:rsidR="00762F78" w:rsidRPr="00841281">
        <w:rPr>
          <w:i w:val="0"/>
          <w:iCs w:val="0"/>
          <w:noProof/>
          <w:color w:val="000000" w:themeColor="text1"/>
          <w:sz w:val="20"/>
          <w:szCs w:val="20"/>
        </w:rPr>
        <w:t>substrate</w:t>
      </w:r>
      <w:r w:rsidR="000B7A8B">
        <w:rPr>
          <w:i w:val="0"/>
          <w:iCs w:val="0"/>
          <w:noProof/>
          <w:color w:val="000000" w:themeColor="text1"/>
          <w:sz w:val="20"/>
          <w:szCs w:val="20"/>
        </w:rPr>
        <w:t xml:space="preserve"> </w:t>
      </w:r>
      <w:r w:rsidR="00762F78" w:rsidRPr="00841281">
        <w:rPr>
          <w:i w:val="0"/>
          <w:iCs w:val="0"/>
          <w:noProof/>
          <w:color w:val="000000" w:themeColor="text1"/>
          <w:sz w:val="20"/>
          <w:szCs w:val="20"/>
        </w:rPr>
        <w:t>concentration</w:t>
      </w:r>
      <w:r w:rsidR="0038186B">
        <w:rPr>
          <w:i w:val="0"/>
          <w:iCs w:val="0"/>
          <w:noProof/>
          <w:color w:val="000000" w:themeColor="text1"/>
          <w:sz w:val="20"/>
          <w:szCs w:val="20"/>
        </w:rPr>
        <w:t>s</w:t>
      </w:r>
      <w:r w:rsidR="00762F78" w:rsidRPr="00841281">
        <w:rPr>
          <w:i w:val="0"/>
          <w:iCs w:val="0"/>
          <w:noProof/>
          <w:color w:val="000000" w:themeColor="text1"/>
          <w:sz w:val="20"/>
          <w:szCs w:val="20"/>
        </w:rPr>
        <w:t xml:space="preserve"> </w:t>
      </w:r>
      <w:r w:rsidR="00BA3286">
        <w:rPr>
          <w:i w:val="0"/>
          <w:iCs w:val="0"/>
          <w:noProof/>
          <w:color w:val="000000" w:themeColor="text1"/>
          <w:sz w:val="20"/>
          <w:szCs w:val="20"/>
        </w:rPr>
        <w:t xml:space="preserve"> (5 and 50 mM)</w:t>
      </w:r>
      <w:r w:rsidR="00234C74">
        <w:rPr>
          <w:i w:val="0"/>
          <w:iCs w:val="0"/>
          <w:noProof/>
          <w:color w:val="000000" w:themeColor="text1"/>
          <w:sz w:val="20"/>
          <w:szCs w:val="20"/>
        </w:rPr>
        <w:t>,</w:t>
      </w:r>
      <w:r w:rsidR="00762F78" w:rsidRPr="00841281">
        <w:rPr>
          <w:i w:val="0"/>
          <w:iCs w:val="0"/>
          <w:noProof/>
          <w:color w:val="000000" w:themeColor="text1"/>
          <w:sz w:val="20"/>
          <w:szCs w:val="20"/>
        </w:rPr>
        <w:t xml:space="preserve"> temperatures</w:t>
      </w:r>
      <w:r w:rsidR="00BA3286">
        <w:rPr>
          <w:i w:val="0"/>
          <w:iCs w:val="0"/>
          <w:noProof/>
          <w:color w:val="000000" w:themeColor="text1"/>
          <w:sz w:val="20"/>
          <w:szCs w:val="20"/>
        </w:rPr>
        <w:t xml:space="preserve"> (30 and 50 °C)</w:t>
      </w:r>
      <w:r w:rsidR="00234C74">
        <w:rPr>
          <w:i w:val="0"/>
          <w:iCs w:val="0"/>
          <w:noProof/>
          <w:color w:val="000000" w:themeColor="text1"/>
          <w:sz w:val="20"/>
          <w:szCs w:val="20"/>
        </w:rPr>
        <w:t xml:space="preserve"> and additives (see color code</w:t>
      </w:r>
      <w:r w:rsidR="0044510F">
        <w:rPr>
          <w:i w:val="0"/>
          <w:iCs w:val="0"/>
          <w:noProof/>
          <w:color w:val="000000" w:themeColor="text1"/>
          <w:sz w:val="20"/>
          <w:szCs w:val="20"/>
        </w:rPr>
        <w:t xml:space="preserve">; citrate = </w:t>
      </w:r>
      <w:r w:rsidR="00946472">
        <w:rPr>
          <w:i w:val="0"/>
          <w:iCs w:val="0"/>
          <w:noProof/>
          <w:color w:val="000000" w:themeColor="text1"/>
          <w:sz w:val="20"/>
          <w:szCs w:val="20"/>
        </w:rPr>
        <w:t>100 mM citric acid, pH = 6.0, 2HP</w:t>
      </w:r>
      <w:r w:rsidR="00946472">
        <w:rPr>
          <w:rFonts w:cs="Arial"/>
          <w:i w:val="0"/>
          <w:iCs w:val="0"/>
          <w:noProof/>
          <w:color w:val="000000" w:themeColor="text1"/>
          <w:sz w:val="20"/>
          <w:szCs w:val="20"/>
        </w:rPr>
        <w:t>β</w:t>
      </w:r>
      <w:r w:rsidR="00946472">
        <w:rPr>
          <w:i w:val="0"/>
          <w:iCs w:val="0"/>
          <w:noProof/>
          <w:color w:val="000000" w:themeColor="text1"/>
          <w:sz w:val="20"/>
          <w:szCs w:val="20"/>
        </w:rPr>
        <w:t>CD</w:t>
      </w:r>
      <w:r w:rsidR="00CD23D4">
        <w:rPr>
          <w:i w:val="0"/>
          <w:iCs w:val="0"/>
          <w:noProof/>
          <w:color w:val="000000" w:themeColor="text1"/>
          <w:sz w:val="20"/>
          <w:szCs w:val="20"/>
        </w:rPr>
        <w:t xml:space="preserve"> = 2-hydroxypropyl-</w:t>
      </w:r>
      <w:r w:rsidR="00CD23D4">
        <w:rPr>
          <w:rFonts w:cs="Arial"/>
          <w:i w:val="0"/>
          <w:iCs w:val="0"/>
          <w:noProof/>
          <w:color w:val="000000" w:themeColor="text1"/>
          <w:sz w:val="20"/>
          <w:szCs w:val="20"/>
        </w:rPr>
        <w:t>β</w:t>
      </w:r>
      <w:r w:rsidR="00CD23D4">
        <w:rPr>
          <w:i w:val="0"/>
          <w:iCs w:val="0"/>
          <w:noProof/>
          <w:color w:val="000000" w:themeColor="text1"/>
          <w:sz w:val="20"/>
          <w:szCs w:val="20"/>
        </w:rPr>
        <w:t>-cyclodextrin</w:t>
      </w:r>
      <w:r w:rsidR="00234C74">
        <w:rPr>
          <w:i w:val="0"/>
          <w:iCs w:val="0"/>
          <w:noProof/>
          <w:color w:val="000000" w:themeColor="text1"/>
          <w:sz w:val="20"/>
          <w:szCs w:val="20"/>
        </w:rPr>
        <w:t>).</w:t>
      </w:r>
    </w:p>
    <w:p w14:paraId="1CC05DBA" w14:textId="619D17D2" w:rsidR="006868A3" w:rsidRPr="00833471" w:rsidRDefault="002170CD" w:rsidP="00FA3D6A">
      <w:pPr>
        <w:keepNext/>
      </w:pPr>
      <w:r>
        <w:rPr>
          <w:noProof/>
        </w:rPr>
        <w:lastRenderedPageBreak/>
        <w:drawing>
          <wp:inline distT="0" distB="0" distL="0" distR="0" wp14:anchorId="62A7C16F" wp14:editId="68F9F679">
            <wp:extent cx="5760720" cy="4824413"/>
            <wp:effectExtent l="0" t="0" r="0"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rotWithShape="1">
                    <a:blip r:embed="rId20"/>
                    <a:srcRect t="4867" b="27594"/>
                    <a:stretch/>
                  </pic:blipFill>
                  <pic:spPr bwMode="auto">
                    <a:xfrm>
                      <a:off x="0" y="0"/>
                      <a:ext cx="5760720" cy="4824413"/>
                    </a:xfrm>
                    <a:prstGeom prst="rect">
                      <a:avLst/>
                    </a:prstGeom>
                    <a:ln>
                      <a:noFill/>
                    </a:ln>
                    <a:extLst>
                      <a:ext uri="{53640926-AAD7-44D8-BBD7-CCE9431645EC}">
                        <a14:shadowObscured xmlns:a14="http://schemas.microsoft.com/office/drawing/2010/main"/>
                      </a:ext>
                    </a:extLst>
                  </pic:spPr>
                </pic:pic>
              </a:graphicData>
            </a:graphic>
          </wp:inline>
        </w:drawing>
      </w:r>
    </w:p>
    <w:p w14:paraId="1AD85D79" w14:textId="2F0048A9" w:rsidR="006868A3" w:rsidRPr="001F4A47" w:rsidRDefault="006868A3" w:rsidP="00FA3D6A">
      <w:pPr>
        <w:pStyle w:val="Caption"/>
        <w:rPr>
          <w:i w:val="0"/>
          <w:iCs w:val="0"/>
          <w:color w:val="000000" w:themeColor="text1"/>
          <w:sz w:val="20"/>
          <w:szCs w:val="20"/>
        </w:rPr>
      </w:pPr>
      <w:bookmarkStart w:id="13" w:name="_Toc134623360"/>
      <w:r w:rsidRPr="001F4A47">
        <w:rPr>
          <w:rStyle w:val="Heading1Char"/>
          <w:i w:val="0"/>
          <w:iCs w:val="0"/>
          <w:color w:val="auto"/>
        </w:rPr>
        <w:t xml:space="preserve">Figure S </w:t>
      </w:r>
      <w:r w:rsidRPr="001F4A47">
        <w:rPr>
          <w:rStyle w:val="Heading1Char"/>
          <w:i w:val="0"/>
          <w:iCs w:val="0"/>
          <w:color w:val="auto"/>
        </w:rPr>
        <w:fldChar w:fldCharType="begin"/>
      </w:r>
      <w:r w:rsidRPr="001F4A47">
        <w:rPr>
          <w:rStyle w:val="Heading1Char"/>
          <w:i w:val="0"/>
          <w:iCs w:val="0"/>
          <w:color w:val="auto"/>
        </w:rPr>
        <w:instrText xml:space="preserve"> SEQ Figure_S \* ARABIC </w:instrText>
      </w:r>
      <w:r w:rsidRPr="001F4A47">
        <w:rPr>
          <w:rStyle w:val="Heading1Char"/>
          <w:i w:val="0"/>
          <w:iCs w:val="0"/>
          <w:color w:val="auto"/>
        </w:rPr>
        <w:fldChar w:fldCharType="separate"/>
      </w:r>
      <w:r w:rsidR="00AA5E09">
        <w:rPr>
          <w:rStyle w:val="Heading1Char"/>
          <w:i w:val="0"/>
          <w:iCs w:val="0"/>
          <w:noProof/>
          <w:color w:val="auto"/>
        </w:rPr>
        <w:t>13</w:t>
      </w:r>
      <w:bookmarkEnd w:id="13"/>
      <w:r w:rsidRPr="001F4A47">
        <w:rPr>
          <w:rStyle w:val="Heading1Char"/>
          <w:i w:val="0"/>
          <w:iCs w:val="0"/>
          <w:color w:val="auto"/>
        </w:rPr>
        <w:fldChar w:fldCharType="end"/>
      </w:r>
      <w:r w:rsidR="002D687E" w:rsidRPr="005A2281">
        <w:rPr>
          <w:i w:val="0"/>
          <w:iCs w:val="0"/>
          <w:noProof/>
          <w:color w:val="000000" w:themeColor="text1"/>
          <w:sz w:val="20"/>
          <w:szCs w:val="20"/>
        </w:rPr>
        <w:t xml:space="preserve">: </w:t>
      </w:r>
      <w:r w:rsidR="001F4A47" w:rsidRPr="005A2281">
        <w:rPr>
          <w:i w:val="0"/>
          <w:iCs w:val="0"/>
          <w:noProof/>
          <w:color w:val="000000" w:themeColor="text1"/>
          <w:sz w:val="20"/>
          <w:szCs w:val="20"/>
        </w:rPr>
        <w:t>C</w:t>
      </w:r>
      <w:r w:rsidR="00C65000" w:rsidRPr="005A2281">
        <w:rPr>
          <w:i w:val="0"/>
          <w:iCs w:val="0"/>
          <w:noProof/>
          <w:color w:val="000000" w:themeColor="text1"/>
          <w:sz w:val="20"/>
          <w:szCs w:val="20"/>
        </w:rPr>
        <w:t xml:space="preserve">omprehensive evaluation </w:t>
      </w:r>
      <w:r w:rsidR="006014CE" w:rsidRPr="005A2281">
        <w:rPr>
          <w:i w:val="0"/>
          <w:iCs w:val="0"/>
          <w:noProof/>
          <w:color w:val="000000" w:themeColor="text1"/>
          <w:sz w:val="20"/>
          <w:szCs w:val="20"/>
        </w:rPr>
        <w:t xml:space="preserve">of the beneficial encapsulation effect of </w:t>
      </w:r>
      <w:r w:rsidR="001F4A47" w:rsidRPr="005A2281">
        <w:rPr>
          <w:i w:val="0"/>
          <w:iCs w:val="0"/>
          <w:noProof/>
          <w:color w:val="000000" w:themeColor="text1"/>
          <w:sz w:val="20"/>
          <w:szCs w:val="20"/>
        </w:rPr>
        <w:t>2-hydroxpropyl-</w:t>
      </w:r>
      <w:r w:rsidR="001F4A47" w:rsidRPr="005A2281">
        <w:rPr>
          <w:rFonts w:cs="Arial"/>
          <w:i w:val="0"/>
          <w:iCs w:val="0"/>
          <w:noProof/>
          <w:color w:val="000000" w:themeColor="text1"/>
          <w:sz w:val="20"/>
          <w:szCs w:val="20"/>
        </w:rPr>
        <w:t>β</w:t>
      </w:r>
      <w:r w:rsidR="001F4A47" w:rsidRPr="005A2281">
        <w:rPr>
          <w:i w:val="0"/>
          <w:iCs w:val="0"/>
          <w:noProof/>
          <w:color w:val="000000" w:themeColor="text1"/>
          <w:sz w:val="20"/>
          <w:szCs w:val="20"/>
        </w:rPr>
        <w:t>-</w:t>
      </w:r>
      <w:r w:rsidR="006014CE" w:rsidRPr="005A2281">
        <w:rPr>
          <w:i w:val="0"/>
          <w:iCs w:val="0"/>
          <w:noProof/>
          <w:color w:val="000000" w:themeColor="text1"/>
          <w:sz w:val="20"/>
          <w:szCs w:val="20"/>
        </w:rPr>
        <w:t>cyclodextrin</w:t>
      </w:r>
      <w:r w:rsidR="001F4A47" w:rsidRPr="005A2281">
        <w:rPr>
          <w:i w:val="0"/>
          <w:iCs w:val="0"/>
          <w:noProof/>
          <w:color w:val="000000" w:themeColor="text1"/>
          <w:sz w:val="20"/>
          <w:szCs w:val="20"/>
        </w:rPr>
        <w:t xml:space="preserve"> (2HPCD)</w:t>
      </w:r>
      <w:r w:rsidR="006014CE" w:rsidRPr="005A2281">
        <w:rPr>
          <w:i w:val="0"/>
          <w:iCs w:val="0"/>
          <w:noProof/>
          <w:color w:val="000000" w:themeColor="text1"/>
          <w:sz w:val="20"/>
          <w:szCs w:val="20"/>
        </w:rPr>
        <w:t xml:space="preserve"> on the biotransformation </w:t>
      </w:r>
      <w:r w:rsidR="004B5E81" w:rsidRPr="005A2281">
        <w:rPr>
          <w:i w:val="0"/>
          <w:iCs w:val="0"/>
          <w:noProof/>
          <w:color w:val="000000" w:themeColor="text1"/>
          <w:sz w:val="20"/>
          <w:szCs w:val="20"/>
        </w:rPr>
        <w:t>using different substrates and SHC variants</w:t>
      </w:r>
      <w:r w:rsidR="001F4A47" w:rsidRPr="005A2281">
        <w:rPr>
          <w:i w:val="0"/>
          <w:iCs w:val="0"/>
          <w:noProof/>
          <w:color w:val="000000" w:themeColor="text1"/>
          <w:sz w:val="20"/>
          <w:szCs w:val="20"/>
        </w:rPr>
        <w:t xml:space="preserve"> (red letters)</w:t>
      </w:r>
      <w:r w:rsidR="004B5E81" w:rsidRPr="005A2281">
        <w:rPr>
          <w:i w:val="0"/>
          <w:iCs w:val="0"/>
          <w:noProof/>
          <w:color w:val="000000" w:themeColor="text1"/>
          <w:sz w:val="20"/>
          <w:szCs w:val="20"/>
        </w:rPr>
        <w:t>.</w:t>
      </w:r>
      <w:r w:rsidR="00795827" w:rsidRPr="005A2281">
        <w:rPr>
          <w:i w:val="0"/>
          <w:iCs w:val="0"/>
          <w:noProof/>
          <w:color w:val="000000" w:themeColor="text1"/>
          <w:sz w:val="20"/>
          <w:szCs w:val="20"/>
        </w:rPr>
        <w:t xml:space="preserve"> Conditions: 20 mM substrate, 10 g</w:t>
      </w:r>
      <w:r w:rsidR="00BC415A" w:rsidRPr="00BC415A">
        <w:rPr>
          <w:i w:val="0"/>
          <w:iCs w:val="0"/>
          <w:noProof/>
          <w:color w:val="000000" w:themeColor="text1"/>
          <w:sz w:val="20"/>
          <w:szCs w:val="20"/>
          <w:vertAlign w:val="subscript"/>
        </w:rPr>
        <w:t>CDW</w:t>
      </w:r>
      <w:r w:rsidR="00795827" w:rsidRPr="005A2281">
        <w:rPr>
          <w:i w:val="0"/>
          <w:iCs w:val="0"/>
          <w:noProof/>
          <w:color w:val="000000" w:themeColor="text1"/>
          <w:sz w:val="20"/>
          <w:szCs w:val="20"/>
        </w:rPr>
        <w:t xml:space="preserve">/L cells, </w:t>
      </w:r>
      <w:r w:rsidR="00331068" w:rsidRPr="005A2281">
        <w:rPr>
          <w:noProof/>
          <w:color w:val="000000" w:themeColor="text1"/>
          <w:sz w:val="20"/>
          <w:szCs w:val="20"/>
        </w:rPr>
        <w:t>dd</w:t>
      </w:r>
      <w:r w:rsidR="00331068" w:rsidRPr="005A2281">
        <w:rPr>
          <w:i w:val="0"/>
          <w:iCs w:val="0"/>
          <w:noProof/>
          <w:color w:val="000000" w:themeColor="text1"/>
          <w:sz w:val="20"/>
          <w:szCs w:val="20"/>
        </w:rPr>
        <w:t>H</w:t>
      </w:r>
      <w:r w:rsidR="00331068" w:rsidRPr="005A2281">
        <w:rPr>
          <w:i w:val="0"/>
          <w:iCs w:val="0"/>
          <w:noProof/>
          <w:color w:val="000000" w:themeColor="text1"/>
          <w:sz w:val="20"/>
          <w:szCs w:val="20"/>
          <w:vertAlign w:val="subscript"/>
        </w:rPr>
        <w:t>2</w:t>
      </w:r>
      <w:r w:rsidR="00331068" w:rsidRPr="005A2281">
        <w:rPr>
          <w:i w:val="0"/>
          <w:iCs w:val="0"/>
          <w:noProof/>
          <w:color w:val="000000" w:themeColor="text1"/>
          <w:sz w:val="20"/>
          <w:szCs w:val="20"/>
        </w:rPr>
        <w:t>O, 50 °C.</w:t>
      </w:r>
      <w:r w:rsidR="004B5E81" w:rsidRPr="005A2281">
        <w:rPr>
          <w:i w:val="0"/>
          <w:iCs w:val="0"/>
          <w:noProof/>
          <w:color w:val="000000" w:themeColor="text1"/>
          <w:sz w:val="20"/>
          <w:szCs w:val="20"/>
        </w:rPr>
        <w:t xml:space="preserve"> The </w:t>
      </w:r>
      <w:r w:rsidR="00775BA5" w:rsidRPr="005A2281">
        <w:rPr>
          <w:i w:val="0"/>
          <w:iCs w:val="0"/>
          <w:noProof/>
          <w:color w:val="000000" w:themeColor="text1"/>
          <w:sz w:val="20"/>
          <w:szCs w:val="20"/>
        </w:rPr>
        <w:t xml:space="preserve">brackets show </w:t>
      </w:r>
      <w:r w:rsidR="001F4A47" w:rsidRPr="005A2281">
        <w:rPr>
          <w:i w:val="0"/>
          <w:iCs w:val="0"/>
          <w:noProof/>
          <w:color w:val="000000" w:themeColor="text1"/>
          <w:sz w:val="20"/>
          <w:szCs w:val="20"/>
        </w:rPr>
        <w:t xml:space="preserve">the GC </w:t>
      </w:r>
      <w:r w:rsidR="00775BA5" w:rsidRPr="005A2281">
        <w:rPr>
          <w:i w:val="0"/>
          <w:iCs w:val="0"/>
          <w:noProof/>
          <w:color w:val="000000" w:themeColor="text1"/>
          <w:sz w:val="20"/>
          <w:szCs w:val="20"/>
        </w:rPr>
        <w:t>conversion</w:t>
      </w:r>
      <w:r w:rsidR="003A2965" w:rsidRPr="005A2281">
        <w:rPr>
          <w:i w:val="0"/>
          <w:iCs w:val="0"/>
          <w:noProof/>
          <w:color w:val="000000" w:themeColor="text1"/>
          <w:sz w:val="20"/>
          <w:szCs w:val="20"/>
        </w:rPr>
        <w:t xml:space="preserve"> of </w:t>
      </w:r>
      <w:r w:rsidR="00795827" w:rsidRPr="005A2281">
        <w:rPr>
          <w:i w:val="0"/>
          <w:iCs w:val="0"/>
          <w:noProof/>
          <w:color w:val="000000" w:themeColor="text1"/>
          <w:sz w:val="20"/>
          <w:szCs w:val="20"/>
        </w:rPr>
        <w:t>the substrates</w:t>
      </w:r>
      <w:r w:rsidR="00775BA5" w:rsidRPr="005A2281">
        <w:rPr>
          <w:i w:val="0"/>
          <w:iCs w:val="0"/>
          <w:noProof/>
          <w:color w:val="000000" w:themeColor="text1"/>
          <w:sz w:val="20"/>
          <w:szCs w:val="20"/>
        </w:rPr>
        <w:t xml:space="preserve"> after 20 h. Green </w:t>
      </w:r>
      <w:r w:rsidR="00331068" w:rsidRPr="005A2281">
        <w:rPr>
          <w:i w:val="0"/>
          <w:iCs w:val="0"/>
          <w:noProof/>
          <w:color w:val="000000" w:themeColor="text1"/>
          <w:sz w:val="20"/>
          <w:szCs w:val="20"/>
        </w:rPr>
        <w:t>designates</w:t>
      </w:r>
      <w:r w:rsidR="00775BA5" w:rsidRPr="005A2281">
        <w:rPr>
          <w:i w:val="0"/>
          <w:iCs w:val="0"/>
          <w:noProof/>
          <w:color w:val="000000" w:themeColor="text1"/>
          <w:sz w:val="20"/>
          <w:szCs w:val="20"/>
        </w:rPr>
        <w:t xml:space="preserve"> better conversion. The results demomnstrate that with increasing P (</w:t>
      </w:r>
      <w:r w:rsidR="00EE1416" w:rsidRPr="005A2281">
        <w:rPr>
          <w:i w:val="0"/>
          <w:iCs w:val="0"/>
          <w:noProof/>
          <w:color w:val="000000" w:themeColor="text1"/>
          <w:sz w:val="20"/>
          <w:szCs w:val="20"/>
        </w:rPr>
        <w:t>= 10</w:t>
      </w:r>
      <w:r w:rsidR="00EE1416" w:rsidRPr="005A2281">
        <w:rPr>
          <w:i w:val="0"/>
          <w:iCs w:val="0"/>
          <w:noProof/>
          <w:color w:val="000000" w:themeColor="text1"/>
          <w:sz w:val="20"/>
          <w:szCs w:val="20"/>
          <w:vertAlign w:val="superscript"/>
        </w:rPr>
        <w:t>logP</w:t>
      </w:r>
      <w:r w:rsidR="00EE1416" w:rsidRPr="005A2281">
        <w:rPr>
          <w:i w:val="0"/>
          <w:iCs w:val="0"/>
          <w:noProof/>
          <w:color w:val="000000" w:themeColor="text1"/>
          <w:sz w:val="20"/>
          <w:szCs w:val="20"/>
        </w:rPr>
        <w:t xml:space="preserve">, </w:t>
      </w:r>
      <w:r w:rsidR="001F4A47" w:rsidRPr="005A2281">
        <w:rPr>
          <w:i w:val="0"/>
          <w:iCs w:val="0"/>
          <w:noProof/>
          <w:color w:val="000000" w:themeColor="text1"/>
          <w:sz w:val="20"/>
          <w:szCs w:val="20"/>
        </w:rPr>
        <w:t xml:space="preserve">black italic </w:t>
      </w:r>
      <w:r w:rsidR="00775BA5" w:rsidRPr="005A2281">
        <w:rPr>
          <w:i w:val="0"/>
          <w:iCs w:val="0"/>
          <w:noProof/>
          <w:color w:val="000000" w:themeColor="text1"/>
          <w:sz w:val="20"/>
          <w:szCs w:val="20"/>
        </w:rPr>
        <w:t xml:space="preserve">numbers </w:t>
      </w:r>
      <w:r w:rsidR="006B58F7" w:rsidRPr="005A2281">
        <w:rPr>
          <w:i w:val="0"/>
          <w:iCs w:val="0"/>
          <w:noProof/>
          <w:color w:val="000000" w:themeColor="text1"/>
          <w:sz w:val="20"/>
          <w:szCs w:val="20"/>
        </w:rPr>
        <w:t>above substrates) and thus increasing hydrophobicity the beneficial effect of cyclodextrin increases</w:t>
      </w:r>
      <w:r w:rsidR="001F4A47" w:rsidRPr="005A2281">
        <w:rPr>
          <w:i w:val="0"/>
          <w:iCs w:val="0"/>
          <w:noProof/>
          <w:color w:val="000000" w:themeColor="text1"/>
          <w:sz w:val="20"/>
          <w:szCs w:val="20"/>
        </w:rPr>
        <w:t xml:space="preserve"> as well</w:t>
      </w:r>
      <w:r w:rsidR="006B58F7" w:rsidRPr="005A2281">
        <w:rPr>
          <w:i w:val="0"/>
          <w:iCs w:val="0"/>
          <w:noProof/>
          <w:color w:val="000000" w:themeColor="text1"/>
          <w:sz w:val="20"/>
          <w:szCs w:val="20"/>
        </w:rPr>
        <w:t>.</w:t>
      </w:r>
      <w:r w:rsidR="00946472">
        <w:rPr>
          <w:i w:val="0"/>
          <w:iCs w:val="0"/>
          <w:noProof/>
          <w:color w:val="000000" w:themeColor="text1"/>
          <w:sz w:val="20"/>
          <w:szCs w:val="20"/>
        </w:rPr>
        <w:t xml:space="preserve"> LogP was claculated by ChemDraw.</w:t>
      </w:r>
    </w:p>
    <w:p w14:paraId="156B7697" w14:textId="1BDA64BB" w:rsidR="006868A3" w:rsidRPr="00833471" w:rsidRDefault="00297BF4" w:rsidP="00FA3D6A">
      <w:pPr>
        <w:keepNext/>
      </w:pPr>
      <w:r>
        <w:rPr>
          <w:noProof/>
        </w:rPr>
        <w:lastRenderedPageBreak/>
        <w:drawing>
          <wp:inline distT="0" distB="0" distL="0" distR="0" wp14:anchorId="24571B33" wp14:editId="65D4306B">
            <wp:extent cx="5760720" cy="6391275"/>
            <wp:effectExtent l="0" t="0" r="0" b="9525"/>
            <wp:docPr id="15" name="Picture 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rotWithShape="1">
                    <a:blip r:embed="rId21"/>
                    <a:srcRect b="10526"/>
                    <a:stretch/>
                  </pic:blipFill>
                  <pic:spPr bwMode="auto">
                    <a:xfrm>
                      <a:off x="0" y="0"/>
                      <a:ext cx="5760720" cy="6391275"/>
                    </a:xfrm>
                    <a:prstGeom prst="rect">
                      <a:avLst/>
                    </a:prstGeom>
                    <a:ln>
                      <a:noFill/>
                    </a:ln>
                    <a:extLst>
                      <a:ext uri="{53640926-AAD7-44D8-BBD7-CCE9431645EC}">
                        <a14:shadowObscured xmlns:a14="http://schemas.microsoft.com/office/drawing/2010/main"/>
                      </a:ext>
                    </a:extLst>
                  </pic:spPr>
                </pic:pic>
              </a:graphicData>
            </a:graphic>
          </wp:inline>
        </w:drawing>
      </w:r>
    </w:p>
    <w:p w14:paraId="56B1363A" w14:textId="7718B24E" w:rsidR="006868A3" w:rsidRPr="00C47B9E" w:rsidRDefault="006868A3" w:rsidP="00FA3D6A">
      <w:pPr>
        <w:pStyle w:val="Caption"/>
        <w:rPr>
          <w:i w:val="0"/>
          <w:iCs w:val="0"/>
          <w:color w:val="000000" w:themeColor="text1"/>
        </w:rPr>
      </w:pPr>
      <w:bookmarkStart w:id="14" w:name="_Toc134623361"/>
      <w:r w:rsidRPr="001F4A47">
        <w:rPr>
          <w:rStyle w:val="Heading1Char"/>
          <w:i w:val="0"/>
          <w:iCs w:val="0"/>
          <w:color w:val="auto"/>
        </w:rPr>
        <w:t xml:space="preserve">Figure S </w:t>
      </w:r>
      <w:r w:rsidRPr="001F4A47">
        <w:rPr>
          <w:rStyle w:val="Heading1Char"/>
          <w:i w:val="0"/>
          <w:iCs w:val="0"/>
          <w:color w:val="auto"/>
        </w:rPr>
        <w:fldChar w:fldCharType="begin"/>
      </w:r>
      <w:r w:rsidRPr="001F4A47">
        <w:rPr>
          <w:rStyle w:val="Heading1Char"/>
          <w:i w:val="0"/>
          <w:iCs w:val="0"/>
          <w:color w:val="auto"/>
        </w:rPr>
        <w:instrText xml:space="preserve"> SEQ Figure_S \* ARABIC </w:instrText>
      </w:r>
      <w:r w:rsidRPr="001F4A47">
        <w:rPr>
          <w:rStyle w:val="Heading1Char"/>
          <w:i w:val="0"/>
          <w:iCs w:val="0"/>
          <w:color w:val="auto"/>
        </w:rPr>
        <w:fldChar w:fldCharType="separate"/>
      </w:r>
      <w:r w:rsidR="00AA5E09">
        <w:rPr>
          <w:rStyle w:val="Heading1Char"/>
          <w:i w:val="0"/>
          <w:iCs w:val="0"/>
          <w:noProof/>
          <w:color w:val="auto"/>
        </w:rPr>
        <w:t>14</w:t>
      </w:r>
      <w:bookmarkEnd w:id="14"/>
      <w:r w:rsidRPr="001F4A47">
        <w:rPr>
          <w:rStyle w:val="Heading1Char"/>
          <w:i w:val="0"/>
          <w:iCs w:val="0"/>
          <w:color w:val="auto"/>
        </w:rPr>
        <w:fldChar w:fldCharType="end"/>
      </w:r>
      <w:r w:rsidR="00971CE0" w:rsidRPr="00C47B9E">
        <w:rPr>
          <w:i w:val="0"/>
          <w:iCs w:val="0"/>
          <w:noProof/>
          <w:color w:val="000000" w:themeColor="text1"/>
        </w:rPr>
        <w:t xml:space="preserve">: </w:t>
      </w:r>
      <w:r w:rsidR="001F4A47" w:rsidRPr="005A2281">
        <w:rPr>
          <w:i w:val="0"/>
          <w:iCs w:val="0"/>
          <w:noProof/>
          <w:color w:val="000000" w:themeColor="text1"/>
          <w:sz w:val="20"/>
          <w:szCs w:val="20"/>
        </w:rPr>
        <w:t xml:space="preserve">Biotransfromations </w:t>
      </w:r>
      <w:r w:rsidR="007F0142" w:rsidRPr="00ED00A9">
        <w:rPr>
          <w:i w:val="0"/>
          <w:iCs w:val="0"/>
          <w:noProof/>
          <w:color w:val="000000" w:themeColor="text1"/>
          <w:sz w:val="20"/>
          <w:szCs w:val="20"/>
        </w:rPr>
        <w:t>of Z-17</w:t>
      </w:r>
      <w:r w:rsidR="007F0142" w:rsidRPr="005A2281">
        <w:rPr>
          <w:i w:val="0"/>
          <w:iCs w:val="0"/>
          <w:noProof/>
          <w:color w:val="000000" w:themeColor="text1"/>
          <w:sz w:val="20"/>
          <w:szCs w:val="20"/>
        </w:rPr>
        <w:t xml:space="preserve"> using different SHC variants </w:t>
      </w:r>
      <w:r w:rsidR="008E4519" w:rsidRPr="005A2281">
        <w:rPr>
          <w:i w:val="0"/>
          <w:iCs w:val="0"/>
          <w:noProof/>
          <w:color w:val="000000" w:themeColor="text1"/>
          <w:sz w:val="20"/>
          <w:szCs w:val="20"/>
        </w:rPr>
        <w:t>(red letters) at differing conditions. (a) Biotransformation of Z-17 with AacSHC W</w:t>
      </w:r>
      <w:r w:rsidR="00B67760" w:rsidRPr="005A2281">
        <w:rPr>
          <w:i w:val="0"/>
          <w:iCs w:val="0"/>
          <w:noProof/>
          <w:color w:val="000000" w:themeColor="text1"/>
          <w:sz w:val="20"/>
          <w:szCs w:val="20"/>
        </w:rPr>
        <w:t>T shows increased space-time yields at higher temperatures</w:t>
      </w:r>
      <w:r w:rsidR="00130B50" w:rsidRPr="005A2281">
        <w:rPr>
          <w:i w:val="0"/>
          <w:iCs w:val="0"/>
          <w:noProof/>
          <w:color w:val="000000" w:themeColor="text1"/>
          <w:sz w:val="20"/>
          <w:szCs w:val="20"/>
        </w:rPr>
        <w:t xml:space="preserve"> (50 °C)</w:t>
      </w:r>
      <w:r w:rsidR="00B67760" w:rsidRPr="005A2281">
        <w:rPr>
          <w:i w:val="0"/>
          <w:iCs w:val="0"/>
          <w:noProof/>
          <w:color w:val="000000" w:themeColor="text1"/>
          <w:sz w:val="20"/>
          <w:szCs w:val="20"/>
        </w:rPr>
        <w:t xml:space="preserve"> and</w:t>
      </w:r>
      <w:r w:rsidR="00130B50" w:rsidRPr="005A2281">
        <w:rPr>
          <w:i w:val="0"/>
          <w:iCs w:val="0"/>
          <w:noProof/>
          <w:color w:val="000000" w:themeColor="text1"/>
          <w:sz w:val="20"/>
          <w:szCs w:val="20"/>
        </w:rPr>
        <w:t xml:space="preserve"> higher</w:t>
      </w:r>
      <w:r w:rsidR="00B67760" w:rsidRPr="005A2281">
        <w:rPr>
          <w:i w:val="0"/>
          <w:iCs w:val="0"/>
          <w:noProof/>
          <w:color w:val="000000" w:themeColor="text1"/>
          <w:sz w:val="20"/>
          <w:szCs w:val="20"/>
        </w:rPr>
        <w:t xml:space="preserve"> </w:t>
      </w:r>
      <w:r w:rsidR="00130B50" w:rsidRPr="005A2281">
        <w:rPr>
          <w:i w:val="0"/>
          <w:iCs w:val="0"/>
          <w:noProof/>
          <w:color w:val="000000" w:themeColor="text1"/>
          <w:sz w:val="20"/>
          <w:szCs w:val="20"/>
        </w:rPr>
        <w:t>substrate concentration (20 mM).</w:t>
      </w:r>
      <w:r w:rsidR="008E4519" w:rsidRPr="005A2281">
        <w:rPr>
          <w:i w:val="0"/>
          <w:iCs w:val="0"/>
          <w:noProof/>
          <w:color w:val="000000" w:themeColor="text1"/>
          <w:sz w:val="20"/>
          <w:szCs w:val="20"/>
        </w:rPr>
        <w:t xml:space="preserve"> </w:t>
      </w:r>
      <w:r w:rsidR="00130B50" w:rsidRPr="005A2281">
        <w:rPr>
          <w:i w:val="0"/>
          <w:iCs w:val="0"/>
          <w:noProof/>
          <w:color w:val="000000" w:themeColor="text1"/>
          <w:sz w:val="20"/>
          <w:szCs w:val="20"/>
        </w:rPr>
        <w:t xml:space="preserve">(b) Single-point mutant </w:t>
      </w:r>
      <w:r w:rsidR="009E72E5" w:rsidRPr="005A2281">
        <w:rPr>
          <w:i w:val="0"/>
          <w:iCs w:val="0"/>
          <w:noProof/>
          <w:color w:val="000000" w:themeColor="text1"/>
          <w:sz w:val="20"/>
          <w:szCs w:val="20"/>
        </w:rPr>
        <w:t xml:space="preserve">G600M </w:t>
      </w:r>
      <w:r w:rsidR="00130B50" w:rsidRPr="005A2281">
        <w:rPr>
          <w:i w:val="0"/>
          <w:iCs w:val="0"/>
          <w:noProof/>
          <w:color w:val="000000" w:themeColor="text1"/>
          <w:sz w:val="20"/>
          <w:szCs w:val="20"/>
        </w:rPr>
        <w:t xml:space="preserve">of </w:t>
      </w:r>
      <w:r w:rsidR="009E72E5" w:rsidRPr="005A2281">
        <w:rPr>
          <w:i w:val="0"/>
          <w:iCs w:val="0"/>
          <w:noProof/>
          <w:color w:val="000000" w:themeColor="text1"/>
          <w:sz w:val="20"/>
          <w:szCs w:val="20"/>
        </w:rPr>
        <w:t>Aac</w:t>
      </w:r>
      <w:r w:rsidR="00130B50" w:rsidRPr="005A2281">
        <w:rPr>
          <w:i w:val="0"/>
          <w:iCs w:val="0"/>
          <w:noProof/>
          <w:color w:val="000000" w:themeColor="text1"/>
          <w:sz w:val="20"/>
          <w:szCs w:val="20"/>
        </w:rPr>
        <w:t>SHC</w:t>
      </w:r>
      <w:r w:rsidR="009E72E5" w:rsidRPr="005A2281">
        <w:rPr>
          <w:i w:val="0"/>
          <w:iCs w:val="0"/>
          <w:noProof/>
          <w:color w:val="000000" w:themeColor="text1"/>
          <w:sz w:val="20"/>
          <w:szCs w:val="20"/>
        </w:rPr>
        <w:t xml:space="preserve"> still shows improved </w:t>
      </w:r>
      <w:r w:rsidR="00CE12C5" w:rsidRPr="005A2281">
        <w:rPr>
          <w:i w:val="0"/>
          <w:iCs w:val="0"/>
          <w:noProof/>
          <w:color w:val="000000" w:themeColor="text1"/>
          <w:sz w:val="20"/>
          <w:szCs w:val="20"/>
        </w:rPr>
        <w:t xml:space="preserve">space-time-yields at higher temperatures (50 °C) and higher substrate concentration (20 mM). (c) </w:t>
      </w:r>
      <w:r w:rsidR="00AE09A5" w:rsidRPr="005A2281">
        <w:rPr>
          <w:i w:val="0"/>
          <w:iCs w:val="0"/>
          <w:noProof/>
          <w:color w:val="000000" w:themeColor="text1"/>
          <w:sz w:val="20"/>
          <w:szCs w:val="20"/>
        </w:rPr>
        <w:t xml:space="preserve">Quadruple </w:t>
      </w:r>
      <w:r w:rsidR="00567549" w:rsidRPr="005A2281">
        <w:rPr>
          <w:i w:val="0"/>
          <w:iCs w:val="0"/>
          <w:noProof/>
          <w:color w:val="000000" w:themeColor="text1"/>
          <w:sz w:val="20"/>
          <w:szCs w:val="20"/>
        </w:rPr>
        <w:t>mutant NMZ shows</w:t>
      </w:r>
      <w:r w:rsidR="002717C4" w:rsidRPr="005A2281">
        <w:rPr>
          <w:i w:val="0"/>
          <w:iCs w:val="0"/>
          <w:noProof/>
          <w:color w:val="000000" w:themeColor="text1"/>
          <w:sz w:val="20"/>
          <w:szCs w:val="20"/>
        </w:rPr>
        <w:t xml:space="preserve"> some lowered</w:t>
      </w:r>
      <w:r w:rsidR="00567549" w:rsidRPr="005A2281">
        <w:rPr>
          <w:i w:val="0"/>
          <w:iCs w:val="0"/>
          <w:noProof/>
          <w:color w:val="000000" w:themeColor="text1"/>
          <w:sz w:val="20"/>
          <w:szCs w:val="20"/>
        </w:rPr>
        <w:t xml:space="preserve"> space-time-yields</w:t>
      </w:r>
      <w:r w:rsidR="002717C4" w:rsidRPr="005A2281">
        <w:rPr>
          <w:i w:val="0"/>
          <w:iCs w:val="0"/>
          <w:noProof/>
          <w:color w:val="000000" w:themeColor="text1"/>
          <w:sz w:val="20"/>
          <w:szCs w:val="20"/>
        </w:rPr>
        <w:t xml:space="preserve"> higher substrate concentration (20 mM).</w:t>
      </w:r>
      <w:r w:rsidR="00130B50" w:rsidRPr="005A2281">
        <w:rPr>
          <w:i w:val="0"/>
          <w:iCs w:val="0"/>
          <w:noProof/>
          <w:color w:val="000000" w:themeColor="text1"/>
          <w:sz w:val="20"/>
          <w:szCs w:val="20"/>
        </w:rPr>
        <w:t xml:space="preserve"> </w:t>
      </w:r>
      <w:r w:rsidR="002717C4" w:rsidRPr="005A2281">
        <w:rPr>
          <w:i w:val="0"/>
          <w:iCs w:val="0"/>
          <w:noProof/>
          <w:color w:val="000000" w:themeColor="text1"/>
          <w:sz w:val="20"/>
          <w:szCs w:val="20"/>
        </w:rPr>
        <w:t xml:space="preserve">(d) </w:t>
      </w:r>
      <w:r w:rsidR="002B4FE8" w:rsidRPr="005A2281">
        <w:rPr>
          <w:i w:val="0"/>
          <w:iCs w:val="0"/>
          <w:noProof/>
          <w:color w:val="000000" w:themeColor="text1"/>
          <w:sz w:val="20"/>
          <w:szCs w:val="20"/>
        </w:rPr>
        <w:t xml:space="preserve">Pentuple variant </w:t>
      </w:r>
      <w:r w:rsidR="0009174C" w:rsidRPr="005A2281">
        <w:rPr>
          <w:i w:val="0"/>
          <w:iCs w:val="0"/>
          <w:noProof/>
          <w:color w:val="000000" w:themeColor="text1"/>
          <w:sz w:val="20"/>
          <w:szCs w:val="20"/>
        </w:rPr>
        <w:t xml:space="preserve">NMZ+D432T, which was </w:t>
      </w:r>
      <w:r w:rsidR="002B4FE8" w:rsidRPr="005A2281">
        <w:rPr>
          <w:i w:val="0"/>
          <w:iCs w:val="0"/>
          <w:noProof/>
          <w:color w:val="000000" w:themeColor="text1"/>
          <w:sz w:val="20"/>
          <w:szCs w:val="20"/>
        </w:rPr>
        <w:t xml:space="preserve">identified by </w:t>
      </w:r>
      <w:r w:rsidR="0009174C" w:rsidRPr="005A2281">
        <w:rPr>
          <w:i w:val="0"/>
          <w:iCs w:val="0"/>
          <w:noProof/>
          <w:color w:val="000000" w:themeColor="text1"/>
          <w:sz w:val="20"/>
          <w:szCs w:val="20"/>
        </w:rPr>
        <w:t>CAVER</w:t>
      </w:r>
      <w:r w:rsidR="0009174C" w:rsidRPr="005A2281">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{"citationItems":[{"id":"ITEM-1","itemData":{"DOI":"10.1371/JOURNAL.PCBI.1002708","ISSN":"1553-7358","PMID":"23093919","abstract":"Tunnels and channels facilitate the transport of small molecules, ions and water solvent in a large variety of proteins. Characteristics of individual transport pathways, including their geometry, physico-chemical properties and dynamics are instrumental for understanding of structure-function relationships of these proteins, for the design of new inhibitors and construction of improved biocatalysts. CAVER is a software tool widely used for the identification and characterization of transport pathways in static macromolecular structures. Herein we present a new version of CAVER enabling automatic analysis of tunnels and channels in large ensembles of protein conformations. CAVER 3.0 implements new algorithms for the calculation and clustering of pathways. A trajectory from a molecular dynamics simulation serves as the typical input, while detailed characteristics and summary statistics of the time evolution of individual pathways are provided in the outputs. To illustrate the capabilities of CAVER 3.0, the tool was applied for the analysis of molecular dynamics simulation of the microbial enzyme haloalkane dehalogenase DhaA. CAVER 3.0 safely identified and reliably estimated the importance of all previously published DhaA tunnels, including the tunnels closed in DhaA crystal structures. Obtained results clearly demonstrate that analysis of molecular dynamics simulation is essential for the estimation of pathway characteristics and elucidation of the structural basis of the tunnel gating. CAVER 3.0 paves the way for the study of important biochemical phenomena in the area of molecular transport, molecular recognition and enzymatic catalysis. The software is freely available as a multiplatform command-line application at http://www.caver.cz.","author":[{"dropping-particle":"","family":"Chovancova","given":"Eva","non-dropping-particle":"","parse-names":false,"suffix":""},{"dropping-particle":"","family":"Pavelka","given":"Antonin","non-dropping-particle":"","parse-names":false,"suffix":""},{"dropping-particle":"","family":"Benes","given":"Petr","non-dropping-particle":"","parse-names":false,"suffix":""},{"dropping-particle":"","family":"Strnad","given":"Ondrej","non-dropping-particle":"","parse-names":false,"suffix":""},{"dropping-particle":"","family":"Brezovsky","given":"Jan","non-dropping-particle":"","parse-names":false,"suffix":""},{"dropping-particle":"","family":"Kozlikova","given":"Barbora","non-dropping-particle":"","parse-names":false,"suffix":""},{"dropping-particle":"","family":"Gora","given":"Artur","non-dropping-particle":"","parse-names":false,"suffix":""},{"dropping-particle":"","family":"Sustr","given":"Vilem","non-dropping-particle":"","parse-names":false,"suffix":""},{"dropping-particle":"","family":"Klvana","given":"Martin","non-dropping-particle":"","parse-names":false,"suffix":""},{"dropping-particle":"","family":"Medek","given":"Petr","non-dropping-particle":"","parse-names":false,"suffix":""},{"dropping-particle":"","family":"Biedermannova","given":"Lada","non-dropping-particle":"","parse-names":false,"suffix":""},{"dropping-particle":"","family":"Sochor","given":"Jiri","non-dropping-particle":"","parse-names":false,"suffix":""},{"dropping-particle":"","family":"Damborsky","given":"Jiri","non-dropping-particle":"","parse-names":false,"suffix":""}],"container-title":"PLOS Computational Biology","id":"ITEM-1","issue":"10","issued":{"date-parts":[["2012"]]},"page":"e1002708","publisher":"Public Library of Science","title":"CAVER 3.0: A Tool for the Analysis of Transport Pathways in Dynamic Protein Structures","type":"article-journal","volume":"8"},"uris":["http://www.mendeley.com/documents/?uuid=61e1fc90-fe0d-3527-b590-991c5af56bf3"]}],"mendeley":{"formattedCitation":"&lt;sup&gt;9&lt;/sup&gt;","plainTextFormattedCitation":"9","previouslyFormattedCitation":"&lt;sup&gt;8&lt;/sup&gt;"},"properties":{"noteIndex":0},"schema":"https://github.com/citation-style-language/schema/raw/master/csl-citation.json"}</w:instrText>
      </w:r>
      <w:r w:rsidR="0009174C" w:rsidRPr="005A2281">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9</w:t>
      </w:r>
      <w:r w:rsidR="0009174C" w:rsidRPr="005A2281">
        <w:rPr>
          <w:i w:val="0"/>
          <w:iCs w:val="0"/>
          <w:noProof/>
          <w:color w:val="000000" w:themeColor="text1"/>
          <w:sz w:val="20"/>
          <w:szCs w:val="20"/>
        </w:rPr>
        <w:fldChar w:fldCharType="end"/>
      </w:r>
      <w:r w:rsidR="0009174C" w:rsidRPr="005A2281">
        <w:rPr>
          <w:i w:val="0"/>
          <w:iCs w:val="0"/>
          <w:noProof/>
          <w:color w:val="000000" w:themeColor="text1"/>
          <w:sz w:val="20"/>
          <w:szCs w:val="20"/>
        </w:rPr>
        <w:t xml:space="preserve"> analysis and subsequent site-saturation mutagenesis in the designated area</w:t>
      </w:r>
      <w:r w:rsidR="00121C6E" w:rsidRPr="005A2281">
        <w:rPr>
          <w:i w:val="0"/>
          <w:iCs w:val="0"/>
          <w:noProof/>
          <w:color w:val="000000" w:themeColor="text1"/>
          <w:sz w:val="20"/>
          <w:szCs w:val="20"/>
        </w:rPr>
        <w:t xml:space="preserve"> (see ref. </w:t>
      </w:r>
      <w:r w:rsidR="00121C6E" w:rsidRPr="005A2281">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{"citationItems":[{"id":"ITEM-1","itemData":{"DOI":"10.1002/ANIE.202301607","ISSN":"1521-3773","abstract":"Terpene cyclases offer enormous synthetic potential, given their unique ability to forge complex hydrocarbon scaffolds from achiral precursors within a single cationic rearrangement cascade. Harnessing their synthetic power, however, proved to be challenging due to their generally low catalytic performance. In this study, we unveil the catalytic potential of the squalene-hopene cyclase (SHC) by harnessing its structure and dynamics. First, we synergistically tailored the enzyme's active site and entrance tunnel to generate a 397-fold improved (−)-ambroxide synthase. Our computational investigations explain how the introduced mutations work in concert to improve substrate acquisition, flow, and chaperoning. Kinetics, however, disclosed a terpene-induced inactivation of the membrane-bound SHC as the major turnover limitation in vivo. Merging these insights with the improved and stereoselective catalysis of the enzyme, we applied a feeding strategy to exceed 10 5 total turnovers. We believe that our results may bridge the gap for broader application of SHCs in synthetic chemistry.","author":[{"dropping-particle":"","family":"Schneider","given":"Andreas","non-dropping-particle":"","parse-names":false,"suffix":""},{"dropping-particle":"","family":"Curado","given":"Christian","non-dropping-particle":"","parse-names":false,"suffix":""},{"dropping-particle":"","family":"Lystbaek","given":"Thomas B.","non-dropping-particle":"","parse-names":false,"suffix":""},{"dropping-particle":"","family":"Osuna","given":"Sílvia","non-dropping-particle":"","parse-names":false,"suffix":""},{"dropping-particle":"","family":"Hauer","given":"Bernhard","non-dropping-particle":"","parse-names":false,"suffix":""}],"container-title":"Angewandte Chemie International Edition","id":"ITEM-1","issued":{"date-parts":[["2023","3","20"]]},"page":"e202301607","publisher":"John Wiley &amp; Sons, Ltd","title":"Harnessing the Structure and Dynamics of the Squalene-Hopene Cyclase for (-)-Ambroxide Production","type":"article-journal"},"uris":["http://www.mendeley.com/documents/?uuid=1e43cb1f-8a4c-380a-9227-df42c1f2e4d1"]}],"mendeley":{"formattedCitation":"&lt;sup&gt;10&lt;/sup&gt;","plainTextFormattedCitation":"10","previouslyFormattedCitation":"&lt;sup&gt;9&lt;/sup&gt;"},"properties":{"noteIndex":0},"schema":"https://github.com/citation-style-language/schema/raw/master/csl-citation.json"}</w:instrText>
      </w:r>
      <w:r w:rsidR="00121C6E" w:rsidRPr="005A2281">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10</w:t>
      </w:r>
      <w:r w:rsidR="00121C6E" w:rsidRPr="005A2281">
        <w:rPr>
          <w:i w:val="0"/>
          <w:iCs w:val="0"/>
          <w:noProof/>
          <w:color w:val="000000" w:themeColor="text1"/>
          <w:sz w:val="20"/>
          <w:szCs w:val="20"/>
        </w:rPr>
        <w:fldChar w:fldCharType="end"/>
      </w:r>
      <w:r w:rsidR="00121C6E" w:rsidRPr="005A2281">
        <w:rPr>
          <w:i w:val="0"/>
          <w:iCs w:val="0"/>
          <w:noProof/>
          <w:color w:val="000000" w:themeColor="text1"/>
          <w:sz w:val="20"/>
          <w:szCs w:val="20"/>
        </w:rPr>
        <w:t xml:space="preserve"> for more information on this mutagenesis strategy)</w:t>
      </w:r>
      <w:r w:rsidR="00592F46" w:rsidRPr="005A2281">
        <w:rPr>
          <w:i w:val="0"/>
          <w:iCs w:val="0"/>
          <w:noProof/>
          <w:color w:val="000000" w:themeColor="text1"/>
          <w:sz w:val="20"/>
          <w:szCs w:val="20"/>
        </w:rPr>
        <w:t xml:space="preserve">, </w:t>
      </w:r>
      <w:r w:rsidR="00121C6E" w:rsidRPr="005A2281">
        <w:rPr>
          <w:i w:val="0"/>
          <w:iCs w:val="0"/>
          <w:noProof/>
          <w:color w:val="000000" w:themeColor="text1"/>
          <w:sz w:val="20"/>
          <w:szCs w:val="20"/>
        </w:rPr>
        <w:t xml:space="preserve">again </w:t>
      </w:r>
      <w:r w:rsidR="00592F46" w:rsidRPr="005A2281">
        <w:rPr>
          <w:i w:val="0"/>
          <w:iCs w:val="0"/>
          <w:noProof/>
          <w:color w:val="000000" w:themeColor="text1"/>
          <w:sz w:val="20"/>
          <w:szCs w:val="20"/>
        </w:rPr>
        <w:t>showed increased GC conversion at higher temperature</w:t>
      </w:r>
      <w:r w:rsidR="00121C6E" w:rsidRPr="005A2281">
        <w:rPr>
          <w:i w:val="0"/>
          <w:iCs w:val="0"/>
          <w:noProof/>
          <w:color w:val="000000" w:themeColor="text1"/>
          <w:sz w:val="20"/>
          <w:szCs w:val="20"/>
        </w:rPr>
        <w:t xml:space="preserve"> entailing </w:t>
      </w:r>
      <w:r w:rsidR="00F9288E" w:rsidRPr="005A2281">
        <w:rPr>
          <w:i w:val="0"/>
          <w:iCs w:val="0"/>
          <w:noProof/>
          <w:color w:val="000000" w:themeColor="text1"/>
          <w:sz w:val="20"/>
          <w:szCs w:val="20"/>
        </w:rPr>
        <w:t>4-fold increased space-time</w:t>
      </w:r>
      <w:r w:rsidR="004B1A76" w:rsidRPr="005A2281">
        <w:rPr>
          <w:i w:val="0"/>
          <w:iCs w:val="0"/>
          <w:noProof/>
          <w:color w:val="000000" w:themeColor="text1"/>
          <w:sz w:val="20"/>
          <w:szCs w:val="20"/>
        </w:rPr>
        <w:t>-</w:t>
      </w:r>
      <w:r w:rsidR="00F9288E" w:rsidRPr="005A2281">
        <w:rPr>
          <w:i w:val="0"/>
          <w:iCs w:val="0"/>
          <w:noProof/>
          <w:color w:val="000000" w:themeColor="text1"/>
          <w:sz w:val="20"/>
          <w:szCs w:val="20"/>
        </w:rPr>
        <w:t>yield at high substrate concentration. Conditions</w:t>
      </w:r>
      <w:r w:rsidR="00AB0C59">
        <w:rPr>
          <w:i w:val="0"/>
          <w:iCs w:val="0"/>
          <w:noProof/>
          <w:color w:val="000000" w:themeColor="text1"/>
          <w:sz w:val="20"/>
          <w:szCs w:val="20"/>
        </w:rPr>
        <w:t xml:space="preserve"> for right graph</w:t>
      </w:r>
      <w:r w:rsidR="00F9288E" w:rsidRPr="005A2281">
        <w:rPr>
          <w:i w:val="0"/>
          <w:iCs w:val="0"/>
          <w:noProof/>
          <w:color w:val="000000" w:themeColor="text1"/>
          <w:sz w:val="20"/>
          <w:szCs w:val="20"/>
        </w:rPr>
        <w:t>:</w:t>
      </w:r>
      <w:r w:rsidR="0048022B" w:rsidRPr="005A2281">
        <w:rPr>
          <w:i w:val="0"/>
          <w:iCs w:val="0"/>
          <w:noProof/>
          <w:color w:val="000000" w:themeColor="text1"/>
          <w:sz w:val="20"/>
          <w:szCs w:val="20"/>
        </w:rPr>
        <w:t xml:space="preserve"> 10 g</w:t>
      </w:r>
      <w:r w:rsidR="00BC415A" w:rsidRPr="00BC415A">
        <w:rPr>
          <w:i w:val="0"/>
          <w:iCs w:val="0"/>
          <w:noProof/>
          <w:color w:val="000000" w:themeColor="text1"/>
          <w:sz w:val="20"/>
          <w:szCs w:val="20"/>
          <w:vertAlign w:val="subscript"/>
        </w:rPr>
        <w:t>CDW</w:t>
      </w:r>
      <w:r w:rsidR="0048022B" w:rsidRPr="005A2281">
        <w:rPr>
          <w:i w:val="0"/>
          <w:iCs w:val="0"/>
          <w:noProof/>
          <w:color w:val="000000" w:themeColor="text1"/>
          <w:sz w:val="20"/>
          <w:szCs w:val="20"/>
        </w:rPr>
        <w:t>/L cells,</w:t>
      </w:r>
      <w:r w:rsidR="00F9288E" w:rsidRPr="005A2281">
        <w:rPr>
          <w:i w:val="0"/>
          <w:iCs w:val="0"/>
          <w:noProof/>
          <w:color w:val="000000" w:themeColor="text1"/>
          <w:sz w:val="20"/>
          <w:szCs w:val="20"/>
        </w:rPr>
        <w:t xml:space="preserve"> 50</w:t>
      </w:r>
      <w:r w:rsidR="004B1A76" w:rsidRPr="005A2281">
        <w:rPr>
          <w:i w:val="0"/>
          <w:iCs w:val="0"/>
          <w:noProof/>
          <w:color w:val="000000" w:themeColor="text1"/>
          <w:sz w:val="20"/>
          <w:szCs w:val="20"/>
        </w:rPr>
        <w:t> </w:t>
      </w:r>
      <w:r w:rsidR="00F9288E" w:rsidRPr="005A2281">
        <w:rPr>
          <w:i w:val="0"/>
          <w:iCs w:val="0"/>
          <w:noProof/>
          <w:color w:val="000000" w:themeColor="text1"/>
          <w:sz w:val="20"/>
          <w:szCs w:val="20"/>
        </w:rPr>
        <w:t>mM substrate</w:t>
      </w:r>
      <w:r w:rsidR="0048022B" w:rsidRPr="005A2281">
        <w:rPr>
          <w:i w:val="0"/>
          <w:iCs w:val="0"/>
          <w:noProof/>
          <w:color w:val="000000" w:themeColor="text1"/>
          <w:sz w:val="20"/>
          <w:szCs w:val="20"/>
        </w:rPr>
        <w:t>, 30 °C,</w:t>
      </w:r>
      <w:r w:rsidR="004B1A76" w:rsidRPr="005A2281">
        <w:rPr>
          <w:i w:val="0"/>
          <w:iCs w:val="0"/>
          <w:noProof/>
          <w:color w:val="000000" w:themeColor="text1"/>
          <w:sz w:val="20"/>
          <w:szCs w:val="20"/>
        </w:rPr>
        <w:t xml:space="preserve"> </w:t>
      </w:r>
      <w:r w:rsidR="004B1A76" w:rsidRPr="005A2281">
        <w:rPr>
          <w:noProof/>
          <w:color w:val="000000" w:themeColor="text1"/>
          <w:sz w:val="20"/>
          <w:szCs w:val="20"/>
        </w:rPr>
        <w:t>dd</w:t>
      </w:r>
      <w:r w:rsidR="004B1A76" w:rsidRPr="005A2281">
        <w:rPr>
          <w:i w:val="0"/>
          <w:iCs w:val="0"/>
          <w:noProof/>
          <w:color w:val="000000" w:themeColor="text1"/>
          <w:sz w:val="20"/>
          <w:szCs w:val="20"/>
        </w:rPr>
        <w:t>H</w:t>
      </w:r>
      <w:r w:rsidR="004B1A76" w:rsidRPr="005A2281">
        <w:rPr>
          <w:i w:val="0"/>
          <w:iCs w:val="0"/>
          <w:noProof/>
          <w:color w:val="000000" w:themeColor="text1"/>
          <w:sz w:val="20"/>
          <w:szCs w:val="20"/>
          <w:vertAlign w:val="subscript"/>
        </w:rPr>
        <w:t>2</w:t>
      </w:r>
      <w:r w:rsidR="004B1A76" w:rsidRPr="005A2281">
        <w:rPr>
          <w:i w:val="0"/>
          <w:iCs w:val="0"/>
          <w:noProof/>
          <w:color w:val="000000" w:themeColor="text1"/>
          <w:sz w:val="20"/>
          <w:szCs w:val="20"/>
        </w:rPr>
        <w:t>O</w:t>
      </w:r>
      <w:r w:rsidR="0048022B" w:rsidRPr="005A2281">
        <w:rPr>
          <w:i w:val="0"/>
          <w:iCs w:val="0"/>
          <w:noProof/>
          <w:color w:val="000000" w:themeColor="text1"/>
          <w:sz w:val="20"/>
          <w:szCs w:val="20"/>
        </w:rPr>
        <w:t xml:space="preserve"> </w:t>
      </w:r>
      <w:r w:rsidR="004B1A76" w:rsidRPr="005A2281">
        <w:rPr>
          <w:i w:val="0"/>
          <w:iCs w:val="0"/>
          <w:noProof/>
          <w:color w:val="000000" w:themeColor="text1"/>
          <w:sz w:val="20"/>
          <w:szCs w:val="20"/>
        </w:rPr>
        <w:t>20 h.</w:t>
      </w:r>
    </w:p>
    <w:p w14:paraId="1DC9139F" w14:textId="2ACAE698" w:rsidR="006868A3" w:rsidRPr="00833471" w:rsidRDefault="00753147" w:rsidP="00FA3D6A">
      <w:pPr>
        <w:keepNext/>
      </w:pPr>
      <w:r>
        <w:rPr>
          <w:noProof/>
        </w:rPr>
        <w:lastRenderedPageBreak/>
        <w:drawing>
          <wp:inline distT="0" distB="0" distL="0" distR="0" wp14:anchorId="44FD150F" wp14:editId="39D550F6">
            <wp:extent cx="5760201" cy="2315688"/>
            <wp:effectExtent l="0" t="0" r="0" b="8890"/>
            <wp:docPr id="79" name="Picture 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agram&#10;&#10;Description automatically generated"/>
                    <pic:cNvPicPr/>
                  </pic:nvPicPr>
                  <pic:blipFill rotWithShape="1">
                    <a:blip r:embed="rId22"/>
                    <a:srcRect t="48711" b="18868"/>
                    <a:stretch/>
                  </pic:blipFill>
                  <pic:spPr bwMode="auto">
                    <a:xfrm>
                      <a:off x="0" y="0"/>
                      <a:ext cx="5760720" cy="2315897"/>
                    </a:xfrm>
                    <a:prstGeom prst="rect">
                      <a:avLst/>
                    </a:prstGeom>
                    <a:ln>
                      <a:noFill/>
                    </a:ln>
                    <a:extLst>
                      <a:ext uri="{53640926-AAD7-44D8-BBD7-CCE9431645EC}">
                        <a14:shadowObscured xmlns:a14="http://schemas.microsoft.com/office/drawing/2010/main"/>
                      </a:ext>
                    </a:extLst>
                  </pic:spPr>
                </pic:pic>
              </a:graphicData>
            </a:graphic>
          </wp:inline>
        </w:drawing>
      </w:r>
    </w:p>
    <w:p w14:paraId="46028BC3" w14:textId="235B3A61" w:rsidR="006868A3" w:rsidRPr="00753147" w:rsidRDefault="006868A3" w:rsidP="00FA3D6A">
      <w:pPr>
        <w:pStyle w:val="Caption"/>
        <w:rPr>
          <w:i w:val="0"/>
          <w:iCs w:val="0"/>
          <w:noProof/>
          <w:color w:val="000000" w:themeColor="text1"/>
        </w:rPr>
      </w:pPr>
      <w:bookmarkStart w:id="15" w:name="_Toc134623362"/>
      <w:r w:rsidRPr="004B1A76">
        <w:rPr>
          <w:rStyle w:val="Heading1Char"/>
          <w:i w:val="0"/>
          <w:iCs w:val="0"/>
          <w:color w:val="auto"/>
        </w:rPr>
        <w:t xml:space="preserve">Figure S </w:t>
      </w:r>
      <w:r w:rsidRPr="004B1A76">
        <w:rPr>
          <w:rStyle w:val="Heading1Char"/>
          <w:i w:val="0"/>
          <w:iCs w:val="0"/>
          <w:color w:val="auto"/>
        </w:rPr>
        <w:fldChar w:fldCharType="begin"/>
      </w:r>
      <w:r w:rsidRPr="004B1A76">
        <w:rPr>
          <w:rStyle w:val="Heading1Char"/>
          <w:i w:val="0"/>
          <w:iCs w:val="0"/>
          <w:color w:val="auto"/>
        </w:rPr>
        <w:instrText xml:space="preserve"> SEQ Figure_S \* ARABIC </w:instrText>
      </w:r>
      <w:r w:rsidRPr="004B1A76">
        <w:rPr>
          <w:rStyle w:val="Heading1Char"/>
          <w:i w:val="0"/>
          <w:iCs w:val="0"/>
          <w:color w:val="auto"/>
        </w:rPr>
        <w:fldChar w:fldCharType="separate"/>
      </w:r>
      <w:r w:rsidR="00AA5E09">
        <w:rPr>
          <w:rStyle w:val="Heading1Char"/>
          <w:i w:val="0"/>
          <w:iCs w:val="0"/>
          <w:noProof/>
          <w:color w:val="auto"/>
        </w:rPr>
        <w:t>15</w:t>
      </w:r>
      <w:bookmarkEnd w:id="15"/>
      <w:r w:rsidRPr="004B1A76">
        <w:rPr>
          <w:rStyle w:val="Heading1Char"/>
          <w:i w:val="0"/>
          <w:iCs w:val="0"/>
          <w:color w:val="auto"/>
        </w:rPr>
        <w:fldChar w:fldCharType="end"/>
      </w:r>
      <w:r w:rsidR="002B6F80" w:rsidRPr="00753147">
        <w:rPr>
          <w:i w:val="0"/>
          <w:iCs w:val="0"/>
          <w:noProof/>
          <w:color w:val="000000" w:themeColor="text1"/>
        </w:rPr>
        <w:t xml:space="preserve">: </w:t>
      </w:r>
      <w:r w:rsidR="002B6F80" w:rsidRPr="004B1A76">
        <w:rPr>
          <w:i w:val="0"/>
          <w:iCs w:val="0"/>
          <w:noProof/>
          <w:color w:val="000000" w:themeColor="text1"/>
          <w:sz w:val="20"/>
          <w:szCs w:val="20"/>
        </w:rPr>
        <w:t>Abiotic stress model of SHC biocatalysis</w:t>
      </w:r>
      <w:r w:rsidR="00F23BF5" w:rsidRPr="004B1A76">
        <w:rPr>
          <w:i w:val="0"/>
          <w:iCs w:val="0"/>
          <w:noProof/>
          <w:color w:val="000000" w:themeColor="text1"/>
          <w:sz w:val="20"/>
          <w:szCs w:val="20"/>
        </w:rPr>
        <w:t xml:space="preserve">. Influences that can </w:t>
      </w:r>
      <w:r w:rsidR="00F74334" w:rsidRPr="004B1A76">
        <w:rPr>
          <w:i w:val="0"/>
          <w:iCs w:val="0"/>
          <w:noProof/>
          <w:color w:val="000000" w:themeColor="text1"/>
          <w:sz w:val="20"/>
          <w:szCs w:val="20"/>
        </w:rPr>
        <w:t>affect</w:t>
      </w:r>
      <w:r w:rsidR="00F23BF5" w:rsidRPr="004B1A76">
        <w:rPr>
          <w:i w:val="0"/>
          <w:iCs w:val="0"/>
          <w:noProof/>
          <w:color w:val="000000" w:themeColor="text1"/>
          <w:sz w:val="20"/>
          <w:szCs w:val="20"/>
        </w:rPr>
        <w:t xml:space="preserve"> the system consisting of enzyme and membrane</w:t>
      </w:r>
      <w:r w:rsidR="0012678C" w:rsidRPr="004B1A76">
        <w:rPr>
          <w:i w:val="0"/>
          <w:iCs w:val="0"/>
          <w:noProof/>
          <w:color w:val="000000" w:themeColor="text1"/>
          <w:sz w:val="20"/>
          <w:szCs w:val="20"/>
        </w:rPr>
        <w:t xml:space="preserve"> are temperature, additives, terpene and buffer</w:t>
      </w:r>
      <w:r w:rsidR="00F74334" w:rsidRPr="004B1A76">
        <w:rPr>
          <w:i w:val="0"/>
          <w:iCs w:val="0"/>
          <w:noProof/>
          <w:color w:val="000000" w:themeColor="text1"/>
          <w:sz w:val="20"/>
          <w:szCs w:val="20"/>
        </w:rPr>
        <w:t xml:space="preserve">. </w:t>
      </w:r>
      <w:r w:rsidR="007913DE">
        <w:rPr>
          <w:i w:val="0"/>
          <w:iCs w:val="0"/>
          <w:noProof/>
          <w:color w:val="000000" w:themeColor="text1"/>
          <w:sz w:val="20"/>
          <w:szCs w:val="20"/>
        </w:rPr>
        <w:t>The s</w:t>
      </w:r>
      <w:r w:rsidR="00F74334" w:rsidRPr="004B1A76">
        <w:rPr>
          <w:i w:val="0"/>
          <w:iCs w:val="0"/>
          <w:noProof/>
          <w:color w:val="000000" w:themeColor="text1"/>
          <w:sz w:val="20"/>
          <w:szCs w:val="20"/>
        </w:rPr>
        <w:t xml:space="preserve">ystem can be augmented by engineering </w:t>
      </w:r>
      <w:r w:rsidR="00971CE0" w:rsidRPr="004B1A76">
        <w:rPr>
          <w:i w:val="0"/>
          <w:iCs w:val="0"/>
          <w:noProof/>
          <w:color w:val="000000" w:themeColor="text1"/>
          <w:sz w:val="20"/>
          <w:szCs w:val="20"/>
        </w:rPr>
        <w:t>thermostability of the enzyme (</w:t>
      </w:r>
      <w:r w:rsidR="00064700">
        <w:rPr>
          <w:i w:val="0"/>
          <w:iCs w:val="0"/>
          <w:noProof/>
          <w:color w:val="000000" w:themeColor="text1"/>
          <w:sz w:val="20"/>
          <w:szCs w:val="20"/>
        </w:rPr>
        <w:t xml:space="preserve">see ref. </w:t>
      </w:r>
      <w:r w:rsidR="00064700" w:rsidRPr="007913DE">
        <w:rPr>
          <w:i w:val="0"/>
          <w:iCs w:val="0"/>
          <w:noProof/>
          <w:color w:val="000000" w:themeColor="text1"/>
          <w:sz w:val="20"/>
          <w:szCs w:val="20"/>
        </w:rPr>
        <w:fldChar w:fldCharType="begin" w:fldLock="1"/>
      </w:r>
      <w:r w:rsidR="00E81BA1" w:rsidRPr="007913DE">
        <w:rPr>
          <w:i w:val="0"/>
          <w:iCs w:val="0"/>
          <w:noProof/>
          <w:color w:val="000000" w:themeColor="text1"/>
          <w:sz w:val="20"/>
          <w:szCs w:val="20"/>
        </w:rPr>
        <w:instrText>ADDIN CSL_CITATION {"citationItems":[{"id":"ITEM-1","itemData":{"DOI":"10.1039/C0CC02657C","ISSN":"1364-548X","PMID":"20957255","abstract":"Mutants of the lipase from Bacillus subtilis, previously engineered for enhanced thermostability using directed evolution based on the B-FIT method, show significantly increased tolerance to hostile organic solvents.","author":[{"dropping-particle":"","family":"Reetz","given":"Manfred T.","non-dropping-particle":"","parse-names":false,"suffix":""},{"dropping-particle":"","family":"Soni","given":"Pankaj","non-dropping-particle":"","parse-names":false,"suffix":""},{"dropping-particle":"","family":"Fernández","given":"Layla","non-dropping-particle":"","parse-names":false,"suffix":""},{"dropping-particle":"","family":"Gumulya","given":"Yosephine","non-dropping-particle":"","parse-names":false,"suffix":""},{"dropping-particle":"","family":"Carballeira","given":"José D.","non-dropping-particle":"","parse-names":false,"suffix":""}],"container-title":"Chemical Communications","id":"ITEM-1","issue":"45","issued":{"date-parts":[["2010","11","9"]]},"page":"8657-8658","publisher":"The Royal Society of Chemistry","title":"Increasing the stability of an enzyme toward hostile organic solvents by directed evolution based on iterative saturation mutagenesis using the B-FIT method","type":"article-journal","volume":"46"},"uris":["http://www.mendeley.com/documents/?uuid=4838fb9b-4839-38b1-9ee4-f749d803504d"]}],"mendeley":{"formattedCitation":"&lt;sup&gt;11&lt;/sup&gt;","plainTextFormattedCitation":"11","previouslyFormattedCitation":"&lt;sup&gt;10&lt;/sup&gt;"},"properties":{"noteIndex":0},"schema":"https://github.com/citation-style-language/schema/raw/master/csl-citation.json"}</w:instrText>
      </w:r>
      <w:r w:rsidR="00064700" w:rsidRPr="007913DE">
        <w:rPr>
          <w:i w:val="0"/>
          <w:iCs w:val="0"/>
          <w:noProof/>
          <w:color w:val="000000" w:themeColor="text1"/>
          <w:sz w:val="20"/>
          <w:szCs w:val="20"/>
        </w:rPr>
        <w:fldChar w:fldCharType="separate"/>
      </w:r>
      <w:r w:rsidR="00E81BA1" w:rsidRPr="007913DE">
        <w:rPr>
          <w:i w:val="0"/>
          <w:iCs w:val="0"/>
          <w:noProof/>
          <w:color w:val="000000" w:themeColor="text1"/>
          <w:sz w:val="20"/>
          <w:szCs w:val="20"/>
        </w:rPr>
        <w:t>11</w:t>
      </w:r>
      <w:r w:rsidR="00064700" w:rsidRPr="007913DE">
        <w:rPr>
          <w:i w:val="0"/>
          <w:iCs w:val="0"/>
          <w:noProof/>
          <w:color w:val="000000" w:themeColor="text1"/>
          <w:sz w:val="20"/>
          <w:szCs w:val="20"/>
        </w:rPr>
        <w:fldChar w:fldCharType="end"/>
      </w:r>
      <w:r w:rsidR="00064700">
        <w:rPr>
          <w:i w:val="0"/>
          <w:iCs w:val="0"/>
          <w:noProof/>
          <w:color w:val="000000" w:themeColor="text1"/>
          <w:sz w:val="20"/>
          <w:szCs w:val="20"/>
        </w:rPr>
        <w:t xml:space="preserve"> and Figure S14</w:t>
      </w:r>
      <w:r w:rsidR="00971CE0" w:rsidRPr="004B1A76">
        <w:rPr>
          <w:i w:val="0"/>
          <w:iCs w:val="0"/>
          <w:noProof/>
          <w:color w:val="000000" w:themeColor="text1"/>
          <w:sz w:val="20"/>
          <w:szCs w:val="20"/>
        </w:rPr>
        <w:t>)</w:t>
      </w:r>
      <w:r w:rsidR="00153F78">
        <w:rPr>
          <w:i w:val="0"/>
          <w:iCs w:val="0"/>
          <w:noProof/>
          <w:color w:val="000000" w:themeColor="text1"/>
          <w:sz w:val="20"/>
          <w:szCs w:val="20"/>
        </w:rPr>
        <w:t>,</w:t>
      </w:r>
      <w:r w:rsidR="00971CE0" w:rsidRPr="004B1A76">
        <w:rPr>
          <w:i w:val="0"/>
          <w:iCs w:val="0"/>
          <w:noProof/>
          <w:color w:val="000000" w:themeColor="text1"/>
          <w:sz w:val="20"/>
          <w:szCs w:val="20"/>
        </w:rPr>
        <w:t xml:space="preserve"> </w:t>
      </w:r>
      <w:r w:rsidR="005E7534" w:rsidRPr="005E7534">
        <w:rPr>
          <w:noProof/>
          <w:color w:val="000000" w:themeColor="text1"/>
          <w:sz w:val="20"/>
          <w:szCs w:val="20"/>
        </w:rPr>
        <w:t>i</w:t>
      </w:r>
      <w:r w:rsidR="00971CE0" w:rsidRPr="005E7534">
        <w:rPr>
          <w:noProof/>
          <w:color w:val="000000" w:themeColor="text1"/>
          <w:sz w:val="20"/>
          <w:szCs w:val="20"/>
        </w:rPr>
        <w:t>n situ</w:t>
      </w:r>
      <w:r w:rsidR="00971CE0" w:rsidRPr="004B1A76">
        <w:rPr>
          <w:i w:val="0"/>
          <w:iCs w:val="0"/>
          <w:noProof/>
          <w:color w:val="000000" w:themeColor="text1"/>
          <w:sz w:val="20"/>
          <w:szCs w:val="20"/>
        </w:rPr>
        <w:t xml:space="preserve"> product removal techniques,</w:t>
      </w:r>
      <w:r w:rsidR="00064700">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{"citationItems":[{"id":"ITEM-1","itemData":{"DOI":"10.1016/S0167-7799(99)01351-7","ISSN":"01677799","PMID":"10481171","abstract":"Biocatalytic processes for the manufacture of small, highly functionalized molecules frequently have limited productivity. A common reason for this is the presence of the reaction products that can cause inhibitory or toxic effects (making poor use of the enzyme) or promote unfavourable equilibria (giving low conversions). In each case, the product needs to be removed as soon as it is formed in order to overcome these constraints and hence increase the productivity of the biocatalytic process. Here, we review the need for in situ product removal and the process research required for its implementation. Copyright (C) 1999 Elsevier Science Ltd.","author":[{"dropping-particle":"","family":"Lye","given":"Gary J.","non-dropping-particle":"","parse-names":false,"suffix":""},{"dropping-particle":"","family":"Woodley","given":"John M.","non-dropping-particle":"","parse-names":false,"suffix":""}],"container-title":"Trends in Biotechnology","id":"ITEM-1","issue":"10","issued":{"date-parts":[["1999"]]},"page":"395-402","title":"Application of in situ product-removal techniques to biocatalytic processes","type":"article-journal","volume":"17"},"uris":["http://www.mendeley.com/documents/?uuid=e8c52b9c-cfda-4f4d-9a4e-a7903172eb09"]}],"mendeley":{"formattedCitation":"&lt;sup&gt;12&lt;/sup&gt;","plainTextFormattedCitation":"12","previouslyFormattedCitation":"&lt;sup&gt;11&lt;/sup&gt;"},"properties":{"noteIndex":0},"schema":"https://github.com/citation-style-language/schema/raw/master/csl-citation.json"}</w:instrText>
      </w:r>
      <w:r w:rsidR="00064700">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12</w:t>
      </w:r>
      <w:r w:rsidR="00064700">
        <w:rPr>
          <w:i w:val="0"/>
          <w:iCs w:val="0"/>
          <w:noProof/>
          <w:color w:val="000000" w:themeColor="text1"/>
          <w:sz w:val="20"/>
          <w:szCs w:val="20"/>
        </w:rPr>
        <w:fldChar w:fldCharType="end"/>
      </w:r>
      <w:r w:rsidR="00971CE0" w:rsidRPr="004B1A76">
        <w:rPr>
          <w:i w:val="0"/>
          <w:iCs w:val="0"/>
          <w:noProof/>
          <w:color w:val="000000" w:themeColor="text1"/>
          <w:sz w:val="20"/>
          <w:szCs w:val="20"/>
        </w:rPr>
        <w:t xml:space="preserve"> cell constitution by means of growth conditions and the enzyme’s host.</w:t>
      </w:r>
      <w:r w:rsidR="005E7534">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{"citationItems":[{"id":"ITEM-1","itemData":{"DOI":"10.1016/j.copbio.2016.05.005","ISBN":"0958-1669","ISSN":"18790429","PMID":"27318259","abstract":"Recent advances in biocatalysis have strongly boosted its recognition as a valuable addition to traditional chemical synthesis routes. As for any catalytic process, catalyst's costs and stabilities are of highest relevance for the economic application in chemical manufacturing. Employing biocatalysts as whole cells circumvents the need of cell lysis and enzyme purification and hence strongly cuts on cost. At the same time, residual cell wall components can shield the entrapped enzyme from potentially harmful surroundings and aid to enable applications far from natural enzymatic environments. Further advantages are the close proximity of reactants and catalysts as well as the inherent presence of expensive cofactors. Here, we review and comment on benefits and recent advances in whole cell biocatalysis.","author":[{"dropping-particle":"","family":"Wachtmeister","given":"Jochen","non-dropping-particle":"","parse-names":false,"suffix":""},{"dropping-particle":"","family":"Rother","given":"Dörte","non-dropping-particle":"","parse-names":false,"suffix":""}],"container-title":"Current Opinion in Biotechnology","id":"ITEM-1","issued":{"date-parts":[["2016"]]},"page":"169-177","title":"Recent advances in whole cell biocatalysis techniques bridging from investigative to industrial scale","type":"article-journal","volume":"42"},"uris":["http://www.mendeley.com/documents/?uuid=5b45e30a-2271-4306-80f3-21f1f61c8fbb"]}],"mendeley":{"formattedCitation":"&lt;sup&gt;13&lt;/sup&gt;","plainTextFormattedCitation":"13","previouslyFormattedCitation":"&lt;sup&gt;12&lt;/sup&gt;"},"properties":{"noteIndex":0},"schema":"https://github.com/citation-style-language/schema/raw/master/csl-citation.json"}</w:instrText>
      </w:r>
      <w:r w:rsidR="005E7534">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13</w:t>
      </w:r>
      <w:r w:rsidR="005E7534">
        <w:rPr>
          <w:i w:val="0"/>
          <w:iCs w:val="0"/>
          <w:noProof/>
          <w:color w:val="000000" w:themeColor="text1"/>
          <w:sz w:val="20"/>
          <w:szCs w:val="20"/>
        </w:rPr>
        <w:fldChar w:fldCharType="end"/>
      </w:r>
      <w:r w:rsidR="00052EBB">
        <w:rPr>
          <w:i w:val="0"/>
          <w:iCs w:val="0"/>
          <w:noProof/>
          <w:color w:val="000000" w:themeColor="text1"/>
          <w:sz w:val="20"/>
          <w:szCs w:val="20"/>
        </w:rPr>
        <w:t xml:space="preserve"> Membrane</w:t>
      </w:r>
      <w:r w:rsidR="00153F78">
        <w:rPr>
          <w:i w:val="0"/>
          <w:iCs w:val="0"/>
          <w:noProof/>
          <w:color w:val="000000" w:themeColor="text1"/>
          <w:sz w:val="20"/>
          <w:szCs w:val="20"/>
        </w:rPr>
        <w:t xml:space="preserve"> fluidity can potentially affect enzymetic activity as well.</w:t>
      </w:r>
      <w:r w:rsidR="00153F78">
        <w:rPr>
          <w:i w:val="0"/>
          <w:iCs w:val="0"/>
          <w:noProof/>
          <w:color w:val="000000" w:themeColor="text1"/>
          <w:sz w:val="20"/>
          <w:szCs w:val="20"/>
        </w:rPr>
        <w:fldChar w:fldCharType="begin" w:fldLock="1"/>
      </w:r>
      <w:r w:rsidR="00E81BA1">
        <w:rPr>
          <w:i w:val="0"/>
          <w:iCs w:val="0"/>
          <w:noProof/>
          <w:color w:val="000000" w:themeColor="text1"/>
          <w:sz w:val="20"/>
          <w:szCs w:val="20"/>
        </w:rPr>
        <w:instrText>ADDIN CSL_CITATION {"citationItems":[{"id":"ITEM-1","itemData":{"DOI":"10.1007/s11120-013-9823-4","ISSN":"01668595","PMID":"23605242","abstract":"Plants, algae, and photosynthetic bacteria experience frequent changes in environment. The ability to survive depends on their capacity to acclimate to such changes. In particular, fluctuations in temperature affect the fluidity of cytoplasmic and thylakoid membranes. The molecular mechanisms responsible for the perception of changes in membrane fluidity have not been fully characterized. However, the understanding of the functions of the individual genes for fatty acid desaturases in cyanobacteria and plants led to the directed mutagenesis of such genes that altered the membrane fluidity of cytoplasmic and thylakoid membranes. Characterization of the photosynthetic properties of the transformed cyanobacteria and higher plants revealed that lipid unsaturation is essential for protection of the photosynthetic machinery against environmental stresses, such as strong light, salt stress, and high and low temperatures. The unsaturation of fatty acids enhances the repair of the damaged photosystem II complex under stress conditions. In this review, we summarize the knowledge on the mechanisms that regulate membrane fluidity, on putative sensors that perceive changes in membrane fluidity, on genes that are involved in acclimation to new sets of environmental conditions, and on the influence of membrane properties on photosynthetic functions. © 2013 Springer Science+Business Media Dordrecht.","author":[{"dropping-particle":"","family":"Los","given":"Dmitry A.","non-dropping-particle":"","parse-names":false,"suffix":""},{"dropping-particle":"","family":"Mironov","given":"Kirill S.","non-dropping-particle":"","parse-names":false,"suffix":""},{"dropping-particle":"","family":"Allakhverdiev","given":"Suleyman I.","non-dropping-particle":"","parse-names":false,"suffix":""}],"container-title":"Photosynthesis Research","id":"ITEM-1","issue":"2-3","issued":{"date-parts":[["2013"]]},"page":"489-509","title":"Regulatory role of membrane fluidity in gene expression and physiological functions","type":"article-journal","volume":"116"},"uris":["http://www.mendeley.com/documents/?uuid=f6061509-ae32-4896-bd6e-52357fa97029"]},{"id":"ITEM-2","itemData":{"DOI":"10.1002/ANIE.202301607","ISSN":"1521-3773","abstract":"Terpene cyclases offer enormous synthetic potential, given their unique ability to forge complex hydrocarbon scaffolds from achiral precursors within a single cationic rearrangement cascade. Harnessing their synthetic power, however, proved to be challenging due to their generally low catalytic performance. In this study, we unveil the catalytic potential of the squalene-hopene cyclase (SHC) by harnessing its structure and dynamics. First, we synergistically tailored the enzyme's active site and entrance tunnel to generate a 397-fold improved (−)-ambroxide synthase. Our computational investigations explain how the introduced mutations work in concert to improve substrate acquisition, flow, and chaperoning. Kinetics, however, disclosed a terpene-induced inactivation of the membrane-bound SHC as the major turnover limitation in vivo. Merging these insights with the improved and stereoselective catalysis of the enzyme, we applied a feeding strategy to exceed 10 5 total turnovers. We believe that our results may bridge the gap for broader application of SHCs in synthetic chemistry.","author":[{"dropping-particle":"","family":"Schneider","given":"Andreas","non-dropping-particle":"","parse-names":false,"suffix":""},{"dropping-particle":"","family":"Curado","given":"Christian","non-dropping-particle":"","parse-names":false,"suffix":""},{"dropping-particle":"","family":"Lystbaek","given":"Thomas B.","non-dropping-particle":"","parse-names":false,"suffix":""},{"dropping-particle":"","family":"Osuna","given":"Sílvia","non-dropping-particle":"","parse-names":false,"suffix":""},{"dropping-particle":"","family":"Hauer","given":"Bernhard","non-dropping-particle":"","parse-names":false,"suffix":""}],"container-title":"Angewandte Chemie International Edition","id":"ITEM-2","issued":{"date-parts":[["2023","3","20"]]},"page":"e202301607","publisher":"John Wiley &amp; Sons, Ltd","title":"Harnessing the Structure and Dynamics of the Squalene-Hopene Cyclase for (-)-Ambroxide Production","type":"article-journal"},"uris":["http://www.mendeley.com/documents/?uuid=1e43cb1f-8a4c-380a-9227-df42c1f2e4d1"]}],"mendeley":{"formattedCitation":"&lt;sup&gt;10,14&lt;/sup&gt;","plainTextFormattedCitation":"10,14","previouslyFormattedCitation":"&lt;sup&gt;9,13&lt;/sup&gt;"},"properties":{"noteIndex":0},"schema":"https://github.com/citation-style-language/schema/raw/master/csl-citation.json"}</w:instrText>
      </w:r>
      <w:r w:rsidR="00153F78">
        <w:rPr>
          <w:i w:val="0"/>
          <w:iCs w:val="0"/>
          <w:noProof/>
          <w:color w:val="000000" w:themeColor="text1"/>
          <w:sz w:val="20"/>
          <w:szCs w:val="20"/>
        </w:rPr>
        <w:fldChar w:fldCharType="separate"/>
      </w:r>
      <w:r w:rsidR="00E81BA1" w:rsidRPr="00E81BA1">
        <w:rPr>
          <w:i w:val="0"/>
          <w:iCs w:val="0"/>
          <w:noProof/>
          <w:color w:val="000000" w:themeColor="text1"/>
          <w:sz w:val="20"/>
          <w:szCs w:val="20"/>
          <w:vertAlign w:val="superscript"/>
        </w:rPr>
        <w:t>10,14</w:t>
      </w:r>
      <w:r w:rsidR="00153F78">
        <w:rPr>
          <w:i w:val="0"/>
          <w:iCs w:val="0"/>
          <w:noProof/>
          <w:color w:val="000000" w:themeColor="text1"/>
          <w:sz w:val="20"/>
          <w:szCs w:val="20"/>
        </w:rPr>
        <w:fldChar w:fldCharType="end"/>
      </w:r>
      <w:r w:rsidR="00153F78">
        <w:rPr>
          <w:i w:val="0"/>
          <w:iCs w:val="0"/>
          <w:noProof/>
          <w:color w:val="000000" w:themeColor="text1"/>
          <w:sz w:val="20"/>
          <w:szCs w:val="20"/>
        </w:rPr>
        <w:t xml:space="preserve"> </w:t>
      </w:r>
      <w:r w:rsidR="00052EBB">
        <w:rPr>
          <w:i w:val="0"/>
          <w:iCs w:val="0"/>
          <w:noProof/>
          <w:color w:val="000000" w:themeColor="text1"/>
          <w:sz w:val="20"/>
          <w:szCs w:val="20"/>
        </w:rPr>
        <w:t>Terpene</w:t>
      </w:r>
      <w:r w:rsidR="00F80E45">
        <w:rPr>
          <w:i w:val="0"/>
          <w:iCs w:val="0"/>
          <w:noProof/>
          <w:color w:val="000000" w:themeColor="text1"/>
          <w:sz w:val="20"/>
          <w:szCs w:val="20"/>
        </w:rPr>
        <w:t xml:space="preserve"> type</w:t>
      </w:r>
      <w:r w:rsidR="00052EBB">
        <w:rPr>
          <w:i w:val="0"/>
          <w:iCs w:val="0"/>
          <w:noProof/>
          <w:color w:val="000000" w:themeColor="text1"/>
          <w:sz w:val="20"/>
          <w:szCs w:val="20"/>
        </w:rPr>
        <w:t xml:space="preserve"> </w:t>
      </w:r>
      <w:r w:rsidR="00F80E45">
        <w:rPr>
          <w:i w:val="0"/>
          <w:iCs w:val="0"/>
          <w:noProof/>
          <w:color w:val="000000" w:themeColor="text1"/>
          <w:sz w:val="20"/>
          <w:szCs w:val="20"/>
        </w:rPr>
        <w:t>(hydrophobicity)</w:t>
      </w:r>
      <w:r w:rsidR="00052EBB">
        <w:rPr>
          <w:i w:val="0"/>
          <w:iCs w:val="0"/>
          <w:noProof/>
          <w:color w:val="000000" w:themeColor="text1"/>
          <w:sz w:val="20"/>
          <w:szCs w:val="20"/>
        </w:rPr>
        <w:t xml:space="preserve"> and concentration </w:t>
      </w:r>
      <w:r w:rsidR="00153F78">
        <w:rPr>
          <w:i w:val="0"/>
          <w:iCs w:val="0"/>
          <w:noProof/>
          <w:color w:val="000000" w:themeColor="text1"/>
          <w:sz w:val="20"/>
          <w:szCs w:val="20"/>
        </w:rPr>
        <w:t>are</w:t>
      </w:r>
      <w:r w:rsidR="00052EBB">
        <w:rPr>
          <w:i w:val="0"/>
          <w:iCs w:val="0"/>
          <w:noProof/>
          <w:color w:val="000000" w:themeColor="text1"/>
          <w:sz w:val="20"/>
          <w:szCs w:val="20"/>
        </w:rPr>
        <w:t xml:space="preserve"> strongly influencing the</w:t>
      </w:r>
      <w:r w:rsidR="00153F78">
        <w:rPr>
          <w:i w:val="0"/>
          <w:iCs w:val="0"/>
          <w:noProof/>
          <w:color w:val="000000" w:themeColor="text1"/>
          <w:sz w:val="20"/>
          <w:szCs w:val="20"/>
        </w:rPr>
        <w:t xml:space="preserve"> </w:t>
      </w:r>
      <w:r w:rsidR="00052EBB">
        <w:rPr>
          <w:i w:val="0"/>
          <w:iCs w:val="0"/>
          <w:noProof/>
          <w:color w:val="000000" w:themeColor="text1"/>
          <w:sz w:val="20"/>
          <w:szCs w:val="20"/>
        </w:rPr>
        <w:t>system.</w:t>
      </w:r>
    </w:p>
    <w:p w14:paraId="0E80FDA3" w14:textId="77777777" w:rsidR="002B6F80" w:rsidRPr="00833471" w:rsidRDefault="002B6F80" w:rsidP="00FA3D6A"/>
    <w:p w14:paraId="5C09163F" w14:textId="77777777" w:rsidR="002B6F80" w:rsidRPr="00833471" w:rsidRDefault="002B6F80" w:rsidP="00FA3D6A"/>
    <w:p w14:paraId="25EDFE9A" w14:textId="77777777" w:rsidR="002B6F80" w:rsidRPr="00833471" w:rsidRDefault="002B6F80" w:rsidP="00FA3D6A"/>
    <w:p w14:paraId="1E4C0095" w14:textId="50D03A7D" w:rsidR="006868A3" w:rsidRPr="00833471" w:rsidRDefault="00533647" w:rsidP="00FA3D6A">
      <w:pPr>
        <w:keepNext/>
      </w:pPr>
      <w:r>
        <w:rPr>
          <w:noProof/>
        </w:rPr>
        <w:lastRenderedPageBreak/>
        <w:drawing>
          <wp:inline distT="0" distB="0" distL="0" distR="0" wp14:anchorId="5F609E8E" wp14:editId="2082E6CD">
            <wp:extent cx="5760471" cy="5898229"/>
            <wp:effectExtent l="0" t="0" r="0" b="762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rotWithShape="1">
                    <a:blip r:embed="rId23"/>
                    <a:srcRect t="5863" b="11561"/>
                    <a:stretch/>
                  </pic:blipFill>
                  <pic:spPr bwMode="auto">
                    <a:xfrm>
                      <a:off x="0" y="0"/>
                      <a:ext cx="5760720" cy="5898484"/>
                    </a:xfrm>
                    <a:prstGeom prst="rect">
                      <a:avLst/>
                    </a:prstGeom>
                    <a:ln>
                      <a:noFill/>
                    </a:ln>
                    <a:extLst>
                      <a:ext uri="{53640926-AAD7-44D8-BBD7-CCE9431645EC}">
                        <a14:shadowObscured xmlns:a14="http://schemas.microsoft.com/office/drawing/2010/main"/>
                      </a:ext>
                    </a:extLst>
                  </pic:spPr>
                </pic:pic>
              </a:graphicData>
            </a:graphic>
          </wp:inline>
        </w:drawing>
      </w:r>
    </w:p>
    <w:p w14:paraId="64BF1D08" w14:textId="5AB8BFFA" w:rsidR="006868A3" w:rsidRPr="00533647" w:rsidRDefault="006868A3" w:rsidP="00FA3D6A">
      <w:pPr>
        <w:pStyle w:val="Caption"/>
        <w:rPr>
          <w:i w:val="0"/>
          <w:iCs w:val="0"/>
          <w:color w:val="000000" w:themeColor="text1"/>
          <w:sz w:val="20"/>
          <w:szCs w:val="20"/>
        </w:rPr>
      </w:pPr>
      <w:bookmarkStart w:id="16" w:name="_Toc134623363"/>
      <w:r w:rsidRPr="00533647">
        <w:rPr>
          <w:rStyle w:val="Heading1Char"/>
          <w:i w:val="0"/>
          <w:iCs w:val="0"/>
          <w:color w:val="auto"/>
          <w:szCs w:val="20"/>
        </w:rPr>
        <w:t xml:space="preserve">Figure S </w:t>
      </w:r>
      <w:r w:rsidRPr="00533647">
        <w:rPr>
          <w:rStyle w:val="Heading1Char"/>
          <w:i w:val="0"/>
          <w:iCs w:val="0"/>
          <w:color w:val="auto"/>
          <w:szCs w:val="20"/>
        </w:rPr>
        <w:fldChar w:fldCharType="begin"/>
      </w:r>
      <w:r w:rsidRPr="00533647">
        <w:rPr>
          <w:rStyle w:val="Heading1Char"/>
          <w:i w:val="0"/>
          <w:iCs w:val="0"/>
          <w:color w:val="auto"/>
          <w:szCs w:val="20"/>
        </w:rPr>
        <w:instrText xml:space="preserve"> SEQ Figure_S \* ARABIC </w:instrText>
      </w:r>
      <w:r w:rsidRPr="00533647">
        <w:rPr>
          <w:rStyle w:val="Heading1Char"/>
          <w:i w:val="0"/>
          <w:iCs w:val="0"/>
          <w:color w:val="auto"/>
          <w:szCs w:val="20"/>
        </w:rPr>
        <w:fldChar w:fldCharType="separate"/>
      </w:r>
      <w:r w:rsidR="00AA5E09">
        <w:rPr>
          <w:rStyle w:val="Heading1Char"/>
          <w:i w:val="0"/>
          <w:iCs w:val="0"/>
          <w:noProof/>
          <w:color w:val="auto"/>
          <w:szCs w:val="20"/>
        </w:rPr>
        <w:t>16</w:t>
      </w:r>
      <w:bookmarkEnd w:id="16"/>
      <w:r w:rsidRPr="00533647">
        <w:rPr>
          <w:rStyle w:val="Heading1Char"/>
          <w:i w:val="0"/>
          <w:iCs w:val="0"/>
          <w:color w:val="auto"/>
          <w:szCs w:val="20"/>
        </w:rPr>
        <w:fldChar w:fldCharType="end"/>
      </w:r>
      <w:r w:rsidR="00B225F1" w:rsidRPr="00533647">
        <w:rPr>
          <w:i w:val="0"/>
          <w:iCs w:val="0"/>
          <w:noProof/>
          <w:color w:val="000000" w:themeColor="text1"/>
          <w:sz w:val="20"/>
          <w:szCs w:val="20"/>
        </w:rPr>
        <w:t>: Evaluation of optimal reaction condtions for (</w:t>
      </w:r>
      <w:r w:rsidR="004A1607" w:rsidRPr="00533647">
        <w:rPr>
          <w:i w:val="0"/>
          <w:iCs w:val="0"/>
          <w:noProof/>
          <w:color w:val="000000" w:themeColor="text1"/>
          <w:sz w:val="20"/>
          <w:szCs w:val="20"/>
        </w:rPr>
        <w:t>a</w:t>
      </w:r>
      <w:r w:rsidR="00B225F1" w:rsidRPr="00533647">
        <w:rPr>
          <w:i w:val="0"/>
          <w:iCs w:val="0"/>
          <w:noProof/>
          <w:color w:val="000000" w:themeColor="text1"/>
          <w:sz w:val="20"/>
          <w:szCs w:val="20"/>
        </w:rPr>
        <w:t xml:space="preserve">) </w:t>
      </w:r>
      <w:r w:rsidR="00E83BA1" w:rsidRPr="00533647">
        <w:rPr>
          <w:i w:val="0"/>
          <w:iCs w:val="0"/>
          <w:noProof/>
          <w:color w:val="000000" w:themeColor="text1"/>
          <w:sz w:val="20"/>
          <w:szCs w:val="20"/>
        </w:rPr>
        <w:t xml:space="preserve">the iodine reaction and </w:t>
      </w:r>
      <w:r w:rsidR="00942160" w:rsidRPr="00533647">
        <w:rPr>
          <w:i w:val="0"/>
          <w:iCs w:val="0"/>
          <w:noProof/>
          <w:color w:val="000000" w:themeColor="text1"/>
          <w:sz w:val="20"/>
          <w:szCs w:val="20"/>
        </w:rPr>
        <w:t>per</w:t>
      </w:r>
      <w:r w:rsidR="002B6F80" w:rsidRPr="00533647">
        <w:rPr>
          <w:i w:val="0"/>
          <w:iCs w:val="0"/>
          <w:noProof/>
          <w:color w:val="000000" w:themeColor="text1"/>
          <w:sz w:val="20"/>
          <w:szCs w:val="20"/>
        </w:rPr>
        <w:t>oxidative rearrangement separately and (</w:t>
      </w:r>
      <w:r w:rsidR="004A1607" w:rsidRPr="00533647">
        <w:rPr>
          <w:i w:val="0"/>
          <w:iCs w:val="0"/>
          <w:noProof/>
          <w:color w:val="000000" w:themeColor="text1"/>
          <w:sz w:val="20"/>
          <w:szCs w:val="20"/>
        </w:rPr>
        <w:t>b</w:t>
      </w:r>
      <w:r w:rsidR="002B6F80" w:rsidRPr="00533647">
        <w:rPr>
          <w:i w:val="0"/>
          <w:iCs w:val="0"/>
          <w:noProof/>
          <w:color w:val="000000" w:themeColor="text1"/>
          <w:sz w:val="20"/>
          <w:szCs w:val="20"/>
        </w:rPr>
        <w:t xml:space="preserve">) </w:t>
      </w:r>
      <w:r w:rsidR="001975C8" w:rsidRPr="00533647">
        <w:rPr>
          <w:i w:val="0"/>
          <w:iCs w:val="0"/>
          <w:noProof/>
          <w:color w:val="000000" w:themeColor="text1"/>
          <w:sz w:val="20"/>
          <w:szCs w:val="20"/>
        </w:rPr>
        <w:t>in</w:t>
      </w:r>
      <w:r w:rsidR="002B6F80" w:rsidRPr="00533647">
        <w:rPr>
          <w:i w:val="0"/>
          <w:iCs w:val="0"/>
          <w:noProof/>
          <w:color w:val="000000" w:themeColor="text1"/>
          <w:sz w:val="20"/>
          <w:szCs w:val="20"/>
        </w:rPr>
        <w:t xml:space="preserve"> one-pot.</w:t>
      </w:r>
      <w:r w:rsidR="001975C8" w:rsidRPr="00533647">
        <w:rPr>
          <w:i w:val="0"/>
          <w:iCs w:val="0"/>
          <w:noProof/>
          <w:color w:val="000000" w:themeColor="text1"/>
          <w:sz w:val="20"/>
          <w:szCs w:val="20"/>
        </w:rPr>
        <w:t xml:space="preserve"> </w:t>
      </w:r>
      <w:r w:rsidR="003122AE" w:rsidRPr="005A2281">
        <w:rPr>
          <w:i w:val="0"/>
          <w:iCs w:val="0"/>
          <w:noProof/>
          <w:color w:val="000000" w:themeColor="text1"/>
          <w:sz w:val="20"/>
          <w:szCs w:val="20"/>
        </w:rPr>
        <w:t>2-hydroxpropyl-</w:t>
      </w:r>
      <w:r w:rsidR="003122AE" w:rsidRPr="005A2281">
        <w:rPr>
          <w:rFonts w:cs="Arial"/>
          <w:i w:val="0"/>
          <w:iCs w:val="0"/>
          <w:noProof/>
          <w:color w:val="000000" w:themeColor="text1"/>
          <w:sz w:val="20"/>
          <w:szCs w:val="20"/>
        </w:rPr>
        <w:t>β</w:t>
      </w:r>
      <w:r w:rsidR="003122AE" w:rsidRPr="005A2281">
        <w:rPr>
          <w:i w:val="0"/>
          <w:iCs w:val="0"/>
          <w:noProof/>
          <w:color w:val="000000" w:themeColor="text1"/>
          <w:sz w:val="20"/>
          <w:szCs w:val="20"/>
        </w:rPr>
        <w:t>-cyclodextrin</w:t>
      </w:r>
      <w:r w:rsidR="003122AE">
        <w:rPr>
          <w:i w:val="0"/>
          <w:iCs w:val="0"/>
          <w:noProof/>
          <w:color w:val="000000" w:themeColor="text1"/>
          <w:sz w:val="20"/>
          <w:szCs w:val="20"/>
        </w:rPr>
        <w:t xml:space="preserve"> = </w:t>
      </w:r>
      <w:r w:rsidR="003122AE" w:rsidRPr="005A2281">
        <w:rPr>
          <w:i w:val="0"/>
          <w:iCs w:val="0"/>
          <w:noProof/>
          <w:color w:val="000000" w:themeColor="text1"/>
          <w:sz w:val="20"/>
          <w:szCs w:val="20"/>
        </w:rPr>
        <w:t>2HPCD</w:t>
      </w:r>
    </w:p>
    <w:p w14:paraId="40422442" w14:textId="6B8308D6" w:rsidR="006868A3" w:rsidRPr="00833471" w:rsidRDefault="004830E5" w:rsidP="00FA3D6A">
      <w:pPr>
        <w:keepNext/>
      </w:pPr>
      <w:r>
        <w:rPr>
          <w:noProof/>
        </w:rPr>
        <w:lastRenderedPageBreak/>
        <w:drawing>
          <wp:inline distT="0" distB="0" distL="0" distR="0" wp14:anchorId="1CF6E33E" wp14:editId="3E9CB62F">
            <wp:extent cx="5760261" cy="5999099"/>
            <wp:effectExtent l="0" t="0" r="0" b="1905"/>
            <wp:docPr id="82" name="Picture 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pic:cNvPicPr/>
                  </pic:nvPicPr>
                  <pic:blipFill rotWithShape="1">
                    <a:blip r:embed="rId24"/>
                    <a:srcRect t="6438" b="9571"/>
                    <a:stretch/>
                  </pic:blipFill>
                  <pic:spPr bwMode="auto">
                    <a:xfrm>
                      <a:off x="0" y="0"/>
                      <a:ext cx="5760720" cy="5999577"/>
                    </a:xfrm>
                    <a:prstGeom prst="rect">
                      <a:avLst/>
                    </a:prstGeom>
                    <a:ln>
                      <a:noFill/>
                    </a:ln>
                    <a:extLst>
                      <a:ext uri="{53640926-AAD7-44D8-BBD7-CCE9431645EC}">
                        <a14:shadowObscured xmlns:a14="http://schemas.microsoft.com/office/drawing/2010/main"/>
                      </a:ext>
                    </a:extLst>
                  </pic:spPr>
                </pic:pic>
              </a:graphicData>
            </a:graphic>
          </wp:inline>
        </w:drawing>
      </w:r>
    </w:p>
    <w:p w14:paraId="7C5989DA" w14:textId="3929A3E0" w:rsidR="006868A3" w:rsidRPr="00833471" w:rsidRDefault="006868A3" w:rsidP="00FA3D6A">
      <w:pPr>
        <w:pStyle w:val="Caption"/>
        <w:rPr>
          <w:i w:val="0"/>
          <w:iCs w:val="0"/>
          <w:noProof/>
          <w:color w:val="auto"/>
          <w:sz w:val="20"/>
          <w:szCs w:val="20"/>
        </w:rPr>
      </w:pPr>
      <w:bookmarkStart w:id="17" w:name="_Toc129870360"/>
      <w:bookmarkStart w:id="18" w:name="_Toc134623364"/>
      <w:r w:rsidRPr="00833471">
        <w:rPr>
          <w:rStyle w:val="Heading1Char"/>
          <w:i w:val="0"/>
          <w:iCs w:val="0"/>
          <w:color w:val="auto"/>
          <w:szCs w:val="20"/>
        </w:rPr>
        <w:t xml:space="preserve">Figure S </w:t>
      </w:r>
      <w:r w:rsidR="00410516" w:rsidRPr="00833471">
        <w:rPr>
          <w:rStyle w:val="Heading1Char"/>
          <w:i w:val="0"/>
          <w:iCs w:val="0"/>
          <w:color w:val="auto"/>
          <w:szCs w:val="20"/>
        </w:rPr>
        <w:fldChar w:fldCharType="begin"/>
      </w:r>
      <w:r w:rsidR="00410516" w:rsidRPr="00833471">
        <w:rPr>
          <w:rStyle w:val="Heading1Char"/>
          <w:i w:val="0"/>
          <w:iCs w:val="0"/>
          <w:color w:val="auto"/>
          <w:szCs w:val="20"/>
        </w:rPr>
        <w:instrText xml:space="preserve"> SEQ Figure_S \* ARABIC </w:instrText>
      </w:r>
      <w:r w:rsidR="00410516" w:rsidRPr="00833471">
        <w:rPr>
          <w:rStyle w:val="Heading1Char"/>
          <w:i w:val="0"/>
          <w:iCs w:val="0"/>
          <w:color w:val="auto"/>
          <w:szCs w:val="20"/>
        </w:rPr>
        <w:fldChar w:fldCharType="separate"/>
      </w:r>
      <w:r w:rsidR="00AA5E09">
        <w:rPr>
          <w:rStyle w:val="Heading1Char"/>
          <w:i w:val="0"/>
          <w:iCs w:val="0"/>
          <w:noProof/>
          <w:color w:val="auto"/>
          <w:szCs w:val="20"/>
        </w:rPr>
        <w:t>17</w:t>
      </w:r>
      <w:bookmarkEnd w:id="17"/>
      <w:bookmarkEnd w:id="18"/>
      <w:r w:rsidR="00410516" w:rsidRPr="00833471">
        <w:rPr>
          <w:rStyle w:val="Heading1Char"/>
          <w:i w:val="0"/>
          <w:iCs w:val="0"/>
          <w:color w:val="auto"/>
          <w:szCs w:val="20"/>
        </w:rPr>
        <w:fldChar w:fldCharType="end"/>
      </w:r>
      <w:r w:rsidR="00AE28C2" w:rsidRPr="007913DE">
        <w:rPr>
          <w:i w:val="0"/>
          <w:iCs w:val="0"/>
          <w:noProof/>
          <w:color w:val="auto"/>
          <w:sz w:val="20"/>
          <w:szCs w:val="20"/>
        </w:rPr>
        <w:t>: Reaction control of the one-pot iodine/lipase rearrangement. (</w:t>
      </w:r>
      <w:r w:rsidR="004830E5" w:rsidRPr="007913DE">
        <w:rPr>
          <w:i w:val="0"/>
          <w:iCs w:val="0"/>
          <w:noProof/>
          <w:color w:val="auto"/>
          <w:sz w:val="20"/>
          <w:szCs w:val="20"/>
        </w:rPr>
        <w:t>a</w:t>
      </w:r>
      <w:r w:rsidR="00AE28C2" w:rsidRPr="007913DE">
        <w:rPr>
          <w:i w:val="0"/>
          <w:iCs w:val="0"/>
          <w:noProof/>
          <w:color w:val="auto"/>
          <w:sz w:val="20"/>
          <w:szCs w:val="20"/>
        </w:rPr>
        <w:t xml:space="preserve">) Substrate </w:t>
      </w:r>
      <w:r w:rsidR="00FD4972" w:rsidRPr="007913DE">
        <w:rPr>
          <w:i w:val="0"/>
          <w:iCs w:val="0"/>
          <w:noProof/>
          <w:color w:val="auto"/>
          <w:sz w:val="20"/>
          <w:szCs w:val="20"/>
        </w:rPr>
        <w:t xml:space="preserve">14. (B) Ketone Intermediates P1-14 and </w:t>
      </w:r>
      <w:r w:rsidR="008D4BC1" w:rsidRPr="007913DE">
        <w:rPr>
          <w:i w:val="0"/>
          <w:iCs w:val="0"/>
          <w:noProof/>
          <w:color w:val="auto"/>
          <w:sz w:val="20"/>
          <w:szCs w:val="20"/>
        </w:rPr>
        <w:t>P2-14.</w:t>
      </w:r>
      <w:r w:rsidR="007F0EF3" w:rsidRPr="007913DE">
        <w:rPr>
          <w:i w:val="0"/>
          <w:iCs w:val="0"/>
          <w:noProof/>
          <w:color w:val="auto"/>
          <w:sz w:val="20"/>
          <w:szCs w:val="20"/>
        </w:rPr>
        <w:t xml:space="preserve"> Major isomer was determined via NOESY (see NMR section)</w:t>
      </w:r>
      <w:r w:rsidR="008D4BC1" w:rsidRPr="007913DE">
        <w:rPr>
          <w:i w:val="0"/>
          <w:iCs w:val="0"/>
          <w:noProof/>
          <w:color w:val="auto"/>
          <w:sz w:val="20"/>
          <w:szCs w:val="20"/>
        </w:rPr>
        <w:t xml:space="preserve"> (</w:t>
      </w:r>
      <w:r w:rsidR="004830E5" w:rsidRPr="007913DE">
        <w:rPr>
          <w:i w:val="0"/>
          <w:iCs w:val="0"/>
          <w:noProof/>
          <w:color w:val="auto"/>
          <w:sz w:val="20"/>
          <w:szCs w:val="20"/>
        </w:rPr>
        <w:t>c</w:t>
      </w:r>
      <w:r w:rsidR="008D4BC1" w:rsidRPr="007913DE">
        <w:rPr>
          <w:i w:val="0"/>
          <w:iCs w:val="0"/>
          <w:noProof/>
          <w:color w:val="auto"/>
          <w:sz w:val="20"/>
          <w:szCs w:val="20"/>
        </w:rPr>
        <w:t>) Reaction chosing bad condtions</w:t>
      </w:r>
      <w:r w:rsidR="004830E5" w:rsidRPr="007913DE">
        <w:rPr>
          <w:i w:val="0"/>
          <w:iCs w:val="0"/>
          <w:noProof/>
          <w:color w:val="auto"/>
          <w:sz w:val="20"/>
          <w:szCs w:val="20"/>
        </w:rPr>
        <w:t xml:space="preserve"> and showing </w:t>
      </w:r>
      <w:r w:rsidR="005A0DED" w:rsidRPr="007913DE">
        <w:rPr>
          <w:i w:val="0"/>
          <w:iCs w:val="0"/>
          <w:noProof/>
          <w:color w:val="auto"/>
          <w:sz w:val="20"/>
          <w:szCs w:val="20"/>
        </w:rPr>
        <w:t xml:space="preserve">side-product sclaral P3-14, which </w:t>
      </w:r>
      <w:r w:rsidR="00C52A47" w:rsidRPr="007913DE">
        <w:rPr>
          <w:i w:val="0"/>
          <w:iCs w:val="0"/>
          <w:noProof/>
          <w:color w:val="auto"/>
          <w:sz w:val="20"/>
          <w:szCs w:val="20"/>
        </w:rPr>
        <w:t xml:space="preserve">presumably </w:t>
      </w:r>
      <w:r w:rsidR="005A0DED" w:rsidRPr="007913DE">
        <w:rPr>
          <w:i w:val="0"/>
          <w:iCs w:val="0"/>
          <w:noProof/>
          <w:color w:val="auto"/>
          <w:sz w:val="20"/>
          <w:szCs w:val="20"/>
        </w:rPr>
        <w:t xml:space="preserve">accumulates during the cleavage of </w:t>
      </w:r>
      <w:r w:rsidR="00C52A47" w:rsidRPr="007913DE">
        <w:rPr>
          <w:i w:val="0"/>
          <w:iCs w:val="0"/>
          <w:noProof/>
          <w:color w:val="auto"/>
          <w:sz w:val="20"/>
          <w:szCs w:val="20"/>
        </w:rPr>
        <w:t xml:space="preserve">a dimeric lactol anhydride (for more information on this mechanism please see ref. </w:t>
      </w:r>
      <w:r w:rsidR="00C52A47" w:rsidRPr="007913DE">
        <w:rPr>
          <w:i w:val="0"/>
          <w:iCs w:val="0"/>
          <w:noProof/>
          <w:color w:val="auto"/>
          <w:sz w:val="20"/>
          <w:szCs w:val="20"/>
        </w:rPr>
        <w:fldChar w:fldCharType="begin" w:fldLock="1"/>
      </w:r>
      <w:r w:rsidR="00E81BA1" w:rsidRPr="007913DE">
        <w:rPr>
          <w:i w:val="0"/>
          <w:iCs w:val="0"/>
          <w:noProof/>
          <w:color w:val="auto"/>
          <w:sz w:val="20"/>
          <w:szCs w:val="20"/>
        </w:rPr>
        <w:instrText>ADDIN CSL_CITATION {"citationItems":[{"id":"ITEM-1","itemData":{"DOI":"10.1002/hlca.200490239","ISSN":"0018019X","abstract":"The latest route to Ambrox® (1) starting from sclareol (2) proceeds through an oxy ketone 4 (Scheme 1). A new practical synthesis of the key intermediate 4 is described; it is equivalent to a partial oxidative degradation of sclareol (2) with peracetic and periodic acids (Scheme 2). The final product of the Baeyer - Villiger oxidation of the oxy ketone 4 with commercial peracetic acid is decisively dependent on the reaction conditions because the expected acetate 9 reacts with any nucleophile, especially the peracid (Scheme 3). Furthermore, this acetate 9 is very prone to eliminative coupling (Scheme 4).","author":[{"dropping-particle":"","family":"Moulines","given":"Jean","non-dropping-particle":"","parse-names":false,"suffix":""},{"dropping-particle":"","family":"Bats","given":"Jean Paul","non-dropping-particle":"","parse-names":false,"suffix":""},{"dropping-particle":"","family":"Lamidey","given":"Anne Marie","non-dropping-particle":"","parse-names":false,"suffix":""},{"dropping-particle":"","family":"Silva","given":"Nicole","non-dropping-particle":"Da","parse-names":false,"suffix":""}],"container-title":"Helvetica Chimica Acta","id":"ITEM-1","issue":"10","issued":{"date-parts":[["2004"]]},"page":"2695-2705","title":"About a practical synthesis of Ambrox® from sclareol: A new preparation of a ketone key intermediate and a close look at its Baeyer-Villiger oxidation","type":"article-journal","volume":"87"},"uris":["http://www.mendeley.com/documents/?uuid=27e16b26-0d15-45b7-bcfb-9075f8de7772"]}],"mendeley":{"formattedCitation":"&lt;sup&gt;15&lt;/sup&gt;","plainTextFormattedCitation":"15","previouslyFormattedCitation":"&lt;sup&gt;14&lt;/sup&gt;"},"properties":{"noteIndex":0},"schema":"https://github.com/citation-style-language/schema/raw/master/csl-citation.json"}</w:instrText>
      </w:r>
      <w:r w:rsidR="00C52A47" w:rsidRPr="007913DE">
        <w:rPr>
          <w:i w:val="0"/>
          <w:iCs w:val="0"/>
          <w:noProof/>
          <w:color w:val="auto"/>
          <w:sz w:val="20"/>
          <w:szCs w:val="20"/>
        </w:rPr>
        <w:fldChar w:fldCharType="separate"/>
      </w:r>
      <w:r w:rsidR="00E81BA1" w:rsidRPr="007913DE">
        <w:rPr>
          <w:i w:val="0"/>
          <w:iCs w:val="0"/>
          <w:noProof/>
          <w:color w:val="auto"/>
          <w:sz w:val="20"/>
          <w:szCs w:val="20"/>
          <w:vertAlign w:val="superscript"/>
        </w:rPr>
        <w:t>15</w:t>
      </w:r>
      <w:r w:rsidR="00C52A47" w:rsidRPr="007913DE">
        <w:rPr>
          <w:i w:val="0"/>
          <w:iCs w:val="0"/>
          <w:noProof/>
          <w:color w:val="auto"/>
          <w:sz w:val="20"/>
          <w:szCs w:val="20"/>
        </w:rPr>
        <w:fldChar w:fldCharType="end"/>
      </w:r>
      <w:r w:rsidR="00564E70" w:rsidRPr="007913DE">
        <w:rPr>
          <w:i w:val="0"/>
          <w:iCs w:val="0"/>
          <w:noProof/>
          <w:color w:val="auto"/>
          <w:sz w:val="20"/>
          <w:szCs w:val="20"/>
        </w:rPr>
        <w:t xml:space="preserve">. </w:t>
      </w:r>
      <w:r w:rsidR="00C52A47" w:rsidRPr="007913DE">
        <w:rPr>
          <w:i w:val="0"/>
          <w:iCs w:val="0"/>
          <w:noProof/>
          <w:color w:val="auto"/>
          <w:sz w:val="20"/>
          <w:szCs w:val="20"/>
        </w:rPr>
        <w:t>d</w:t>
      </w:r>
      <w:r w:rsidR="008D4BC1" w:rsidRPr="007913DE">
        <w:rPr>
          <w:i w:val="0"/>
          <w:iCs w:val="0"/>
          <w:noProof/>
          <w:color w:val="auto"/>
          <w:sz w:val="20"/>
          <w:szCs w:val="20"/>
        </w:rPr>
        <w:t xml:space="preserve">) </w:t>
      </w:r>
      <w:r w:rsidR="003A3DDC" w:rsidRPr="007913DE">
        <w:rPr>
          <w:i w:val="0"/>
          <w:iCs w:val="0"/>
          <w:noProof/>
          <w:color w:val="auto"/>
          <w:sz w:val="20"/>
          <w:szCs w:val="20"/>
        </w:rPr>
        <w:t xml:space="preserve">Reaction </w:t>
      </w:r>
      <w:r w:rsidR="0003116A" w:rsidRPr="007913DE">
        <w:rPr>
          <w:i w:val="0"/>
          <w:iCs w:val="0"/>
          <w:noProof/>
          <w:color w:val="auto"/>
          <w:sz w:val="20"/>
          <w:szCs w:val="20"/>
        </w:rPr>
        <w:t xml:space="preserve">under </w:t>
      </w:r>
      <w:r w:rsidR="001F0BEA" w:rsidRPr="007913DE">
        <w:rPr>
          <w:i w:val="0"/>
          <w:iCs w:val="0"/>
          <w:noProof/>
          <w:color w:val="auto"/>
          <w:sz w:val="20"/>
          <w:szCs w:val="20"/>
        </w:rPr>
        <w:t>optimized</w:t>
      </w:r>
      <w:r w:rsidR="0003116A" w:rsidRPr="007913DE">
        <w:rPr>
          <w:i w:val="0"/>
          <w:iCs w:val="0"/>
          <w:noProof/>
          <w:color w:val="auto"/>
          <w:sz w:val="20"/>
          <w:szCs w:val="20"/>
        </w:rPr>
        <w:t xml:space="preserve"> conditions yielding high amounts of 2</w:t>
      </w:r>
      <w:r w:rsidR="00C52A47" w:rsidRPr="007913DE">
        <w:rPr>
          <w:i w:val="0"/>
          <w:iCs w:val="0"/>
          <w:noProof/>
          <w:color w:val="auto"/>
          <w:sz w:val="20"/>
          <w:szCs w:val="20"/>
        </w:rPr>
        <w:t>6</w:t>
      </w:r>
      <w:r w:rsidR="0003116A" w:rsidRPr="007913DE">
        <w:rPr>
          <w:i w:val="0"/>
          <w:iCs w:val="0"/>
          <w:noProof/>
          <w:color w:val="auto"/>
          <w:sz w:val="20"/>
          <w:szCs w:val="20"/>
        </w:rPr>
        <w:t>.</w:t>
      </w:r>
    </w:p>
    <w:p w14:paraId="05ED5C8D" w14:textId="77777777" w:rsidR="00542606" w:rsidRPr="00833471" w:rsidRDefault="00542606" w:rsidP="00FA3D6A"/>
    <w:p w14:paraId="04EADC6D" w14:textId="77777777" w:rsidR="00542606" w:rsidRPr="00833471" w:rsidRDefault="00542606" w:rsidP="00FA3D6A"/>
    <w:p w14:paraId="296B6413" w14:textId="7D96EDE7" w:rsidR="00542606" w:rsidRPr="00833471" w:rsidRDefault="00542606" w:rsidP="00FA3D6A"/>
    <w:p w14:paraId="22319FBF" w14:textId="64CA1A5B" w:rsidR="00154526" w:rsidRPr="00833471" w:rsidRDefault="00154526" w:rsidP="00FA3D6A"/>
    <w:p w14:paraId="38620933" w14:textId="2407B1D6" w:rsidR="00154526" w:rsidRPr="00833471" w:rsidRDefault="00154526" w:rsidP="00FA3D6A"/>
    <w:p w14:paraId="15796752" w14:textId="2546E789" w:rsidR="00165F04" w:rsidRDefault="000A1FE6" w:rsidP="00165F04">
      <w:pPr>
        <w:keepNext/>
      </w:pPr>
      <w:r>
        <w:rPr>
          <w:noProof/>
        </w:rPr>
        <w:lastRenderedPageBreak/>
        <w:drawing>
          <wp:inline distT="0" distB="0" distL="0" distR="0" wp14:anchorId="2C2D3981" wp14:editId="04267722">
            <wp:extent cx="5760720" cy="4638040"/>
            <wp:effectExtent l="0" t="0" r="0" b="0"/>
            <wp:docPr id="1556393322" name="Grafik 2"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93322" name="Grafik 2" descr="Ein Bild, das Diagramm enthält.&#10;&#10;Automatisch generierte Beschreibung"/>
                    <pic:cNvPicPr/>
                  </pic:nvPicPr>
                  <pic:blipFill>
                    <a:blip r:embed="rId25"/>
                    <a:stretch>
                      <a:fillRect/>
                    </a:stretch>
                  </pic:blipFill>
                  <pic:spPr>
                    <a:xfrm>
                      <a:off x="0" y="0"/>
                      <a:ext cx="5760720" cy="4638040"/>
                    </a:xfrm>
                    <a:prstGeom prst="rect">
                      <a:avLst/>
                    </a:prstGeom>
                  </pic:spPr>
                </pic:pic>
              </a:graphicData>
            </a:graphic>
          </wp:inline>
        </w:drawing>
      </w:r>
    </w:p>
    <w:p w14:paraId="79DBC1C3" w14:textId="69305009" w:rsidR="00165F04" w:rsidRPr="00165F04" w:rsidRDefault="00165F04" w:rsidP="00165F04">
      <w:pPr>
        <w:pStyle w:val="Caption"/>
        <w:rPr>
          <w:i w:val="0"/>
          <w:iCs w:val="0"/>
          <w:color w:val="auto"/>
          <w:sz w:val="20"/>
          <w:szCs w:val="20"/>
        </w:rPr>
      </w:pPr>
      <w:bookmarkStart w:id="19" w:name="_Toc134623365"/>
      <w:r w:rsidRPr="00EB59D5">
        <w:rPr>
          <w:rStyle w:val="Heading1Char"/>
          <w:i w:val="0"/>
          <w:iCs w:val="0"/>
          <w:color w:val="auto"/>
        </w:rPr>
        <w:t xml:space="preserve">Figure S </w:t>
      </w:r>
      <w:r w:rsidRPr="00EB59D5">
        <w:rPr>
          <w:rStyle w:val="Heading1Char"/>
          <w:i w:val="0"/>
          <w:iCs w:val="0"/>
          <w:color w:val="auto"/>
        </w:rPr>
        <w:fldChar w:fldCharType="begin"/>
      </w:r>
      <w:r w:rsidRPr="00EB59D5">
        <w:rPr>
          <w:rStyle w:val="Heading1Char"/>
          <w:i w:val="0"/>
          <w:iCs w:val="0"/>
          <w:color w:val="auto"/>
        </w:rPr>
        <w:instrText xml:space="preserve"> SEQ Figure_S \* ARABIC </w:instrText>
      </w:r>
      <w:r w:rsidRPr="00EB59D5">
        <w:rPr>
          <w:rStyle w:val="Heading1Char"/>
          <w:i w:val="0"/>
          <w:iCs w:val="0"/>
          <w:color w:val="auto"/>
        </w:rPr>
        <w:fldChar w:fldCharType="separate"/>
      </w:r>
      <w:r w:rsidR="00AA5E09">
        <w:rPr>
          <w:rStyle w:val="Heading1Char"/>
          <w:i w:val="0"/>
          <w:iCs w:val="0"/>
          <w:noProof/>
          <w:color w:val="auto"/>
        </w:rPr>
        <w:t>18</w:t>
      </w:r>
      <w:bookmarkEnd w:id="19"/>
      <w:r w:rsidRPr="00EB59D5">
        <w:rPr>
          <w:rStyle w:val="Heading1Char"/>
          <w:i w:val="0"/>
          <w:iCs w:val="0"/>
          <w:color w:val="auto"/>
        </w:rPr>
        <w:fldChar w:fldCharType="end"/>
      </w:r>
      <w:r w:rsidRPr="00165F04">
        <w:rPr>
          <w:b/>
          <w:bCs/>
          <w:i w:val="0"/>
          <w:iCs w:val="0"/>
          <w:color w:val="auto"/>
          <w:sz w:val="20"/>
          <w:szCs w:val="20"/>
        </w:rPr>
        <w:t>:</w:t>
      </w:r>
      <w:r w:rsidRPr="00165F04">
        <w:rPr>
          <w:rFonts w:cs="Arial"/>
          <w:i w:val="0"/>
          <w:iCs w:val="0"/>
          <w:color w:val="auto"/>
          <w:sz w:val="20"/>
          <w:szCs w:val="20"/>
        </w:rPr>
        <w:t xml:space="preserve"> </w:t>
      </w:r>
      <w:r w:rsidR="00327851" w:rsidRPr="00D42D3C">
        <w:rPr>
          <w:rFonts w:cs="Arial"/>
          <w:i w:val="0"/>
          <w:iCs w:val="0"/>
          <w:color w:val="auto"/>
          <w:sz w:val="20"/>
          <w:szCs w:val="20"/>
        </w:rPr>
        <w:t>(A) Thermodynamic cycle as applied in the double decoupling methodology (DDM). Free energy differences (</w:t>
      </w:r>
      <m:oMath>
        <m:r>
          <w:rPr>
            <w:rFonts w:ascii="Cambria Math" w:hAnsi="Cambria Math" w:cs="Arial"/>
            <w:color w:val="auto"/>
            <w:sz w:val="20"/>
            <w:szCs w:val="20"/>
          </w:rPr>
          <m:t>∆G</m:t>
        </m:r>
      </m:oMath>
      <w:r w:rsidR="00327851" w:rsidRPr="00D42D3C">
        <w:rPr>
          <w:rFonts w:cs="Arial"/>
          <w:i w:val="0"/>
          <w:iCs w:val="0"/>
          <w:color w:val="auto"/>
          <w:sz w:val="20"/>
          <w:szCs w:val="20"/>
        </w:rPr>
        <w:t xml:space="preserve">) for the relevant steps are denoted next to the arrows. Left vertical branch: substrate or product (both denoted as guest) molecule is decoupled from the bulk solvent environment (superscript B) keeping intact the intramolecular interactions. </w:t>
      </w:r>
      <w:r w:rsidR="00327851">
        <w:rPr>
          <w:rFonts w:cs="Arial"/>
          <w:i w:val="0"/>
          <w:iCs w:val="0"/>
          <w:color w:val="auto"/>
          <w:sz w:val="20"/>
          <w:szCs w:val="20"/>
        </w:rPr>
        <w:t xml:space="preserve">In case of water, </w:t>
      </w:r>
      <w:r w:rsidR="00327851">
        <w:rPr>
          <w:rFonts w:eastAsiaTheme="minorEastAsia" w:cs="Arial"/>
          <w:i w:val="0"/>
          <w:iCs w:val="0"/>
          <w:color w:val="auto"/>
          <w:sz w:val="20"/>
          <w:szCs w:val="20"/>
        </w:rPr>
        <w:t xml:space="preserve">this transfer free energy from solvent to an ideal gas phase </w:t>
      </w:r>
      <m:oMath>
        <m:r>
          <w:rPr>
            <w:rFonts w:ascii="Cambria Math" w:hAnsi="Cambria Math" w:cs="Arial"/>
            <w:color w:val="auto"/>
            <w:sz w:val="20"/>
            <w:szCs w:val="20"/>
          </w:rPr>
          <m:t>∆</m:t>
        </m:r>
        <m:sSubSup>
          <m:sSubSupPr>
            <m:ctrlPr>
              <w:rPr>
                <w:rFonts w:ascii="Cambria Math" w:hAnsi="Cambria Math" w:cs="Arial"/>
                <w:i w:val="0"/>
                <w:iCs w:val="0"/>
                <w:color w:val="auto"/>
                <w:sz w:val="20"/>
                <w:szCs w:val="20"/>
              </w:rPr>
            </m:ctrlPr>
          </m:sSubSupPr>
          <m:e>
            <m:r>
              <w:rPr>
                <w:rFonts w:ascii="Cambria Math" w:hAnsi="Cambria Math" w:cs="Arial"/>
                <w:color w:val="auto"/>
                <w:sz w:val="20"/>
                <w:szCs w:val="20"/>
              </w:rPr>
              <m:t>G</m:t>
            </m:r>
          </m:e>
          <m:sub>
            <m:r>
              <w:rPr>
                <w:rFonts w:ascii="Cambria Math" w:hAnsi="Cambria Math" w:cs="Arial"/>
                <w:color w:val="auto"/>
                <w:sz w:val="20"/>
                <w:szCs w:val="20"/>
              </w:rPr>
              <m:t>0*→1*</m:t>
            </m:r>
          </m:sub>
          <m:sup>
            <m:r>
              <w:rPr>
                <w:rFonts w:ascii="Cambria Math" w:hAnsi="Cambria Math" w:cs="Arial"/>
                <w:color w:val="auto"/>
                <w:sz w:val="20"/>
                <w:szCs w:val="20"/>
              </w:rPr>
              <m:t>B</m:t>
            </m:r>
          </m:sup>
        </m:sSubSup>
      </m:oMath>
      <w:r w:rsidR="00327851" w:rsidRPr="00D42D3C">
        <w:rPr>
          <w:rFonts w:cs="Arial"/>
          <w:i w:val="0"/>
          <w:iCs w:val="0"/>
          <w:color w:val="auto"/>
          <w:sz w:val="20"/>
          <w:szCs w:val="20"/>
        </w:rPr>
        <w:t xml:space="preserve"> corresponds to the negative hydration free energy</w:t>
      </w:r>
      <w:r w:rsidR="00327851">
        <w:rPr>
          <w:rFonts w:cs="Arial"/>
          <w:i w:val="0"/>
          <w:iCs w:val="0"/>
          <w:color w:val="auto"/>
          <w:sz w:val="20"/>
          <w:szCs w:val="20"/>
        </w:rPr>
        <w:t xml:space="preserve"> of the guest molecule</w:t>
      </w:r>
      <w:r w:rsidR="00327851" w:rsidRPr="00D42D3C">
        <w:rPr>
          <w:rFonts w:cs="Arial"/>
          <w:i w:val="0"/>
          <w:iCs w:val="0"/>
          <w:color w:val="auto"/>
          <w:sz w:val="20"/>
          <w:szCs w:val="20"/>
        </w:rPr>
        <w:t xml:space="preserve">. Right vertical branch: guest molecule is decoupled from the host binding site (superscript H). </w:t>
      </w:r>
      <m:oMath>
        <m:r>
          <w:rPr>
            <w:rFonts w:ascii="Cambria Math" w:hAnsi="Cambria Math" w:cs="Arial"/>
            <w:color w:val="auto"/>
            <w:sz w:val="20"/>
            <w:szCs w:val="20"/>
          </w:rPr>
          <m:t>∆</m:t>
        </m:r>
        <m:sSubSup>
          <m:sSubSupPr>
            <m:ctrlPr>
              <w:rPr>
                <w:rFonts w:ascii="Cambria Math" w:hAnsi="Cambria Math" w:cs="Arial"/>
                <w:i w:val="0"/>
                <w:iCs w:val="0"/>
                <w:color w:val="auto"/>
                <w:sz w:val="20"/>
                <w:szCs w:val="20"/>
              </w:rPr>
            </m:ctrlPr>
          </m:sSubSupPr>
          <m:e>
            <m:r>
              <w:rPr>
                <w:rFonts w:ascii="Cambria Math" w:hAnsi="Cambria Math" w:cs="Arial"/>
                <w:color w:val="auto"/>
                <w:sz w:val="20"/>
                <w:szCs w:val="20"/>
              </w:rPr>
              <m:t>G</m:t>
            </m:r>
          </m:e>
          <m:sub>
            <m:r>
              <w:rPr>
                <w:rFonts w:ascii="Cambria Math" w:hAnsi="Cambria Math" w:cs="Arial"/>
                <w:color w:val="auto"/>
                <w:sz w:val="20"/>
                <w:szCs w:val="20"/>
              </w:rPr>
              <m:t>0→1</m:t>
            </m:r>
          </m:sub>
          <m:sup>
            <m:r>
              <w:rPr>
                <w:rFonts w:ascii="Cambria Math" w:hAnsi="Cambria Math" w:cs="Arial"/>
                <w:color w:val="auto"/>
                <w:sz w:val="20"/>
                <w:szCs w:val="20"/>
              </w:rPr>
              <m:t>H</m:t>
            </m:r>
          </m:sup>
        </m:sSubSup>
      </m:oMath>
      <w:r w:rsidR="00327851" w:rsidRPr="00D42D3C">
        <w:rPr>
          <w:rFonts w:cs="Arial"/>
          <w:i w:val="0"/>
          <w:iCs w:val="0"/>
          <w:color w:val="auto"/>
          <w:sz w:val="20"/>
          <w:szCs w:val="20"/>
        </w:rPr>
        <w:t xml:space="preserve"> represents the free energy change associated with activating a restraint between the host and the fully interacting guest; </w:t>
      </w:r>
      <m:oMath>
        <m:r>
          <w:rPr>
            <w:rFonts w:ascii="Cambria Math" w:hAnsi="Cambria Math" w:cs="Arial"/>
            <w:color w:val="auto"/>
            <w:sz w:val="20"/>
            <w:szCs w:val="20"/>
          </w:rPr>
          <m:t>∆</m:t>
        </m:r>
        <m:sSubSup>
          <m:sSubSupPr>
            <m:ctrlPr>
              <w:rPr>
                <w:rFonts w:ascii="Cambria Math" w:hAnsi="Cambria Math" w:cs="Arial"/>
                <w:i w:val="0"/>
                <w:iCs w:val="0"/>
                <w:color w:val="auto"/>
                <w:sz w:val="20"/>
                <w:szCs w:val="20"/>
              </w:rPr>
            </m:ctrlPr>
          </m:sSubSupPr>
          <m:e>
            <m:r>
              <w:rPr>
                <w:rFonts w:ascii="Cambria Math" w:hAnsi="Cambria Math" w:cs="Arial"/>
                <w:color w:val="auto"/>
                <w:sz w:val="20"/>
                <w:szCs w:val="20"/>
              </w:rPr>
              <m:t>G</m:t>
            </m:r>
          </m:e>
          <m:sub>
            <m:r>
              <w:rPr>
                <w:rFonts w:ascii="Cambria Math" w:hAnsi="Cambria Math" w:cs="Arial"/>
                <w:color w:val="auto"/>
                <w:sz w:val="20"/>
                <w:szCs w:val="20"/>
              </w:rPr>
              <m:t>1→2</m:t>
            </m:r>
          </m:sub>
          <m:sup>
            <m:r>
              <w:rPr>
                <w:rFonts w:ascii="Cambria Math" w:hAnsi="Cambria Math" w:cs="Arial"/>
                <w:color w:val="auto"/>
                <w:sz w:val="20"/>
                <w:szCs w:val="20"/>
              </w:rPr>
              <m:t>H</m:t>
            </m:r>
          </m:sup>
        </m:sSubSup>
      </m:oMath>
      <w:r w:rsidR="00327851" w:rsidRPr="00D42D3C">
        <w:rPr>
          <w:rFonts w:cs="Arial"/>
          <w:i w:val="0"/>
          <w:iCs w:val="0"/>
          <w:color w:val="auto"/>
          <w:sz w:val="20"/>
          <w:szCs w:val="20"/>
        </w:rPr>
        <w:t xml:space="preserve"> represents the free energy change associated with the process of decoupling the restrained guest within the host binding site while keeping the intramolecular interactions intact; </w:t>
      </w:r>
      <m:oMath>
        <m:r>
          <w:rPr>
            <w:rFonts w:ascii="Cambria Math" w:hAnsi="Cambria Math" w:cs="Arial"/>
            <w:color w:val="auto"/>
            <w:sz w:val="20"/>
            <w:szCs w:val="20"/>
          </w:rPr>
          <m:t>∆</m:t>
        </m:r>
        <m:sSubSup>
          <m:sSubSupPr>
            <m:ctrlPr>
              <w:rPr>
                <w:rFonts w:ascii="Cambria Math" w:hAnsi="Cambria Math" w:cs="Arial"/>
                <w:i w:val="0"/>
                <w:iCs w:val="0"/>
                <w:color w:val="auto"/>
                <w:sz w:val="20"/>
                <w:szCs w:val="20"/>
              </w:rPr>
            </m:ctrlPr>
          </m:sSubSupPr>
          <m:e>
            <m:r>
              <w:rPr>
                <w:rFonts w:ascii="Cambria Math" w:hAnsi="Cambria Math" w:cs="Arial"/>
                <w:color w:val="auto"/>
                <w:sz w:val="20"/>
                <w:szCs w:val="20"/>
              </w:rPr>
              <m:t>G</m:t>
            </m:r>
          </m:e>
          <m:sub>
            <m:r>
              <w:rPr>
                <w:rFonts w:ascii="Cambria Math" w:hAnsi="Cambria Math" w:cs="Arial"/>
                <w:color w:val="auto"/>
                <w:sz w:val="20"/>
                <w:szCs w:val="20"/>
              </w:rPr>
              <m:t>2→3</m:t>
            </m:r>
          </m:sub>
          <m:sup>
            <m:r>
              <w:rPr>
                <w:rFonts w:ascii="Cambria Math" w:hAnsi="Cambria Math" w:cs="Arial"/>
                <w:color w:val="auto"/>
                <w:sz w:val="20"/>
                <w:szCs w:val="20"/>
              </w:rPr>
              <m:t>H</m:t>
            </m:r>
          </m:sup>
        </m:sSubSup>
      </m:oMath>
      <w:r w:rsidR="00327851" w:rsidRPr="00D42D3C">
        <w:rPr>
          <w:rFonts w:eastAsiaTheme="minorEastAsia" w:cs="Arial"/>
          <w:i w:val="0"/>
          <w:iCs w:val="0"/>
          <w:color w:val="auto"/>
          <w:sz w:val="20"/>
          <w:szCs w:val="20"/>
        </w:rPr>
        <w:t xml:space="preserve"> accounts for the contribution of releasing the restraint from the non</w:t>
      </w:r>
      <w:r w:rsidR="00327851">
        <w:rPr>
          <w:rFonts w:eastAsiaTheme="minorEastAsia" w:cs="Arial"/>
          <w:i w:val="0"/>
          <w:iCs w:val="0"/>
          <w:color w:val="auto"/>
          <w:sz w:val="20"/>
          <w:szCs w:val="20"/>
        </w:rPr>
        <w:t>-</w:t>
      </w:r>
      <w:r w:rsidR="00327851" w:rsidRPr="00D42D3C">
        <w:rPr>
          <w:rFonts w:eastAsiaTheme="minorEastAsia" w:cs="Arial"/>
          <w:i w:val="0"/>
          <w:iCs w:val="0"/>
          <w:color w:val="auto"/>
          <w:sz w:val="20"/>
          <w:szCs w:val="20"/>
        </w:rPr>
        <w:t>interacting guest, which can be evaluated analytically.</w:t>
      </w:r>
      <w:r w:rsidR="00327851" w:rsidRPr="00D42D3C">
        <w:rPr>
          <w:rFonts w:cs="Arial"/>
          <w:i w:val="0"/>
          <w:iCs w:val="0"/>
          <w:color w:val="auto"/>
          <w:sz w:val="20"/>
          <w:szCs w:val="20"/>
        </w:rPr>
        <w:t xml:space="preserve"> (B) Estimated decoupling free energies</w:t>
      </w:r>
      <w:r w:rsidR="00327851">
        <w:rPr>
          <w:rFonts w:cs="Arial"/>
          <w:i w:val="0"/>
          <w:iCs w:val="0"/>
          <w:color w:val="auto"/>
          <w:sz w:val="20"/>
          <w:szCs w:val="20"/>
        </w:rPr>
        <w:t xml:space="preserve"> </w:t>
      </w:r>
      <w:r w:rsidR="00327851" w:rsidRPr="00D42D3C">
        <w:rPr>
          <w:rFonts w:cs="Arial"/>
          <w:i w:val="0"/>
          <w:iCs w:val="0"/>
          <w:color w:val="auto"/>
          <w:sz w:val="20"/>
          <w:szCs w:val="20"/>
        </w:rPr>
        <w:t xml:space="preserve">according to (A) </w:t>
      </w:r>
      <w:r w:rsidR="00327851">
        <w:rPr>
          <w:rFonts w:cs="Arial"/>
          <w:i w:val="0"/>
          <w:iCs w:val="0"/>
          <w:color w:val="auto"/>
          <w:sz w:val="20"/>
          <w:szCs w:val="20"/>
        </w:rPr>
        <w:t>from MD simulations</w:t>
      </w:r>
      <w:r w:rsidR="00327851" w:rsidRPr="00D42D3C">
        <w:rPr>
          <w:rFonts w:cs="Arial"/>
          <w:i w:val="0"/>
          <w:iCs w:val="0"/>
          <w:color w:val="auto"/>
          <w:sz w:val="20"/>
          <w:szCs w:val="20"/>
        </w:rPr>
        <w:t xml:space="preserve"> for various guest molecules </w:t>
      </w:r>
      <w:r w:rsidR="00327851">
        <w:rPr>
          <w:rFonts w:cs="Arial"/>
          <w:i w:val="0"/>
          <w:iCs w:val="0"/>
          <w:color w:val="auto"/>
          <w:sz w:val="20"/>
          <w:szCs w:val="20"/>
        </w:rPr>
        <w:t xml:space="preserve">(denoted by their IDs) </w:t>
      </w:r>
      <w:r w:rsidR="00327851" w:rsidRPr="00D42D3C">
        <w:rPr>
          <w:rFonts w:cs="Arial"/>
          <w:i w:val="0"/>
          <w:iCs w:val="0"/>
          <w:color w:val="auto"/>
          <w:sz w:val="20"/>
          <w:szCs w:val="20"/>
        </w:rPr>
        <w:t xml:space="preserve">in different environments: bulk water (white), cyclohexane (grey), bound complex with β-cyclodextrin (βCD) (fine grey stripes), bound complex with 2-hydroxypropyl-β-cyclodextrin (2HP-βCD) (thick grey stripes). For water and cyclohexane, the free energy difference corresponds to </w:t>
      </w:r>
      <m:oMath>
        <m:sSubSup>
          <m:sSubSupPr>
            <m:ctrlPr>
              <w:rPr>
                <w:rFonts w:ascii="Cambria Math" w:eastAsiaTheme="minorEastAsia" w:hAnsi="Cambria Math" w:cs="Arial"/>
                <w:i w:val="0"/>
                <w:iCs w:val="0"/>
                <w:color w:val="auto"/>
                <w:sz w:val="20"/>
                <w:szCs w:val="20"/>
              </w:rPr>
            </m:ctrlPr>
          </m:sSubSupPr>
          <m:e>
            <m:r>
              <w:rPr>
                <w:rFonts w:ascii="Cambria Math" w:hAnsi="Cambria Math" w:cs="Arial"/>
                <w:color w:val="auto"/>
                <w:sz w:val="20"/>
                <w:szCs w:val="20"/>
              </w:rPr>
              <m:t>∆G</m:t>
            </m:r>
          </m:e>
          <m:sub>
            <m:sSup>
              <m:sSupPr>
                <m:ctrlPr>
                  <w:rPr>
                    <w:rFonts w:ascii="Cambria Math" w:hAnsi="Cambria Math" w:cs="Arial"/>
                    <w:i w:val="0"/>
                    <w:iCs w:val="0"/>
                    <w:color w:val="auto"/>
                    <w:sz w:val="20"/>
                    <w:szCs w:val="20"/>
                  </w:rPr>
                </m:ctrlPr>
              </m:sSupPr>
              <m:e>
                <m:r>
                  <w:rPr>
                    <w:rFonts w:ascii="Cambria Math" w:hAnsi="Cambria Math" w:cs="Arial"/>
                    <w:color w:val="auto"/>
                    <w:sz w:val="20"/>
                    <w:szCs w:val="20"/>
                  </w:rPr>
                  <m:t>0</m:t>
                </m:r>
              </m:e>
              <m:sup>
                <m:r>
                  <w:rPr>
                    <w:rFonts w:ascii="Cambria Math" w:hAnsi="Cambria Math" w:cs="Arial"/>
                    <w:color w:val="auto"/>
                    <w:sz w:val="20"/>
                    <w:szCs w:val="20"/>
                  </w:rPr>
                  <m:t>*</m:t>
                </m:r>
              </m:sup>
            </m:sSup>
            <m:r>
              <w:rPr>
                <w:rFonts w:ascii="Cambria Math" w:hAnsi="Cambria Math" w:cs="Arial"/>
                <w:color w:val="auto"/>
                <w:sz w:val="20"/>
                <w:szCs w:val="20"/>
              </w:rPr>
              <m:t>→</m:t>
            </m:r>
            <m:sSup>
              <m:sSupPr>
                <m:ctrlPr>
                  <w:rPr>
                    <w:rFonts w:ascii="Cambria Math" w:hAnsi="Cambria Math" w:cs="Arial"/>
                    <w:i w:val="0"/>
                    <w:iCs w:val="0"/>
                    <w:color w:val="auto"/>
                    <w:sz w:val="20"/>
                    <w:szCs w:val="20"/>
                  </w:rPr>
                </m:ctrlPr>
              </m:sSupPr>
              <m:e>
                <m:r>
                  <w:rPr>
                    <w:rFonts w:ascii="Cambria Math" w:hAnsi="Cambria Math" w:cs="Arial"/>
                    <w:color w:val="auto"/>
                    <w:sz w:val="20"/>
                    <w:szCs w:val="20"/>
                  </w:rPr>
                  <m:t>1</m:t>
                </m:r>
              </m:e>
              <m:sup>
                <m:r>
                  <w:rPr>
                    <w:rFonts w:ascii="Cambria Math" w:hAnsi="Cambria Math" w:cs="Arial"/>
                    <w:color w:val="auto"/>
                    <w:sz w:val="20"/>
                    <w:szCs w:val="20"/>
                  </w:rPr>
                  <m:t>*</m:t>
                </m:r>
              </m:sup>
            </m:sSup>
          </m:sub>
          <m:sup>
            <m:r>
              <w:rPr>
                <w:rFonts w:ascii="Cambria Math" w:eastAsiaTheme="minorEastAsia" w:hAnsi="Cambria Math" w:cs="Arial"/>
                <w:color w:val="auto"/>
                <w:sz w:val="20"/>
                <w:szCs w:val="20"/>
              </w:rPr>
              <m:t>B</m:t>
            </m:r>
          </m:sup>
        </m:sSubSup>
      </m:oMath>
      <w:r w:rsidR="00327851" w:rsidRPr="00D42D3C">
        <w:rPr>
          <w:rFonts w:eastAsiaTheme="minorEastAsia" w:cs="Arial"/>
          <w:i w:val="0"/>
          <w:iCs w:val="0"/>
          <w:color w:val="auto"/>
          <w:sz w:val="20"/>
          <w:szCs w:val="20"/>
        </w:rPr>
        <w:t xml:space="preserve">, whereas the decoupling from the host molecules corresponds to the sum of the free energy differences, </w:t>
      </w:r>
      <m:oMath>
        <m:sSubSup>
          <m:sSubSupPr>
            <m:ctrlPr>
              <w:rPr>
                <w:rFonts w:ascii="Cambria Math" w:eastAsiaTheme="minorEastAsia" w:hAnsi="Cambria Math" w:cs="Arial"/>
                <w:i w:val="0"/>
                <w:iCs w:val="0"/>
                <w:color w:val="auto"/>
                <w:sz w:val="20"/>
                <w:szCs w:val="20"/>
              </w:rPr>
            </m:ctrlPr>
          </m:sSubSupPr>
          <m:e>
            <m:r>
              <w:rPr>
                <w:rFonts w:ascii="Cambria Math" w:hAnsi="Cambria Math" w:cs="Arial"/>
                <w:color w:val="auto"/>
                <w:sz w:val="20"/>
                <w:szCs w:val="20"/>
              </w:rPr>
              <m:t>∆G</m:t>
            </m:r>
          </m:e>
          <m:sub>
            <m:r>
              <w:rPr>
                <w:rFonts w:ascii="Cambria Math" w:hAnsi="Cambria Math" w:cs="Arial"/>
                <w:color w:val="auto"/>
                <w:sz w:val="20"/>
                <w:szCs w:val="20"/>
              </w:rPr>
              <m:t>0→3</m:t>
            </m:r>
          </m:sub>
          <m:sup>
            <m:r>
              <w:rPr>
                <w:rFonts w:ascii="Cambria Math" w:eastAsiaTheme="minorEastAsia" w:hAnsi="Cambria Math" w:cs="Arial"/>
                <w:color w:val="auto"/>
                <w:sz w:val="20"/>
                <w:szCs w:val="20"/>
              </w:rPr>
              <m:t>H</m:t>
            </m:r>
          </m:sup>
        </m:sSubSup>
      </m:oMath>
      <w:r w:rsidR="00327851" w:rsidRPr="00D42D3C">
        <w:rPr>
          <w:rFonts w:eastAsiaTheme="minorEastAsia" w:cs="Arial"/>
          <w:i w:val="0"/>
          <w:iCs w:val="0"/>
          <w:color w:val="auto"/>
          <w:sz w:val="20"/>
          <w:szCs w:val="20"/>
        </w:rPr>
        <w:t xml:space="preserve">, of the right branch of the thermodynamic cycle (c.f. A). </w:t>
      </w:r>
      <w:r w:rsidR="00327851" w:rsidRPr="00D42D3C">
        <w:rPr>
          <w:rFonts w:cs="Arial"/>
          <w:i w:val="0"/>
          <w:iCs w:val="0"/>
          <w:color w:val="auto"/>
          <w:sz w:val="20"/>
          <w:szCs w:val="20"/>
        </w:rPr>
        <w:t xml:space="preserve">Statistical errors of the free differences </w:t>
      </w:r>
      <w:r w:rsidR="00327851" w:rsidRPr="00434BB1">
        <w:rPr>
          <w:rFonts w:cs="Arial"/>
          <w:i w:val="0"/>
          <w:iCs w:val="0"/>
          <w:color w:val="auto"/>
          <w:sz w:val="20"/>
          <w:szCs w:val="20"/>
        </w:rPr>
        <w:t xml:space="preserve">were estimated with the MBAR estimator and are bound within </w:t>
      </w:r>
      <w:r w:rsidR="00327851" w:rsidRPr="007913DE">
        <w:rPr>
          <w:rFonts w:cs="Arial"/>
          <w:i w:val="0"/>
          <w:iCs w:val="0"/>
          <w:color w:val="auto"/>
          <w:sz w:val="20"/>
          <w:szCs w:val="20"/>
        </w:rPr>
        <w:t>+/- 1.5 kJ mol</w:t>
      </w:r>
      <w:r w:rsidR="00327851" w:rsidRPr="007913DE">
        <w:rPr>
          <w:rFonts w:cs="Arial"/>
          <w:i w:val="0"/>
          <w:iCs w:val="0"/>
          <w:color w:val="auto"/>
          <w:sz w:val="20"/>
          <w:szCs w:val="20"/>
          <w:vertAlign w:val="superscript"/>
        </w:rPr>
        <w:t>-1</w:t>
      </w:r>
      <w:r w:rsidR="00327851" w:rsidRPr="007913DE">
        <w:rPr>
          <w:rFonts w:cs="Arial"/>
          <w:i w:val="0"/>
          <w:iCs w:val="0"/>
          <w:color w:val="auto"/>
          <w:sz w:val="20"/>
          <w:szCs w:val="20"/>
        </w:rPr>
        <w:t xml:space="preserve">. Guest molecules are sorted by ascending size from left to right, with 12 C-atoms for </w:t>
      </w:r>
      <w:r w:rsidR="00327851" w:rsidRPr="007913DE">
        <w:rPr>
          <w:rFonts w:cs="Arial"/>
          <w:i w:val="0"/>
          <w:iCs w:val="0"/>
          <w:noProof/>
          <w:color w:val="auto"/>
          <w:sz w:val="20"/>
          <w:szCs w:val="20"/>
        </w:rPr>
        <w:t>geranyl acetate (6)</w:t>
      </w:r>
      <w:r w:rsidR="00327851" w:rsidRPr="007913DE">
        <w:rPr>
          <w:rFonts w:cs="Arial"/>
          <w:i w:val="0"/>
          <w:iCs w:val="0"/>
          <w:color w:val="auto"/>
          <w:sz w:val="20"/>
          <w:szCs w:val="20"/>
        </w:rPr>
        <w:t xml:space="preserve">, 13 C-atoms for geranyl acetone (17), neryl acetone (Z-17), γ-dihydroionone (24), 16 C-atoms for ambroxide (22), homofarnesol (21) and 20 C-atoms for geranyl geraniol (10), </w:t>
      </w:r>
      <w:r w:rsidR="000A39F7" w:rsidRPr="007913DE">
        <w:rPr>
          <w:rFonts w:cs="Arial"/>
          <w:i w:val="0"/>
          <w:iCs w:val="0"/>
          <w:color w:val="auto"/>
          <w:sz w:val="20"/>
          <w:szCs w:val="20"/>
        </w:rPr>
        <w:t>respectively.</w:t>
      </w:r>
    </w:p>
    <w:p w14:paraId="563E1D15" w14:textId="77777777" w:rsidR="00154526" w:rsidRPr="00833471" w:rsidRDefault="00154526" w:rsidP="00FA3D6A"/>
    <w:p w14:paraId="2D0A08BC" w14:textId="77273E30" w:rsidR="00542606" w:rsidRPr="00833471" w:rsidRDefault="00542606" w:rsidP="00FA3D6A"/>
    <w:p w14:paraId="75B6C3A4" w14:textId="289578C1" w:rsidR="00107E73" w:rsidRPr="008674D5" w:rsidRDefault="00107E73" w:rsidP="00EB59D5">
      <w:pPr>
        <w:spacing w:line="276" w:lineRule="auto"/>
        <w:rPr>
          <w:b/>
          <w:bCs/>
        </w:rPr>
      </w:pPr>
      <w:bookmarkStart w:id="20" w:name="_Toc134623366"/>
      <w:r w:rsidRPr="00EB59D5">
        <w:rPr>
          <w:rStyle w:val="Heading1Char"/>
        </w:rPr>
        <w:lastRenderedPageBreak/>
        <w:t xml:space="preserve">Supporting Table S </w:t>
      </w:r>
      <w:r w:rsidRPr="00EB59D5">
        <w:rPr>
          <w:rStyle w:val="Heading1Char"/>
        </w:rPr>
        <w:fldChar w:fldCharType="begin"/>
      </w:r>
      <w:r w:rsidRPr="00EB59D5">
        <w:rPr>
          <w:rStyle w:val="Heading1Char"/>
        </w:rPr>
        <w:instrText xml:space="preserve"> SEQ Supporting_Table_S \* ARABIC </w:instrText>
      </w:r>
      <w:r w:rsidRPr="00EB59D5">
        <w:rPr>
          <w:rStyle w:val="Heading1Char"/>
        </w:rPr>
        <w:fldChar w:fldCharType="separate"/>
      </w:r>
      <w:r w:rsidR="00AA5E09">
        <w:rPr>
          <w:rStyle w:val="Heading1Char"/>
          <w:noProof/>
        </w:rPr>
        <w:t>1</w:t>
      </w:r>
      <w:bookmarkEnd w:id="20"/>
      <w:r w:rsidRPr="00EB59D5">
        <w:rPr>
          <w:rStyle w:val="Heading1Char"/>
        </w:rPr>
        <w:fldChar w:fldCharType="end"/>
      </w:r>
      <w:r w:rsidRPr="008674D5">
        <w:t>:</w:t>
      </w:r>
      <w:r w:rsidR="008674D5" w:rsidRPr="008674D5">
        <w:t xml:space="preserve"> </w:t>
      </w:r>
      <w:r w:rsidR="00013F1D" w:rsidRPr="008044FB">
        <w:t xml:space="preserve">Literature research on terpene </w:t>
      </w:r>
      <w:r w:rsidR="00F30C22" w:rsidRPr="008044FB">
        <w:t xml:space="preserve">synthesis including the buzzwords </w:t>
      </w:r>
      <w:r w:rsidR="007C7EA2" w:rsidRPr="008044FB">
        <w:t>‘</w:t>
      </w:r>
      <w:r w:rsidR="00F30C22" w:rsidRPr="008044FB">
        <w:t>cyclization</w:t>
      </w:r>
      <w:r w:rsidR="007C7EA2" w:rsidRPr="008044FB">
        <w:t>’</w:t>
      </w:r>
      <w:r w:rsidR="00F30C22" w:rsidRPr="008044FB">
        <w:t xml:space="preserve">, </w:t>
      </w:r>
      <w:r w:rsidR="007C7EA2" w:rsidRPr="008044FB">
        <w:t>‘asymmetric’, ‘stereoselective’ and ‘stereocontrolled’ on the website Web of Science</w:t>
      </w:r>
      <w:r w:rsidR="00F012D2">
        <w:t xml:space="preserve"> (accessed on </w:t>
      </w:r>
      <w:r w:rsidR="00C34812">
        <w:t>Feb 10</w:t>
      </w:r>
      <w:r w:rsidR="00C34812" w:rsidRPr="00C34812">
        <w:rPr>
          <w:vertAlign w:val="superscript"/>
        </w:rPr>
        <w:t>th</w:t>
      </w:r>
      <w:r w:rsidR="00533647">
        <w:t>, 2023</w:t>
      </w:r>
      <w:r w:rsidR="00C34812">
        <w:t>)</w:t>
      </w:r>
      <w:r w:rsidR="007C7EA2" w:rsidRPr="008044FB">
        <w:t>.</w:t>
      </w:r>
      <w:r w:rsidR="007C7EA2">
        <w:rPr>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5"/>
        <w:gridCol w:w="1289"/>
        <w:gridCol w:w="1469"/>
        <w:gridCol w:w="1394"/>
        <w:gridCol w:w="2235"/>
      </w:tblGrid>
      <w:tr w:rsidR="00160618" w:rsidRPr="00160618" w14:paraId="3BC14816" w14:textId="77777777" w:rsidTr="00165F04">
        <w:trPr>
          <w:trHeight w:val="20"/>
        </w:trPr>
        <w:tc>
          <w:tcPr>
            <w:tcW w:w="2675" w:type="dxa"/>
            <w:tcBorders>
              <w:top w:val="single" w:sz="4" w:space="0" w:color="auto"/>
              <w:bottom w:val="single" w:sz="4" w:space="0" w:color="auto"/>
            </w:tcBorders>
            <w:noWrap/>
            <w:hideMark/>
          </w:tcPr>
          <w:p w14:paraId="196F763A" w14:textId="6C5B155E" w:rsidR="00160618" w:rsidRPr="00F83B0D" w:rsidRDefault="00F83B0D" w:rsidP="00F83B0D">
            <w:pPr>
              <w:spacing w:line="276" w:lineRule="auto"/>
              <w:jc w:val="center"/>
              <w:rPr>
                <w:b/>
                <w:bCs/>
              </w:rPr>
            </w:pPr>
            <w:r w:rsidRPr="00F83B0D">
              <w:rPr>
                <w:b/>
                <w:bCs/>
              </w:rPr>
              <w:t>Buzzword in literature research</w:t>
            </w:r>
          </w:p>
        </w:tc>
        <w:tc>
          <w:tcPr>
            <w:tcW w:w="1289" w:type="dxa"/>
            <w:tcBorders>
              <w:top w:val="single" w:sz="4" w:space="0" w:color="auto"/>
              <w:bottom w:val="single" w:sz="4" w:space="0" w:color="auto"/>
            </w:tcBorders>
            <w:noWrap/>
            <w:hideMark/>
          </w:tcPr>
          <w:p w14:paraId="64173DAD" w14:textId="77777777" w:rsidR="00160618" w:rsidRPr="00F83B0D" w:rsidRDefault="00160618" w:rsidP="00F83B0D">
            <w:pPr>
              <w:spacing w:line="276" w:lineRule="auto"/>
              <w:jc w:val="center"/>
              <w:rPr>
                <w:b/>
                <w:bCs/>
              </w:rPr>
            </w:pPr>
            <w:r w:rsidRPr="00F83B0D">
              <w:rPr>
                <w:b/>
                <w:bCs/>
              </w:rPr>
              <w:t>terpene synthesis</w:t>
            </w:r>
          </w:p>
        </w:tc>
        <w:tc>
          <w:tcPr>
            <w:tcW w:w="1469" w:type="dxa"/>
            <w:tcBorders>
              <w:top w:val="single" w:sz="4" w:space="0" w:color="auto"/>
              <w:bottom w:val="single" w:sz="4" w:space="0" w:color="auto"/>
            </w:tcBorders>
            <w:noWrap/>
            <w:hideMark/>
          </w:tcPr>
          <w:p w14:paraId="6AA5EEEF" w14:textId="77777777" w:rsidR="00160618" w:rsidRPr="00F83B0D" w:rsidRDefault="00160618" w:rsidP="00F83B0D">
            <w:pPr>
              <w:spacing w:line="276" w:lineRule="auto"/>
              <w:jc w:val="center"/>
              <w:rPr>
                <w:b/>
                <w:bCs/>
              </w:rPr>
            </w:pPr>
            <w:r w:rsidRPr="00F83B0D">
              <w:rPr>
                <w:b/>
                <w:bCs/>
              </w:rPr>
              <w:t>terpenoid synthesis</w:t>
            </w:r>
          </w:p>
        </w:tc>
        <w:tc>
          <w:tcPr>
            <w:tcW w:w="1394" w:type="dxa"/>
            <w:tcBorders>
              <w:top w:val="single" w:sz="4" w:space="0" w:color="auto"/>
              <w:bottom w:val="single" w:sz="4" w:space="0" w:color="auto"/>
            </w:tcBorders>
            <w:noWrap/>
            <w:hideMark/>
          </w:tcPr>
          <w:p w14:paraId="7ACC45E6" w14:textId="77777777" w:rsidR="00160618" w:rsidRPr="00F83B0D" w:rsidRDefault="00160618" w:rsidP="00F83B0D">
            <w:pPr>
              <w:spacing w:line="276" w:lineRule="auto"/>
              <w:jc w:val="center"/>
              <w:rPr>
                <w:b/>
                <w:bCs/>
              </w:rPr>
            </w:pPr>
            <w:r w:rsidRPr="00F83B0D">
              <w:rPr>
                <w:b/>
                <w:bCs/>
              </w:rPr>
              <w:t>isoprenoid synthesis</w:t>
            </w:r>
          </w:p>
        </w:tc>
        <w:tc>
          <w:tcPr>
            <w:tcW w:w="2235" w:type="dxa"/>
            <w:tcBorders>
              <w:top w:val="single" w:sz="4" w:space="0" w:color="auto"/>
              <w:bottom w:val="single" w:sz="4" w:space="0" w:color="auto"/>
            </w:tcBorders>
            <w:noWrap/>
            <w:hideMark/>
          </w:tcPr>
          <w:p w14:paraId="09A28B29" w14:textId="77777777" w:rsidR="00160618" w:rsidRPr="00160618" w:rsidRDefault="00160618" w:rsidP="00F83B0D">
            <w:pPr>
              <w:spacing w:line="276" w:lineRule="auto"/>
            </w:pPr>
          </w:p>
        </w:tc>
      </w:tr>
      <w:tr w:rsidR="00F83B0D" w:rsidRPr="00160618" w14:paraId="3BBD8F51" w14:textId="77777777" w:rsidTr="00013F1D">
        <w:trPr>
          <w:trHeight w:val="20"/>
        </w:trPr>
        <w:tc>
          <w:tcPr>
            <w:tcW w:w="2675" w:type="dxa"/>
            <w:tcBorders>
              <w:top w:val="single" w:sz="4" w:space="0" w:color="auto"/>
              <w:right w:val="single" w:sz="4" w:space="0" w:color="auto"/>
            </w:tcBorders>
            <w:noWrap/>
            <w:hideMark/>
          </w:tcPr>
          <w:p w14:paraId="00F74392" w14:textId="77777777" w:rsidR="00160618" w:rsidRPr="00160618" w:rsidRDefault="00160618" w:rsidP="00013F1D">
            <w:pPr>
              <w:spacing w:line="276" w:lineRule="auto"/>
              <w:jc w:val="left"/>
            </w:pPr>
            <w:r w:rsidRPr="00160618">
              <w:t xml:space="preserve"> + cyclization</w:t>
            </w:r>
          </w:p>
        </w:tc>
        <w:tc>
          <w:tcPr>
            <w:tcW w:w="1289" w:type="dxa"/>
            <w:tcBorders>
              <w:top w:val="single" w:sz="4" w:space="0" w:color="auto"/>
              <w:left w:val="single" w:sz="4" w:space="0" w:color="auto"/>
            </w:tcBorders>
            <w:noWrap/>
            <w:hideMark/>
          </w:tcPr>
          <w:p w14:paraId="28E7E7C5" w14:textId="77777777" w:rsidR="00160618" w:rsidRPr="00160618" w:rsidRDefault="00160618" w:rsidP="00F83B0D">
            <w:pPr>
              <w:spacing w:line="276" w:lineRule="auto"/>
              <w:jc w:val="center"/>
            </w:pPr>
            <w:r w:rsidRPr="00160618">
              <w:t>340</w:t>
            </w:r>
          </w:p>
        </w:tc>
        <w:tc>
          <w:tcPr>
            <w:tcW w:w="1469" w:type="dxa"/>
            <w:tcBorders>
              <w:top w:val="single" w:sz="4" w:space="0" w:color="auto"/>
            </w:tcBorders>
            <w:noWrap/>
            <w:hideMark/>
          </w:tcPr>
          <w:p w14:paraId="63B33F17" w14:textId="77777777" w:rsidR="00160618" w:rsidRPr="00160618" w:rsidRDefault="00160618" w:rsidP="00F83B0D">
            <w:pPr>
              <w:spacing w:line="276" w:lineRule="auto"/>
              <w:jc w:val="center"/>
            </w:pPr>
            <w:r w:rsidRPr="00160618">
              <w:t>518</w:t>
            </w:r>
          </w:p>
        </w:tc>
        <w:tc>
          <w:tcPr>
            <w:tcW w:w="1394" w:type="dxa"/>
            <w:tcBorders>
              <w:top w:val="single" w:sz="4" w:space="0" w:color="auto"/>
            </w:tcBorders>
            <w:noWrap/>
            <w:hideMark/>
          </w:tcPr>
          <w:p w14:paraId="6E88487B" w14:textId="77777777" w:rsidR="00160618" w:rsidRPr="00160618" w:rsidRDefault="00160618" w:rsidP="00F83B0D">
            <w:pPr>
              <w:spacing w:line="276" w:lineRule="auto"/>
              <w:jc w:val="center"/>
            </w:pPr>
            <w:r w:rsidRPr="00160618">
              <w:t>86</w:t>
            </w:r>
          </w:p>
        </w:tc>
        <w:tc>
          <w:tcPr>
            <w:tcW w:w="2235" w:type="dxa"/>
            <w:tcBorders>
              <w:top w:val="single" w:sz="4" w:space="0" w:color="auto"/>
            </w:tcBorders>
            <w:noWrap/>
            <w:hideMark/>
          </w:tcPr>
          <w:p w14:paraId="7D518739" w14:textId="77777777" w:rsidR="00160618" w:rsidRPr="00160618" w:rsidRDefault="00160618" w:rsidP="00F83B0D">
            <w:pPr>
              <w:spacing w:line="276" w:lineRule="auto"/>
            </w:pPr>
          </w:p>
        </w:tc>
      </w:tr>
      <w:tr w:rsidR="00F83B0D" w:rsidRPr="00160618" w14:paraId="190DD1CC" w14:textId="77777777" w:rsidTr="00013F1D">
        <w:trPr>
          <w:trHeight w:val="20"/>
        </w:trPr>
        <w:tc>
          <w:tcPr>
            <w:tcW w:w="2675" w:type="dxa"/>
            <w:tcBorders>
              <w:right w:val="single" w:sz="4" w:space="0" w:color="auto"/>
            </w:tcBorders>
            <w:noWrap/>
            <w:hideMark/>
          </w:tcPr>
          <w:p w14:paraId="722FE8C5" w14:textId="77777777" w:rsidR="00160618" w:rsidRPr="00160618" w:rsidRDefault="00160618" w:rsidP="00013F1D">
            <w:pPr>
              <w:spacing w:line="276" w:lineRule="auto"/>
              <w:jc w:val="left"/>
            </w:pPr>
            <w:r w:rsidRPr="00160618">
              <w:t xml:space="preserve"> + cyclization + asymmetric</w:t>
            </w:r>
          </w:p>
        </w:tc>
        <w:tc>
          <w:tcPr>
            <w:tcW w:w="1289" w:type="dxa"/>
            <w:tcBorders>
              <w:left w:val="single" w:sz="4" w:space="0" w:color="auto"/>
            </w:tcBorders>
            <w:noWrap/>
            <w:hideMark/>
          </w:tcPr>
          <w:p w14:paraId="3301BF4F" w14:textId="77777777" w:rsidR="00160618" w:rsidRPr="00160618" w:rsidRDefault="00160618" w:rsidP="00F83B0D">
            <w:pPr>
              <w:spacing w:line="276" w:lineRule="auto"/>
              <w:jc w:val="center"/>
            </w:pPr>
            <w:r w:rsidRPr="00160618">
              <w:t>47</w:t>
            </w:r>
          </w:p>
        </w:tc>
        <w:tc>
          <w:tcPr>
            <w:tcW w:w="1469" w:type="dxa"/>
            <w:noWrap/>
            <w:hideMark/>
          </w:tcPr>
          <w:p w14:paraId="65150959" w14:textId="77777777" w:rsidR="00160618" w:rsidRPr="00160618" w:rsidRDefault="00160618" w:rsidP="00F83B0D">
            <w:pPr>
              <w:spacing w:line="276" w:lineRule="auto"/>
              <w:jc w:val="center"/>
            </w:pPr>
            <w:r w:rsidRPr="00160618">
              <w:t>92</w:t>
            </w:r>
          </w:p>
        </w:tc>
        <w:tc>
          <w:tcPr>
            <w:tcW w:w="1394" w:type="dxa"/>
            <w:noWrap/>
            <w:hideMark/>
          </w:tcPr>
          <w:p w14:paraId="73147864" w14:textId="77777777" w:rsidR="00160618" w:rsidRPr="00160618" w:rsidRDefault="00160618" w:rsidP="00F83B0D">
            <w:pPr>
              <w:spacing w:line="276" w:lineRule="auto"/>
              <w:jc w:val="center"/>
            </w:pPr>
            <w:r w:rsidRPr="00160618">
              <w:t>8</w:t>
            </w:r>
          </w:p>
        </w:tc>
        <w:tc>
          <w:tcPr>
            <w:tcW w:w="2235" w:type="dxa"/>
            <w:noWrap/>
            <w:hideMark/>
          </w:tcPr>
          <w:p w14:paraId="735B8518" w14:textId="77777777" w:rsidR="00160618" w:rsidRPr="00160618" w:rsidRDefault="00160618" w:rsidP="00F83B0D">
            <w:pPr>
              <w:spacing w:line="276" w:lineRule="auto"/>
            </w:pPr>
          </w:p>
        </w:tc>
      </w:tr>
      <w:tr w:rsidR="00F83B0D" w:rsidRPr="00160618" w14:paraId="7C273176" w14:textId="77777777" w:rsidTr="00013F1D">
        <w:trPr>
          <w:trHeight w:val="20"/>
        </w:trPr>
        <w:tc>
          <w:tcPr>
            <w:tcW w:w="2675" w:type="dxa"/>
            <w:tcBorders>
              <w:right w:val="single" w:sz="4" w:space="0" w:color="auto"/>
            </w:tcBorders>
            <w:noWrap/>
            <w:hideMark/>
          </w:tcPr>
          <w:p w14:paraId="42363E20" w14:textId="77777777" w:rsidR="00160618" w:rsidRPr="00160618" w:rsidRDefault="00160618" w:rsidP="00013F1D">
            <w:pPr>
              <w:spacing w:line="276" w:lineRule="auto"/>
              <w:jc w:val="left"/>
            </w:pPr>
            <w:r w:rsidRPr="00160618">
              <w:t xml:space="preserve"> + cyclization + stereoselective</w:t>
            </w:r>
          </w:p>
        </w:tc>
        <w:tc>
          <w:tcPr>
            <w:tcW w:w="1289" w:type="dxa"/>
            <w:tcBorders>
              <w:left w:val="single" w:sz="4" w:space="0" w:color="auto"/>
            </w:tcBorders>
            <w:noWrap/>
            <w:hideMark/>
          </w:tcPr>
          <w:p w14:paraId="35FA2240" w14:textId="77777777" w:rsidR="00160618" w:rsidRPr="00160618" w:rsidRDefault="00160618" w:rsidP="00F83B0D">
            <w:pPr>
              <w:spacing w:line="276" w:lineRule="auto"/>
              <w:jc w:val="center"/>
            </w:pPr>
            <w:r w:rsidRPr="00160618">
              <w:t>61</w:t>
            </w:r>
          </w:p>
        </w:tc>
        <w:tc>
          <w:tcPr>
            <w:tcW w:w="1469" w:type="dxa"/>
            <w:noWrap/>
            <w:hideMark/>
          </w:tcPr>
          <w:p w14:paraId="5800B5CF" w14:textId="77777777" w:rsidR="00160618" w:rsidRPr="00160618" w:rsidRDefault="00160618" w:rsidP="00F83B0D">
            <w:pPr>
              <w:spacing w:line="276" w:lineRule="auto"/>
              <w:jc w:val="center"/>
            </w:pPr>
            <w:r w:rsidRPr="00160618">
              <w:t>91</w:t>
            </w:r>
          </w:p>
        </w:tc>
        <w:tc>
          <w:tcPr>
            <w:tcW w:w="1394" w:type="dxa"/>
            <w:noWrap/>
            <w:hideMark/>
          </w:tcPr>
          <w:p w14:paraId="2E4BA7C2" w14:textId="77777777" w:rsidR="00160618" w:rsidRPr="00160618" w:rsidRDefault="00160618" w:rsidP="00F83B0D">
            <w:pPr>
              <w:spacing w:line="276" w:lineRule="auto"/>
              <w:jc w:val="center"/>
            </w:pPr>
            <w:r w:rsidRPr="00160618">
              <w:t>14</w:t>
            </w:r>
          </w:p>
        </w:tc>
        <w:tc>
          <w:tcPr>
            <w:tcW w:w="2235" w:type="dxa"/>
            <w:noWrap/>
            <w:hideMark/>
          </w:tcPr>
          <w:p w14:paraId="276F83FC" w14:textId="77777777" w:rsidR="00160618" w:rsidRPr="00160618" w:rsidRDefault="00160618" w:rsidP="00F83B0D">
            <w:pPr>
              <w:spacing w:line="276" w:lineRule="auto"/>
            </w:pPr>
          </w:p>
        </w:tc>
      </w:tr>
      <w:tr w:rsidR="00F83B0D" w:rsidRPr="00160618" w14:paraId="64AAFB0A" w14:textId="77777777" w:rsidTr="00013F1D">
        <w:trPr>
          <w:trHeight w:val="20"/>
        </w:trPr>
        <w:tc>
          <w:tcPr>
            <w:tcW w:w="2675" w:type="dxa"/>
            <w:tcBorders>
              <w:right w:val="single" w:sz="4" w:space="0" w:color="auto"/>
            </w:tcBorders>
            <w:noWrap/>
            <w:hideMark/>
          </w:tcPr>
          <w:p w14:paraId="06A170AF" w14:textId="77777777" w:rsidR="00160618" w:rsidRPr="00160618" w:rsidRDefault="00160618" w:rsidP="00013F1D">
            <w:pPr>
              <w:spacing w:line="276" w:lineRule="auto"/>
              <w:jc w:val="left"/>
            </w:pPr>
            <w:r w:rsidRPr="00160618">
              <w:t xml:space="preserve"> + cyclization + stereocontrolled</w:t>
            </w:r>
          </w:p>
        </w:tc>
        <w:tc>
          <w:tcPr>
            <w:tcW w:w="1289" w:type="dxa"/>
            <w:tcBorders>
              <w:left w:val="single" w:sz="4" w:space="0" w:color="auto"/>
            </w:tcBorders>
            <w:noWrap/>
            <w:hideMark/>
          </w:tcPr>
          <w:p w14:paraId="7A6CA3F1" w14:textId="77777777" w:rsidR="00160618" w:rsidRPr="00160618" w:rsidRDefault="00160618" w:rsidP="00F83B0D">
            <w:pPr>
              <w:spacing w:line="276" w:lineRule="auto"/>
              <w:jc w:val="center"/>
            </w:pPr>
            <w:r w:rsidRPr="00160618">
              <w:t>25</w:t>
            </w:r>
          </w:p>
        </w:tc>
        <w:tc>
          <w:tcPr>
            <w:tcW w:w="1469" w:type="dxa"/>
            <w:noWrap/>
            <w:hideMark/>
          </w:tcPr>
          <w:p w14:paraId="34DA417F" w14:textId="77777777" w:rsidR="00160618" w:rsidRPr="00160618" w:rsidRDefault="00160618" w:rsidP="00F83B0D">
            <w:pPr>
              <w:spacing w:line="276" w:lineRule="auto"/>
              <w:jc w:val="center"/>
            </w:pPr>
            <w:r w:rsidRPr="00160618">
              <w:t>23</w:t>
            </w:r>
          </w:p>
        </w:tc>
        <w:tc>
          <w:tcPr>
            <w:tcW w:w="1394" w:type="dxa"/>
            <w:noWrap/>
            <w:hideMark/>
          </w:tcPr>
          <w:p w14:paraId="340F832C" w14:textId="77777777" w:rsidR="00160618" w:rsidRPr="00160618" w:rsidRDefault="00160618" w:rsidP="00F83B0D">
            <w:pPr>
              <w:spacing w:line="276" w:lineRule="auto"/>
              <w:jc w:val="center"/>
            </w:pPr>
            <w:r w:rsidRPr="00160618">
              <w:t>6</w:t>
            </w:r>
          </w:p>
        </w:tc>
        <w:tc>
          <w:tcPr>
            <w:tcW w:w="2235" w:type="dxa"/>
            <w:noWrap/>
            <w:hideMark/>
          </w:tcPr>
          <w:p w14:paraId="52280740" w14:textId="77777777" w:rsidR="00160618" w:rsidRPr="00160618" w:rsidRDefault="00160618" w:rsidP="00F83B0D">
            <w:pPr>
              <w:spacing w:line="276" w:lineRule="auto"/>
            </w:pPr>
          </w:p>
        </w:tc>
      </w:tr>
      <w:tr w:rsidR="00F83B0D" w:rsidRPr="00160618" w14:paraId="7E28D453" w14:textId="77777777" w:rsidTr="00013F1D">
        <w:trPr>
          <w:trHeight w:val="20"/>
        </w:trPr>
        <w:tc>
          <w:tcPr>
            <w:tcW w:w="2675" w:type="dxa"/>
            <w:tcBorders>
              <w:right w:val="single" w:sz="4" w:space="0" w:color="auto"/>
            </w:tcBorders>
            <w:noWrap/>
            <w:hideMark/>
          </w:tcPr>
          <w:p w14:paraId="0E6D91D7" w14:textId="77777777" w:rsidR="00160618" w:rsidRPr="00160618" w:rsidRDefault="00160618" w:rsidP="00013F1D">
            <w:pPr>
              <w:spacing w:line="276" w:lineRule="auto"/>
              <w:jc w:val="left"/>
            </w:pPr>
            <w:r w:rsidRPr="00160618">
              <w:t xml:space="preserve"> + cationic cyclization</w:t>
            </w:r>
          </w:p>
        </w:tc>
        <w:tc>
          <w:tcPr>
            <w:tcW w:w="1289" w:type="dxa"/>
            <w:tcBorders>
              <w:left w:val="single" w:sz="4" w:space="0" w:color="auto"/>
            </w:tcBorders>
            <w:noWrap/>
            <w:hideMark/>
          </w:tcPr>
          <w:p w14:paraId="1C80AB77" w14:textId="77777777" w:rsidR="00160618" w:rsidRPr="00160618" w:rsidRDefault="00160618" w:rsidP="00F83B0D">
            <w:pPr>
              <w:spacing w:line="276" w:lineRule="auto"/>
              <w:jc w:val="center"/>
            </w:pPr>
            <w:r w:rsidRPr="00160618">
              <w:t>23</w:t>
            </w:r>
          </w:p>
        </w:tc>
        <w:tc>
          <w:tcPr>
            <w:tcW w:w="1469" w:type="dxa"/>
            <w:noWrap/>
            <w:hideMark/>
          </w:tcPr>
          <w:p w14:paraId="0F3EBD37" w14:textId="77777777" w:rsidR="00160618" w:rsidRPr="00160618" w:rsidRDefault="00160618" w:rsidP="00F83B0D">
            <w:pPr>
              <w:spacing w:line="276" w:lineRule="auto"/>
              <w:jc w:val="center"/>
            </w:pPr>
            <w:r w:rsidRPr="00160618">
              <w:t>32</w:t>
            </w:r>
          </w:p>
        </w:tc>
        <w:tc>
          <w:tcPr>
            <w:tcW w:w="1394" w:type="dxa"/>
            <w:noWrap/>
            <w:hideMark/>
          </w:tcPr>
          <w:p w14:paraId="74ED974E" w14:textId="77777777" w:rsidR="00160618" w:rsidRPr="00160618" w:rsidRDefault="00160618" w:rsidP="00F83B0D">
            <w:pPr>
              <w:spacing w:line="276" w:lineRule="auto"/>
              <w:jc w:val="center"/>
            </w:pPr>
            <w:r w:rsidRPr="00160618">
              <w:t>3</w:t>
            </w:r>
          </w:p>
        </w:tc>
        <w:tc>
          <w:tcPr>
            <w:tcW w:w="2235" w:type="dxa"/>
            <w:noWrap/>
            <w:hideMark/>
          </w:tcPr>
          <w:p w14:paraId="59D2919B" w14:textId="77777777" w:rsidR="00160618" w:rsidRPr="00160618" w:rsidRDefault="00160618" w:rsidP="00F83B0D">
            <w:pPr>
              <w:spacing w:line="276" w:lineRule="auto"/>
            </w:pPr>
          </w:p>
        </w:tc>
      </w:tr>
      <w:tr w:rsidR="00F83B0D" w:rsidRPr="00160618" w14:paraId="60C8EB70" w14:textId="77777777" w:rsidTr="00013F1D">
        <w:trPr>
          <w:trHeight w:val="20"/>
        </w:trPr>
        <w:tc>
          <w:tcPr>
            <w:tcW w:w="2675" w:type="dxa"/>
            <w:tcBorders>
              <w:right w:val="single" w:sz="4" w:space="0" w:color="auto"/>
            </w:tcBorders>
            <w:noWrap/>
            <w:hideMark/>
          </w:tcPr>
          <w:p w14:paraId="7F667F5E" w14:textId="77777777" w:rsidR="00160618" w:rsidRPr="00160618" w:rsidRDefault="00160618" w:rsidP="00013F1D">
            <w:pPr>
              <w:spacing w:line="276" w:lineRule="auto"/>
              <w:jc w:val="left"/>
            </w:pPr>
            <w:r w:rsidRPr="00160618">
              <w:t xml:space="preserve"> + cationic cyclization + asymmetric</w:t>
            </w:r>
          </w:p>
        </w:tc>
        <w:tc>
          <w:tcPr>
            <w:tcW w:w="1289" w:type="dxa"/>
            <w:tcBorders>
              <w:left w:val="single" w:sz="4" w:space="0" w:color="auto"/>
            </w:tcBorders>
            <w:noWrap/>
            <w:hideMark/>
          </w:tcPr>
          <w:p w14:paraId="1A3125DF" w14:textId="77777777" w:rsidR="00160618" w:rsidRPr="00160618" w:rsidRDefault="00160618" w:rsidP="00F83B0D">
            <w:pPr>
              <w:spacing w:line="276" w:lineRule="auto"/>
              <w:jc w:val="center"/>
            </w:pPr>
            <w:r w:rsidRPr="00160618">
              <w:t>3</w:t>
            </w:r>
          </w:p>
        </w:tc>
        <w:tc>
          <w:tcPr>
            <w:tcW w:w="1469" w:type="dxa"/>
            <w:noWrap/>
            <w:hideMark/>
          </w:tcPr>
          <w:p w14:paraId="6A86A511" w14:textId="77777777" w:rsidR="00160618" w:rsidRPr="00160618" w:rsidRDefault="00160618" w:rsidP="00F83B0D">
            <w:pPr>
              <w:spacing w:line="276" w:lineRule="auto"/>
              <w:jc w:val="center"/>
            </w:pPr>
            <w:r w:rsidRPr="00160618">
              <w:t>7</w:t>
            </w:r>
          </w:p>
        </w:tc>
        <w:tc>
          <w:tcPr>
            <w:tcW w:w="1394" w:type="dxa"/>
            <w:noWrap/>
            <w:hideMark/>
          </w:tcPr>
          <w:p w14:paraId="4A775AD6" w14:textId="77777777" w:rsidR="00160618" w:rsidRPr="00160618" w:rsidRDefault="00160618" w:rsidP="00F83B0D">
            <w:pPr>
              <w:spacing w:line="276" w:lineRule="auto"/>
              <w:jc w:val="center"/>
            </w:pPr>
            <w:r w:rsidRPr="00160618">
              <w:t>0</w:t>
            </w:r>
          </w:p>
        </w:tc>
        <w:tc>
          <w:tcPr>
            <w:tcW w:w="2235" w:type="dxa"/>
            <w:noWrap/>
            <w:hideMark/>
          </w:tcPr>
          <w:p w14:paraId="5FE49F87" w14:textId="77777777" w:rsidR="00160618" w:rsidRPr="00160618" w:rsidRDefault="00160618" w:rsidP="00F83B0D">
            <w:pPr>
              <w:spacing w:line="276" w:lineRule="auto"/>
            </w:pPr>
          </w:p>
        </w:tc>
      </w:tr>
      <w:tr w:rsidR="00F83B0D" w:rsidRPr="00160618" w14:paraId="0B69A5A2" w14:textId="77777777" w:rsidTr="00013F1D">
        <w:trPr>
          <w:trHeight w:val="20"/>
        </w:trPr>
        <w:tc>
          <w:tcPr>
            <w:tcW w:w="2675" w:type="dxa"/>
            <w:tcBorders>
              <w:right w:val="single" w:sz="4" w:space="0" w:color="auto"/>
            </w:tcBorders>
            <w:noWrap/>
            <w:hideMark/>
          </w:tcPr>
          <w:p w14:paraId="16FD0906" w14:textId="77777777" w:rsidR="00160618" w:rsidRPr="00160618" w:rsidRDefault="00160618" w:rsidP="00013F1D">
            <w:pPr>
              <w:spacing w:line="276" w:lineRule="auto"/>
              <w:jc w:val="left"/>
            </w:pPr>
            <w:r w:rsidRPr="00160618">
              <w:t xml:space="preserve"> + cationic cyclization + stereoselective</w:t>
            </w:r>
          </w:p>
        </w:tc>
        <w:tc>
          <w:tcPr>
            <w:tcW w:w="1289" w:type="dxa"/>
            <w:tcBorders>
              <w:left w:val="single" w:sz="4" w:space="0" w:color="auto"/>
            </w:tcBorders>
            <w:noWrap/>
            <w:hideMark/>
          </w:tcPr>
          <w:p w14:paraId="044FDCC9" w14:textId="77777777" w:rsidR="00160618" w:rsidRPr="00160618" w:rsidRDefault="00160618" w:rsidP="00F83B0D">
            <w:pPr>
              <w:spacing w:line="276" w:lineRule="auto"/>
              <w:jc w:val="center"/>
            </w:pPr>
            <w:r w:rsidRPr="00160618">
              <w:t>4</w:t>
            </w:r>
          </w:p>
        </w:tc>
        <w:tc>
          <w:tcPr>
            <w:tcW w:w="1469" w:type="dxa"/>
            <w:noWrap/>
            <w:hideMark/>
          </w:tcPr>
          <w:p w14:paraId="06D5C7F1" w14:textId="77777777" w:rsidR="00160618" w:rsidRPr="00160618" w:rsidRDefault="00160618" w:rsidP="00F83B0D">
            <w:pPr>
              <w:spacing w:line="276" w:lineRule="auto"/>
              <w:jc w:val="center"/>
            </w:pPr>
            <w:r w:rsidRPr="00160618">
              <w:t>2</w:t>
            </w:r>
          </w:p>
        </w:tc>
        <w:tc>
          <w:tcPr>
            <w:tcW w:w="1394" w:type="dxa"/>
            <w:noWrap/>
            <w:hideMark/>
          </w:tcPr>
          <w:p w14:paraId="52640F83" w14:textId="77777777" w:rsidR="00160618" w:rsidRPr="00160618" w:rsidRDefault="00160618" w:rsidP="00F83B0D">
            <w:pPr>
              <w:spacing w:line="276" w:lineRule="auto"/>
              <w:jc w:val="center"/>
            </w:pPr>
            <w:r w:rsidRPr="00160618">
              <w:t>0</w:t>
            </w:r>
          </w:p>
        </w:tc>
        <w:tc>
          <w:tcPr>
            <w:tcW w:w="2235" w:type="dxa"/>
            <w:noWrap/>
            <w:hideMark/>
          </w:tcPr>
          <w:p w14:paraId="63B3FFCF" w14:textId="77777777" w:rsidR="00160618" w:rsidRPr="00160618" w:rsidRDefault="00160618" w:rsidP="00F83B0D">
            <w:pPr>
              <w:spacing w:line="276" w:lineRule="auto"/>
            </w:pPr>
          </w:p>
        </w:tc>
      </w:tr>
      <w:tr w:rsidR="00F83B0D" w:rsidRPr="00160618" w14:paraId="697B6496" w14:textId="77777777" w:rsidTr="00013F1D">
        <w:trPr>
          <w:trHeight w:val="20"/>
        </w:trPr>
        <w:tc>
          <w:tcPr>
            <w:tcW w:w="2675" w:type="dxa"/>
            <w:tcBorders>
              <w:bottom w:val="single" w:sz="4" w:space="0" w:color="auto"/>
              <w:right w:val="single" w:sz="4" w:space="0" w:color="auto"/>
            </w:tcBorders>
            <w:noWrap/>
            <w:hideMark/>
          </w:tcPr>
          <w:p w14:paraId="6F03EDDF" w14:textId="77777777" w:rsidR="00160618" w:rsidRPr="00160618" w:rsidRDefault="00160618" w:rsidP="00013F1D">
            <w:pPr>
              <w:spacing w:line="276" w:lineRule="auto"/>
              <w:jc w:val="left"/>
            </w:pPr>
            <w:r w:rsidRPr="00160618">
              <w:t xml:space="preserve"> + cationic cyclization + stereocontrolled</w:t>
            </w:r>
          </w:p>
        </w:tc>
        <w:tc>
          <w:tcPr>
            <w:tcW w:w="1289" w:type="dxa"/>
            <w:tcBorders>
              <w:left w:val="single" w:sz="4" w:space="0" w:color="auto"/>
              <w:bottom w:val="single" w:sz="4" w:space="0" w:color="auto"/>
            </w:tcBorders>
            <w:noWrap/>
            <w:hideMark/>
          </w:tcPr>
          <w:p w14:paraId="04C982CB" w14:textId="77777777" w:rsidR="00160618" w:rsidRPr="00160618" w:rsidRDefault="00160618" w:rsidP="00F83B0D">
            <w:pPr>
              <w:spacing w:line="276" w:lineRule="auto"/>
              <w:jc w:val="center"/>
            </w:pPr>
            <w:r w:rsidRPr="00160618">
              <w:t>2</w:t>
            </w:r>
          </w:p>
        </w:tc>
        <w:tc>
          <w:tcPr>
            <w:tcW w:w="1469" w:type="dxa"/>
            <w:tcBorders>
              <w:bottom w:val="single" w:sz="4" w:space="0" w:color="auto"/>
            </w:tcBorders>
            <w:noWrap/>
            <w:hideMark/>
          </w:tcPr>
          <w:p w14:paraId="41AB661C" w14:textId="77777777" w:rsidR="00160618" w:rsidRPr="00160618" w:rsidRDefault="00160618" w:rsidP="00F83B0D">
            <w:pPr>
              <w:spacing w:line="276" w:lineRule="auto"/>
              <w:jc w:val="center"/>
            </w:pPr>
            <w:r w:rsidRPr="00160618">
              <w:t>1</w:t>
            </w:r>
          </w:p>
        </w:tc>
        <w:tc>
          <w:tcPr>
            <w:tcW w:w="1394" w:type="dxa"/>
            <w:tcBorders>
              <w:bottom w:val="single" w:sz="4" w:space="0" w:color="auto"/>
            </w:tcBorders>
            <w:noWrap/>
            <w:hideMark/>
          </w:tcPr>
          <w:p w14:paraId="67791B22" w14:textId="77777777" w:rsidR="00160618" w:rsidRPr="00160618" w:rsidRDefault="00160618" w:rsidP="00F83B0D">
            <w:pPr>
              <w:spacing w:line="276" w:lineRule="auto"/>
              <w:jc w:val="center"/>
            </w:pPr>
            <w:r w:rsidRPr="00160618">
              <w:t>1</w:t>
            </w:r>
          </w:p>
        </w:tc>
        <w:tc>
          <w:tcPr>
            <w:tcW w:w="2235" w:type="dxa"/>
            <w:tcBorders>
              <w:bottom w:val="single" w:sz="4" w:space="0" w:color="auto"/>
            </w:tcBorders>
            <w:noWrap/>
            <w:hideMark/>
          </w:tcPr>
          <w:p w14:paraId="2C12D4D3" w14:textId="77777777" w:rsidR="00160618" w:rsidRPr="00160618" w:rsidRDefault="00160618" w:rsidP="00F83B0D">
            <w:pPr>
              <w:spacing w:line="276" w:lineRule="auto"/>
            </w:pPr>
          </w:p>
        </w:tc>
      </w:tr>
      <w:tr w:rsidR="00F83B0D" w:rsidRPr="00160618" w14:paraId="04A31F48" w14:textId="77777777" w:rsidTr="00165F04">
        <w:trPr>
          <w:trHeight w:val="20"/>
        </w:trPr>
        <w:tc>
          <w:tcPr>
            <w:tcW w:w="2675" w:type="dxa"/>
            <w:tcBorders>
              <w:top w:val="single" w:sz="4" w:space="0" w:color="auto"/>
              <w:bottom w:val="single" w:sz="4" w:space="0" w:color="auto"/>
              <w:right w:val="single" w:sz="4" w:space="0" w:color="auto"/>
            </w:tcBorders>
            <w:noWrap/>
            <w:hideMark/>
          </w:tcPr>
          <w:p w14:paraId="3DCEC8B3" w14:textId="77777777" w:rsidR="00160618" w:rsidRPr="00F83B0D" w:rsidRDefault="00160618" w:rsidP="00F83B0D">
            <w:pPr>
              <w:spacing w:line="276" w:lineRule="auto"/>
              <w:rPr>
                <w:b/>
                <w:bCs/>
              </w:rPr>
            </w:pPr>
            <w:r w:rsidRPr="00F83B0D">
              <w:rPr>
                <w:b/>
                <w:bCs/>
              </w:rPr>
              <w:t>Total</w:t>
            </w:r>
          </w:p>
        </w:tc>
        <w:tc>
          <w:tcPr>
            <w:tcW w:w="1289" w:type="dxa"/>
            <w:tcBorders>
              <w:top w:val="single" w:sz="4" w:space="0" w:color="auto"/>
              <w:left w:val="single" w:sz="4" w:space="0" w:color="auto"/>
              <w:bottom w:val="single" w:sz="4" w:space="0" w:color="auto"/>
            </w:tcBorders>
            <w:noWrap/>
            <w:hideMark/>
          </w:tcPr>
          <w:p w14:paraId="40F65EAF" w14:textId="77777777" w:rsidR="00160618" w:rsidRPr="00160618" w:rsidRDefault="00160618" w:rsidP="00F83B0D">
            <w:pPr>
              <w:spacing w:line="276" w:lineRule="auto"/>
              <w:jc w:val="center"/>
            </w:pPr>
            <w:r w:rsidRPr="00160618">
              <w:t>2771</w:t>
            </w:r>
          </w:p>
        </w:tc>
        <w:tc>
          <w:tcPr>
            <w:tcW w:w="1469" w:type="dxa"/>
            <w:tcBorders>
              <w:top w:val="single" w:sz="4" w:space="0" w:color="auto"/>
              <w:bottom w:val="single" w:sz="4" w:space="0" w:color="auto"/>
            </w:tcBorders>
            <w:noWrap/>
            <w:hideMark/>
          </w:tcPr>
          <w:p w14:paraId="469B2961" w14:textId="77777777" w:rsidR="00160618" w:rsidRPr="00160618" w:rsidRDefault="00160618" w:rsidP="00F83B0D">
            <w:pPr>
              <w:spacing w:line="276" w:lineRule="auto"/>
              <w:jc w:val="center"/>
            </w:pPr>
            <w:r w:rsidRPr="00160618">
              <w:t>3500</w:t>
            </w:r>
          </w:p>
        </w:tc>
        <w:tc>
          <w:tcPr>
            <w:tcW w:w="1394" w:type="dxa"/>
            <w:tcBorders>
              <w:top w:val="single" w:sz="4" w:space="0" w:color="auto"/>
              <w:bottom w:val="single" w:sz="4" w:space="0" w:color="auto"/>
              <w:right w:val="single" w:sz="4" w:space="0" w:color="auto"/>
            </w:tcBorders>
            <w:noWrap/>
            <w:hideMark/>
          </w:tcPr>
          <w:p w14:paraId="498F44DB" w14:textId="77777777" w:rsidR="00160618" w:rsidRPr="00160618" w:rsidRDefault="00160618" w:rsidP="00F83B0D">
            <w:pPr>
              <w:spacing w:line="276" w:lineRule="auto"/>
              <w:jc w:val="center"/>
            </w:pPr>
            <w:r w:rsidRPr="00160618">
              <w:t>2437</w:t>
            </w:r>
          </w:p>
        </w:tc>
        <w:tc>
          <w:tcPr>
            <w:tcW w:w="2235" w:type="dxa"/>
            <w:tcBorders>
              <w:top w:val="single" w:sz="4" w:space="0" w:color="auto"/>
              <w:left w:val="single" w:sz="4" w:space="0" w:color="auto"/>
              <w:bottom w:val="single" w:sz="4" w:space="0" w:color="auto"/>
            </w:tcBorders>
            <w:noWrap/>
            <w:hideMark/>
          </w:tcPr>
          <w:p w14:paraId="18515E80" w14:textId="77777777" w:rsidR="00160618" w:rsidRPr="00160618" w:rsidRDefault="00160618" w:rsidP="00F83B0D">
            <w:pPr>
              <w:spacing w:line="276" w:lineRule="auto"/>
            </w:pPr>
          </w:p>
        </w:tc>
      </w:tr>
      <w:tr w:rsidR="00F83B0D" w:rsidRPr="00160618" w14:paraId="1889DE07" w14:textId="77777777" w:rsidTr="00F83B0D">
        <w:trPr>
          <w:trHeight w:val="20"/>
        </w:trPr>
        <w:tc>
          <w:tcPr>
            <w:tcW w:w="2675" w:type="dxa"/>
            <w:tcBorders>
              <w:top w:val="single" w:sz="4" w:space="0" w:color="auto"/>
              <w:bottom w:val="single" w:sz="4" w:space="0" w:color="auto"/>
              <w:right w:val="single" w:sz="4" w:space="0" w:color="auto"/>
            </w:tcBorders>
            <w:noWrap/>
            <w:hideMark/>
          </w:tcPr>
          <w:p w14:paraId="00F3CB47" w14:textId="0EBD4FDA" w:rsidR="00160618" w:rsidRPr="00160618" w:rsidRDefault="00160618" w:rsidP="00F83B0D">
            <w:pPr>
              <w:spacing w:line="276" w:lineRule="auto"/>
            </w:pPr>
            <w:r w:rsidRPr="00F83B0D">
              <w:rPr>
                <w:b/>
                <w:bCs/>
              </w:rPr>
              <w:t>Share</w:t>
            </w:r>
            <w:r w:rsidRPr="00160618">
              <w:t xml:space="preserve"> [%]</w:t>
            </w:r>
          </w:p>
        </w:tc>
        <w:tc>
          <w:tcPr>
            <w:tcW w:w="1289" w:type="dxa"/>
            <w:tcBorders>
              <w:top w:val="single" w:sz="4" w:space="0" w:color="auto"/>
              <w:left w:val="single" w:sz="4" w:space="0" w:color="auto"/>
              <w:bottom w:val="single" w:sz="4" w:space="0" w:color="auto"/>
            </w:tcBorders>
            <w:noWrap/>
            <w:hideMark/>
          </w:tcPr>
          <w:p w14:paraId="23CA0629" w14:textId="77777777" w:rsidR="00160618" w:rsidRPr="00160618" w:rsidRDefault="00160618" w:rsidP="00F83B0D">
            <w:pPr>
              <w:spacing w:line="276" w:lineRule="auto"/>
              <w:jc w:val="center"/>
            </w:pPr>
          </w:p>
        </w:tc>
        <w:tc>
          <w:tcPr>
            <w:tcW w:w="1469" w:type="dxa"/>
            <w:tcBorders>
              <w:top w:val="single" w:sz="4" w:space="0" w:color="auto"/>
              <w:bottom w:val="single" w:sz="4" w:space="0" w:color="auto"/>
            </w:tcBorders>
            <w:noWrap/>
            <w:hideMark/>
          </w:tcPr>
          <w:p w14:paraId="185B228C" w14:textId="77777777" w:rsidR="00160618" w:rsidRPr="00160618" w:rsidRDefault="00160618" w:rsidP="00F83B0D">
            <w:pPr>
              <w:spacing w:line="276" w:lineRule="auto"/>
              <w:jc w:val="center"/>
            </w:pPr>
          </w:p>
        </w:tc>
        <w:tc>
          <w:tcPr>
            <w:tcW w:w="1394" w:type="dxa"/>
            <w:tcBorders>
              <w:top w:val="single" w:sz="4" w:space="0" w:color="auto"/>
              <w:bottom w:val="single" w:sz="4" w:space="0" w:color="auto"/>
              <w:right w:val="single" w:sz="4" w:space="0" w:color="auto"/>
            </w:tcBorders>
            <w:noWrap/>
            <w:hideMark/>
          </w:tcPr>
          <w:p w14:paraId="7B49170E" w14:textId="77777777" w:rsidR="00160618" w:rsidRPr="00160618" w:rsidRDefault="00160618" w:rsidP="00F83B0D">
            <w:pPr>
              <w:spacing w:line="276" w:lineRule="auto"/>
              <w:jc w:val="center"/>
            </w:pPr>
          </w:p>
        </w:tc>
        <w:tc>
          <w:tcPr>
            <w:tcW w:w="2235" w:type="dxa"/>
            <w:tcBorders>
              <w:top w:val="single" w:sz="4" w:space="0" w:color="auto"/>
              <w:left w:val="single" w:sz="4" w:space="0" w:color="auto"/>
              <w:bottom w:val="single" w:sz="4" w:space="0" w:color="auto"/>
            </w:tcBorders>
            <w:noWrap/>
            <w:hideMark/>
          </w:tcPr>
          <w:p w14:paraId="3E067380" w14:textId="0DE25357" w:rsidR="00160618" w:rsidRPr="00F83B0D" w:rsidRDefault="00160618" w:rsidP="00F83B0D">
            <w:pPr>
              <w:spacing w:line="276" w:lineRule="auto"/>
              <w:jc w:val="center"/>
              <w:rPr>
                <w:b/>
                <w:bCs/>
              </w:rPr>
            </w:pPr>
            <w:r w:rsidRPr="00F83B0D">
              <w:rPr>
                <w:b/>
                <w:bCs/>
              </w:rPr>
              <w:t>Average</w:t>
            </w:r>
            <w:r w:rsidR="00F012D2">
              <w:rPr>
                <w:b/>
                <w:bCs/>
              </w:rPr>
              <w:t xml:space="preserve"> [%]</w:t>
            </w:r>
          </w:p>
        </w:tc>
      </w:tr>
      <w:tr w:rsidR="00F83B0D" w:rsidRPr="00160618" w14:paraId="5521664B" w14:textId="77777777" w:rsidTr="00F83B0D">
        <w:trPr>
          <w:trHeight w:val="20"/>
        </w:trPr>
        <w:tc>
          <w:tcPr>
            <w:tcW w:w="2675" w:type="dxa"/>
            <w:tcBorders>
              <w:top w:val="single" w:sz="4" w:space="0" w:color="auto"/>
              <w:right w:val="single" w:sz="4" w:space="0" w:color="auto"/>
            </w:tcBorders>
            <w:noWrap/>
            <w:hideMark/>
          </w:tcPr>
          <w:p w14:paraId="7C1774ED" w14:textId="77777777" w:rsidR="00160618" w:rsidRPr="00160618" w:rsidRDefault="00160618" w:rsidP="00F83B0D">
            <w:pPr>
              <w:spacing w:line="276" w:lineRule="auto"/>
            </w:pPr>
            <w:r w:rsidRPr="00160618">
              <w:t>cyclizations</w:t>
            </w:r>
          </w:p>
        </w:tc>
        <w:tc>
          <w:tcPr>
            <w:tcW w:w="1289" w:type="dxa"/>
            <w:tcBorders>
              <w:top w:val="single" w:sz="4" w:space="0" w:color="auto"/>
              <w:left w:val="single" w:sz="4" w:space="0" w:color="auto"/>
            </w:tcBorders>
            <w:noWrap/>
            <w:hideMark/>
          </w:tcPr>
          <w:p w14:paraId="2AEDA5C1" w14:textId="77777777" w:rsidR="00160618" w:rsidRPr="00160618" w:rsidRDefault="00160618" w:rsidP="00F83B0D">
            <w:pPr>
              <w:spacing w:line="276" w:lineRule="auto"/>
              <w:jc w:val="center"/>
            </w:pPr>
            <w:r w:rsidRPr="00160618">
              <w:t>12.3</w:t>
            </w:r>
          </w:p>
        </w:tc>
        <w:tc>
          <w:tcPr>
            <w:tcW w:w="1469" w:type="dxa"/>
            <w:tcBorders>
              <w:top w:val="single" w:sz="4" w:space="0" w:color="auto"/>
            </w:tcBorders>
            <w:noWrap/>
            <w:hideMark/>
          </w:tcPr>
          <w:p w14:paraId="79FCA81D" w14:textId="77777777" w:rsidR="00160618" w:rsidRPr="00160618" w:rsidRDefault="00160618" w:rsidP="00F83B0D">
            <w:pPr>
              <w:spacing w:line="276" w:lineRule="auto"/>
              <w:jc w:val="center"/>
            </w:pPr>
            <w:r w:rsidRPr="00160618">
              <w:t>14.8</w:t>
            </w:r>
          </w:p>
        </w:tc>
        <w:tc>
          <w:tcPr>
            <w:tcW w:w="1394" w:type="dxa"/>
            <w:tcBorders>
              <w:top w:val="single" w:sz="4" w:space="0" w:color="auto"/>
              <w:right w:val="single" w:sz="4" w:space="0" w:color="auto"/>
            </w:tcBorders>
            <w:noWrap/>
            <w:hideMark/>
          </w:tcPr>
          <w:p w14:paraId="6CCA59EB" w14:textId="77777777" w:rsidR="00160618" w:rsidRPr="00160618" w:rsidRDefault="00160618" w:rsidP="00F83B0D">
            <w:pPr>
              <w:spacing w:line="276" w:lineRule="auto"/>
              <w:jc w:val="center"/>
            </w:pPr>
            <w:r w:rsidRPr="00160618">
              <w:t>3.5</w:t>
            </w:r>
          </w:p>
        </w:tc>
        <w:tc>
          <w:tcPr>
            <w:tcW w:w="2235" w:type="dxa"/>
            <w:tcBorders>
              <w:top w:val="single" w:sz="4" w:space="0" w:color="auto"/>
              <w:left w:val="single" w:sz="4" w:space="0" w:color="auto"/>
            </w:tcBorders>
            <w:noWrap/>
            <w:hideMark/>
          </w:tcPr>
          <w:p w14:paraId="29E8701A" w14:textId="1DB13779" w:rsidR="00160618" w:rsidRPr="00160618" w:rsidRDefault="00160618" w:rsidP="00F83B0D">
            <w:pPr>
              <w:spacing w:line="276" w:lineRule="auto"/>
              <w:jc w:val="center"/>
            </w:pPr>
            <w:r w:rsidRPr="00160618">
              <w:t>10.</w:t>
            </w:r>
            <w:r w:rsidR="00F83B0D">
              <w:t>2</w:t>
            </w:r>
          </w:p>
        </w:tc>
      </w:tr>
      <w:tr w:rsidR="00F83B0D" w:rsidRPr="00160618" w14:paraId="7501740A" w14:textId="77777777" w:rsidTr="00F83B0D">
        <w:trPr>
          <w:trHeight w:val="20"/>
        </w:trPr>
        <w:tc>
          <w:tcPr>
            <w:tcW w:w="2675" w:type="dxa"/>
            <w:tcBorders>
              <w:right w:val="single" w:sz="4" w:space="0" w:color="auto"/>
            </w:tcBorders>
            <w:noWrap/>
            <w:hideMark/>
          </w:tcPr>
          <w:p w14:paraId="7D5E24B5" w14:textId="77777777" w:rsidR="00160618" w:rsidRPr="00160618" w:rsidRDefault="00160618" w:rsidP="00F83B0D">
            <w:pPr>
              <w:spacing w:line="276" w:lineRule="auto"/>
            </w:pPr>
            <w:r w:rsidRPr="00160618">
              <w:t>stereocontrolled cyclizations</w:t>
            </w:r>
          </w:p>
        </w:tc>
        <w:tc>
          <w:tcPr>
            <w:tcW w:w="1289" w:type="dxa"/>
            <w:tcBorders>
              <w:left w:val="single" w:sz="4" w:space="0" w:color="auto"/>
            </w:tcBorders>
            <w:noWrap/>
            <w:hideMark/>
          </w:tcPr>
          <w:p w14:paraId="1FB32F50" w14:textId="77777777" w:rsidR="00160618" w:rsidRPr="00160618" w:rsidRDefault="00160618" w:rsidP="00F83B0D">
            <w:pPr>
              <w:spacing w:line="276" w:lineRule="auto"/>
              <w:jc w:val="center"/>
            </w:pPr>
            <w:r w:rsidRPr="00160618">
              <w:t>4.8</w:t>
            </w:r>
          </w:p>
        </w:tc>
        <w:tc>
          <w:tcPr>
            <w:tcW w:w="1469" w:type="dxa"/>
            <w:noWrap/>
            <w:hideMark/>
          </w:tcPr>
          <w:p w14:paraId="382AD7C5" w14:textId="77777777" w:rsidR="00160618" w:rsidRPr="00160618" w:rsidRDefault="00160618" w:rsidP="00F83B0D">
            <w:pPr>
              <w:spacing w:line="276" w:lineRule="auto"/>
              <w:jc w:val="center"/>
            </w:pPr>
            <w:r w:rsidRPr="00160618">
              <w:t>5.9</w:t>
            </w:r>
          </w:p>
        </w:tc>
        <w:tc>
          <w:tcPr>
            <w:tcW w:w="1394" w:type="dxa"/>
            <w:tcBorders>
              <w:right w:val="single" w:sz="4" w:space="0" w:color="auto"/>
            </w:tcBorders>
            <w:noWrap/>
            <w:hideMark/>
          </w:tcPr>
          <w:p w14:paraId="5EA473E3" w14:textId="77777777" w:rsidR="00160618" w:rsidRPr="00160618" w:rsidRDefault="00160618" w:rsidP="00F83B0D">
            <w:pPr>
              <w:spacing w:line="276" w:lineRule="auto"/>
              <w:jc w:val="center"/>
            </w:pPr>
            <w:r w:rsidRPr="00160618">
              <w:t>1.1</w:t>
            </w:r>
          </w:p>
        </w:tc>
        <w:tc>
          <w:tcPr>
            <w:tcW w:w="2235" w:type="dxa"/>
            <w:tcBorders>
              <w:left w:val="single" w:sz="4" w:space="0" w:color="auto"/>
            </w:tcBorders>
            <w:noWrap/>
            <w:hideMark/>
          </w:tcPr>
          <w:p w14:paraId="65FEA4B4" w14:textId="5E43E68E" w:rsidR="00160618" w:rsidRPr="00160618" w:rsidRDefault="00160618" w:rsidP="00F83B0D">
            <w:pPr>
              <w:spacing w:line="276" w:lineRule="auto"/>
              <w:jc w:val="center"/>
            </w:pPr>
            <w:r w:rsidRPr="00160618">
              <w:t>3.9</w:t>
            </w:r>
          </w:p>
        </w:tc>
      </w:tr>
      <w:tr w:rsidR="00F83B0D" w:rsidRPr="00160618" w14:paraId="1FFA3ECA" w14:textId="77777777" w:rsidTr="00F83B0D">
        <w:trPr>
          <w:trHeight w:val="20"/>
        </w:trPr>
        <w:tc>
          <w:tcPr>
            <w:tcW w:w="2675" w:type="dxa"/>
            <w:tcBorders>
              <w:right w:val="single" w:sz="4" w:space="0" w:color="auto"/>
            </w:tcBorders>
            <w:noWrap/>
            <w:hideMark/>
          </w:tcPr>
          <w:p w14:paraId="53CD9DFD" w14:textId="77777777" w:rsidR="00160618" w:rsidRPr="00160618" w:rsidRDefault="00160618" w:rsidP="00F83B0D">
            <w:pPr>
              <w:spacing w:line="276" w:lineRule="auto"/>
            </w:pPr>
            <w:r w:rsidRPr="00160618">
              <w:t>cationic cyclizations</w:t>
            </w:r>
          </w:p>
        </w:tc>
        <w:tc>
          <w:tcPr>
            <w:tcW w:w="1289" w:type="dxa"/>
            <w:tcBorders>
              <w:left w:val="single" w:sz="4" w:space="0" w:color="auto"/>
            </w:tcBorders>
            <w:noWrap/>
            <w:hideMark/>
          </w:tcPr>
          <w:p w14:paraId="1232E494" w14:textId="77777777" w:rsidR="00160618" w:rsidRPr="00160618" w:rsidRDefault="00160618" w:rsidP="00F83B0D">
            <w:pPr>
              <w:spacing w:line="276" w:lineRule="auto"/>
              <w:jc w:val="center"/>
            </w:pPr>
            <w:r w:rsidRPr="00160618">
              <w:t>0.8</w:t>
            </w:r>
          </w:p>
        </w:tc>
        <w:tc>
          <w:tcPr>
            <w:tcW w:w="1469" w:type="dxa"/>
            <w:noWrap/>
            <w:hideMark/>
          </w:tcPr>
          <w:p w14:paraId="4577CA4C" w14:textId="77777777" w:rsidR="00160618" w:rsidRPr="00160618" w:rsidRDefault="00160618" w:rsidP="00F83B0D">
            <w:pPr>
              <w:spacing w:line="276" w:lineRule="auto"/>
              <w:jc w:val="center"/>
            </w:pPr>
            <w:r w:rsidRPr="00160618">
              <w:t>0.9</w:t>
            </w:r>
          </w:p>
        </w:tc>
        <w:tc>
          <w:tcPr>
            <w:tcW w:w="1394" w:type="dxa"/>
            <w:tcBorders>
              <w:right w:val="single" w:sz="4" w:space="0" w:color="auto"/>
            </w:tcBorders>
            <w:noWrap/>
            <w:hideMark/>
          </w:tcPr>
          <w:p w14:paraId="1F9898DB" w14:textId="77777777" w:rsidR="00160618" w:rsidRPr="00160618" w:rsidRDefault="00160618" w:rsidP="00F83B0D">
            <w:pPr>
              <w:spacing w:line="276" w:lineRule="auto"/>
              <w:jc w:val="center"/>
            </w:pPr>
            <w:r w:rsidRPr="00160618">
              <w:t>0.1</w:t>
            </w:r>
          </w:p>
        </w:tc>
        <w:tc>
          <w:tcPr>
            <w:tcW w:w="2235" w:type="dxa"/>
            <w:tcBorders>
              <w:left w:val="single" w:sz="4" w:space="0" w:color="auto"/>
            </w:tcBorders>
            <w:noWrap/>
            <w:hideMark/>
          </w:tcPr>
          <w:p w14:paraId="3C2CDBD5" w14:textId="602F5350" w:rsidR="00160618" w:rsidRPr="00160618" w:rsidRDefault="00160618" w:rsidP="00F83B0D">
            <w:pPr>
              <w:spacing w:line="276" w:lineRule="auto"/>
              <w:jc w:val="center"/>
            </w:pPr>
            <w:r w:rsidRPr="00160618">
              <w:t>0.6</w:t>
            </w:r>
          </w:p>
        </w:tc>
      </w:tr>
      <w:tr w:rsidR="00F83B0D" w:rsidRPr="00160618" w14:paraId="6C28E978" w14:textId="77777777" w:rsidTr="00F83B0D">
        <w:trPr>
          <w:trHeight w:val="20"/>
        </w:trPr>
        <w:tc>
          <w:tcPr>
            <w:tcW w:w="2675" w:type="dxa"/>
            <w:tcBorders>
              <w:bottom w:val="single" w:sz="4" w:space="0" w:color="auto"/>
              <w:right w:val="single" w:sz="4" w:space="0" w:color="auto"/>
            </w:tcBorders>
            <w:noWrap/>
            <w:hideMark/>
          </w:tcPr>
          <w:p w14:paraId="5E479F00" w14:textId="1A57FA53" w:rsidR="00160618" w:rsidRPr="00160618" w:rsidRDefault="00F012D2" w:rsidP="00F83B0D">
            <w:pPr>
              <w:spacing w:line="276" w:lineRule="auto"/>
            </w:pPr>
            <w:r>
              <w:t>s</w:t>
            </w:r>
            <w:r w:rsidR="00160618" w:rsidRPr="00160618">
              <w:t>tereocontrolled</w:t>
            </w:r>
            <w:r>
              <w:t xml:space="preserve"> </w:t>
            </w:r>
            <w:r w:rsidR="00160618" w:rsidRPr="00160618">
              <w:t>cationic cyclizations</w:t>
            </w:r>
          </w:p>
        </w:tc>
        <w:tc>
          <w:tcPr>
            <w:tcW w:w="1289" w:type="dxa"/>
            <w:tcBorders>
              <w:left w:val="single" w:sz="4" w:space="0" w:color="auto"/>
              <w:bottom w:val="single" w:sz="4" w:space="0" w:color="auto"/>
            </w:tcBorders>
            <w:noWrap/>
            <w:hideMark/>
          </w:tcPr>
          <w:p w14:paraId="7CABB81C" w14:textId="77777777" w:rsidR="00160618" w:rsidRPr="00160618" w:rsidRDefault="00160618" w:rsidP="00F83B0D">
            <w:pPr>
              <w:spacing w:line="276" w:lineRule="auto"/>
              <w:jc w:val="center"/>
            </w:pPr>
            <w:r w:rsidRPr="00160618">
              <w:t>0.3</w:t>
            </w:r>
          </w:p>
        </w:tc>
        <w:tc>
          <w:tcPr>
            <w:tcW w:w="1469" w:type="dxa"/>
            <w:tcBorders>
              <w:bottom w:val="single" w:sz="4" w:space="0" w:color="auto"/>
            </w:tcBorders>
            <w:noWrap/>
            <w:hideMark/>
          </w:tcPr>
          <w:p w14:paraId="62C306B3" w14:textId="77777777" w:rsidR="00160618" w:rsidRPr="00160618" w:rsidRDefault="00160618" w:rsidP="00F83B0D">
            <w:pPr>
              <w:spacing w:line="276" w:lineRule="auto"/>
              <w:jc w:val="center"/>
            </w:pPr>
            <w:r w:rsidRPr="00160618">
              <w:t>0.3</w:t>
            </w:r>
          </w:p>
        </w:tc>
        <w:tc>
          <w:tcPr>
            <w:tcW w:w="1394" w:type="dxa"/>
            <w:tcBorders>
              <w:bottom w:val="single" w:sz="4" w:space="0" w:color="auto"/>
              <w:right w:val="single" w:sz="4" w:space="0" w:color="auto"/>
            </w:tcBorders>
            <w:noWrap/>
            <w:hideMark/>
          </w:tcPr>
          <w:p w14:paraId="6EE4FD08" w14:textId="77777777" w:rsidR="00160618" w:rsidRPr="00160618" w:rsidRDefault="00160618" w:rsidP="00F83B0D">
            <w:pPr>
              <w:spacing w:line="276" w:lineRule="auto"/>
              <w:jc w:val="center"/>
            </w:pPr>
            <w:r w:rsidRPr="00160618">
              <w:t>0.0</w:t>
            </w:r>
          </w:p>
        </w:tc>
        <w:tc>
          <w:tcPr>
            <w:tcW w:w="2235" w:type="dxa"/>
            <w:tcBorders>
              <w:left w:val="single" w:sz="4" w:space="0" w:color="auto"/>
              <w:bottom w:val="single" w:sz="4" w:space="0" w:color="auto"/>
            </w:tcBorders>
            <w:noWrap/>
            <w:hideMark/>
          </w:tcPr>
          <w:p w14:paraId="61CC0D59" w14:textId="20EA7FD8" w:rsidR="00160618" w:rsidRPr="00160618" w:rsidRDefault="00160618" w:rsidP="00F83B0D">
            <w:pPr>
              <w:spacing w:line="276" w:lineRule="auto"/>
              <w:jc w:val="center"/>
            </w:pPr>
            <w:r w:rsidRPr="00160618">
              <w:t>0.2</w:t>
            </w:r>
          </w:p>
        </w:tc>
      </w:tr>
    </w:tbl>
    <w:p w14:paraId="3789B46B" w14:textId="77777777" w:rsidR="00295FCD" w:rsidRPr="00833471" w:rsidRDefault="00295FCD" w:rsidP="00FA3D6A"/>
    <w:p w14:paraId="5246682F" w14:textId="59AE2A02" w:rsidR="00405D55" w:rsidRPr="000603E0" w:rsidRDefault="00405D55" w:rsidP="00EB59D5">
      <w:pPr>
        <w:spacing w:line="276" w:lineRule="auto"/>
        <w:divId w:val="1159424424"/>
        <w:rPr>
          <w:b/>
          <w:bCs/>
          <w:sz w:val="20"/>
          <w:szCs w:val="24"/>
        </w:rPr>
      </w:pPr>
      <w:bookmarkStart w:id="21" w:name="_Toc129870361"/>
      <w:bookmarkStart w:id="22" w:name="_Toc134623367"/>
      <w:r w:rsidRPr="00EB59D5">
        <w:rPr>
          <w:rStyle w:val="Heading1Char"/>
        </w:rPr>
        <w:t xml:space="preserve">Supporting Table S </w:t>
      </w:r>
      <w:r w:rsidRPr="00EB59D5">
        <w:rPr>
          <w:rStyle w:val="Heading1Char"/>
        </w:rPr>
        <w:fldChar w:fldCharType="begin"/>
      </w:r>
      <w:r w:rsidRPr="00EB59D5">
        <w:rPr>
          <w:rStyle w:val="Heading1Char"/>
        </w:rPr>
        <w:instrText xml:space="preserve"> SEQ Supporting_Table_S \* ARABIC </w:instrText>
      </w:r>
      <w:r w:rsidRPr="00EB59D5">
        <w:rPr>
          <w:rStyle w:val="Heading1Char"/>
        </w:rPr>
        <w:fldChar w:fldCharType="separate"/>
      </w:r>
      <w:r w:rsidR="00AA5E09">
        <w:rPr>
          <w:rStyle w:val="Heading1Char"/>
          <w:noProof/>
        </w:rPr>
        <w:t>2</w:t>
      </w:r>
      <w:bookmarkEnd w:id="21"/>
      <w:r w:rsidRPr="00EB59D5">
        <w:rPr>
          <w:rStyle w:val="Heading1Char"/>
        </w:rPr>
        <w:fldChar w:fldCharType="end"/>
      </w:r>
      <w:r w:rsidR="00107E73" w:rsidRPr="00EB59D5">
        <w:rPr>
          <w:rStyle w:val="Heading1Char"/>
        </w:rPr>
        <w:t>:</w:t>
      </w:r>
      <w:bookmarkEnd w:id="22"/>
      <w:r w:rsidR="00F41D83">
        <w:t xml:space="preserve"> </w:t>
      </w:r>
      <w:r w:rsidR="00366C38" w:rsidRPr="00EB59D5">
        <w:t>Selected examples of cationic cyclizations from the literature using the same substrates as in this study.</w:t>
      </w:r>
    </w:p>
    <w:tbl>
      <w:tblPr>
        <w:tblW w:w="5000" w:type="pct"/>
        <w:jc w:val="center"/>
        <w:tblLayout w:type="fixed"/>
        <w:tblCellMar>
          <w:top w:w="15" w:type="dxa"/>
          <w:left w:w="15" w:type="dxa"/>
          <w:bottom w:w="15" w:type="dxa"/>
          <w:right w:w="15" w:type="dxa"/>
        </w:tblCellMar>
        <w:tblLook w:val="04A0" w:firstRow="1" w:lastRow="0" w:firstColumn="1" w:lastColumn="0" w:noHBand="0" w:noVBand="1"/>
      </w:tblPr>
      <w:tblGrid>
        <w:gridCol w:w="1134"/>
        <w:gridCol w:w="1276"/>
        <w:gridCol w:w="992"/>
        <w:gridCol w:w="5670"/>
      </w:tblGrid>
      <w:tr w:rsidR="00410516" w:rsidRPr="00B77C0B" w14:paraId="134AF9A6" w14:textId="77777777" w:rsidTr="00107E73">
        <w:trPr>
          <w:divId w:val="1159424424"/>
          <w:trHeight w:val="454"/>
          <w:jc w:val="center"/>
        </w:trPr>
        <w:tc>
          <w:tcPr>
            <w:tcW w:w="625" w:type="pct"/>
            <w:tcBorders>
              <w:top w:val="single" w:sz="4" w:space="0" w:color="auto"/>
              <w:left w:val="nil"/>
              <w:bottom w:val="single" w:sz="4" w:space="0" w:color="auto"/>
              <w:right w:val="nil"/>
            </w:tcBorders>
            <w:noWrap/>
            <w:vAlign w:val="bottom"/>
            <w:hideMark/>
          </w:tcPr>
          <w:p w14:paraId="26EEC173" w14:textId="77777777" w:rsidR="00154526" w:rsidRPr="00B77C0B" w:rsidRDefault="00154526" w:rsidP="00EB59D5">
            <w:pPr>
              <w:spacing w:after="0" w:line="240" w:lineRule="auto"/>
              <w:jc w:val="center"/>
              <w:rPr>
                <w:rFonts w:eastAsia="Times New Roman" w:cs="Arial"/>
                <w:b/>
                <w:bCs/>
                <w:color w:val="000000"/>
                <w:sz w:val="20"/>
                <w:szCs w:val="20"/>
              </w:rPr>
            </w:pPr>
            <w:r w:rsidRPr="00B77C0B">
              <w:rPr>
                <w:rFonts w:eastAsia="Times New Roman" w:cs="Arial"/>
                <w:b/>
                <w:bCs/>
                <w:color w:val="000000"/>
                <w:sz w:val="20"/>
                <w:szCs w:val="20"/>
              </w:rPr>
              <w:t>Substrate</w:t>
            </w:r>
          </w:p>
        </w:tc>
        <w:tc>
          <w:tcPr>
            <w:tcW w:w="703" w:type="pct"/>
            <w:tcBorders>
              <w:top w:val="single" w:sz="4" w:space="0" w:color="auto"/>
              <w:left w:val="nil"/>
              <w:bottom w:val="single" w:sz="4" w:space="0" w:color="auto"/>
              <w:right w:val="nil"/>
            </w:tcBorders>
            <w:noWrap/>
            <w:vAlign w:val="bottom"/>
            <w:hideMark/>
          </w:tcPr>
          <w:p w14:paraId="3080213C" w14:textId="77777777" w:rsidR="00154526" w:rsidRPr="00B77C0B" w:rsidRDefault="00154526" w:rsidP="00EB59D5">
            <w:pPr>
              <w:spacing w:after="0" w:line="240" w:lineRule="auto"/>
              <w:jc w:val="center"/>
              <w:rPr>
                <w:rFonts w:eastAsia="Times New Roman" w:cs="Arial"/>
                <w:b/>
                <w:bCs/>
                <w:color w:val="000000"/>
                <w:sz w:val="20"/>
                <w:szCs w:val="20"/>
              </w:rPr>
            </w:pPr>
            <w:r w:rsidRPr="00B77C0B">
              <w:rPr>
                <w:rFonts w:eastAsia="Times New Roman" w:cs="Arial"/>
                <w:b/>
                <w:bCs/>
                <w:color w:val="000000"/>
                <w:sz w:val="20"/>
                <w:szCs w:val="20"/>
              </w:rPr>
              <w:t>Study</w:t>
            </w:r>
          </w:p>
        </w:tc>
        <w:tc>
          <w:tcPr>
            <w:tcW w:w="547" w:type="pct"/>
            <w:tcBorders>
              <w:top w:val="single" w:sz="4" w:space="0" w:color="auto"/>
              <w:left w:val="nil"/>
              <w:bottom w:val="single" w:sz="4" w:space="0" w:color="auto"/>
              <w:right w:val="nil"/>
            </w:tcBorders>
            <w:noWrap/>
            <w:vAlign w:val="bottom"/>
            <w:hideMark/>
          </w:tcPr>
          <w:p w14:paraId="3E87C713" w14:textId="77777777" w:rsidR="00154526" w:rsidRPr="00B77C0B" w:rsidRDefault="00154526" w:rsidP="00EB59D5">
            <w:pPr>
              <w:spacing w:after="0" w:line="240" w:lineRule="auto"/>
              <w:jc w:val="center"/>
              <w:rPr>
                <w:rFonts w:eastAsia="Times New Roman" w:cs="Arial"/>
                <w:b/>
                <w:bCs/>
                <w:color w:val="000000"/>
                <w:sz w:val="20"/>
                <w:szCs w:val="20"/>
              </w:rPr>
            </w:pPr>
            <w:r w:rsidRPr="00B77C0B">
              <w:rPr>
                <w:rFonts w:eastAsia="Times New Roman" w:cs="Arial"/>
                <w:b/>
                <w:bCs/>
                <w:color w:val="000000"/>
                <w:sz w:val="20"/>
                <w:szCs w:val="20"/>
              </w:rPr>
              <w:t>Catalyst</w:t>
            </w:r>
          </w:p>
        </w:tc>
        <w:tc>
          <w:tcPr>
            <w:tcW w:w="3125" w:type="pct"/>
            <w:tcBorders>
              <w:top w:val="single" w:sz="4" w:space="0" w:color="auto"/>
              <w:left w:val="nil"/>
              <w:bottom w:val="single" w:sz="4" w:space="0" w:color="auto"/>
              <w:right w:val="nil"/>
            </w:tcBorders>
            <w:noWrap/>
            <w:vAlign w:val="bottom"/>
            <w:hideMark/>
          </w:tcPr>
          <w:p w14:paraId="79ECFA4B" w14:textId="77777777" w:rsidR="00154526" w:rsidRPr="00B77C0B" w:rsidRDefault="00154526" w:rsidP="00EB59D5">
            <w:pPr>
              <w:spacing w:after="0" w:line="240" w:lineRule="auto"/>
              <w:jc w:val="center"/>
              <w:rPr>
                <w:rFonts w:eastAsia="Times New Roman" w:cs="Arial"/>
                <w:b/>
                <w:bCs/>
                <w:color w:val="000000"/>
                <w:sz w:val="20"/>
                <w:szCs w:val="20"/>
              </w:rPr>
            </w:pPr>
            <w:r w:rsidRPr="00B77C0B">
              <w:rPr>
                <w:rFonts w:eastAsia="Times New Roman" w:cs="Arial"/>
                <w:b/>
                <w:bCs/>
                <w:color w:val="000000"/>
                <w:sz w:val="20"/>
                <w:szCs w:val="20"/>
              </w:rPr>
              <w:t>Issues</w:t>
            </w:r>
          </w:p>
        </w:tc>
      </w:tr>
      <w:tr w:rsidR="00410516" w:rsidRPr="00B77C0B" w14:paraId="401DA8B2" w14:textId="77777777" w:rsidTr="00F41D83">
        <w:trPr>
          <w:divId w:val="1159424424"/>
          <w:trHeight w:val="454"/>
          <w:jc w:val="center"/>
        </w:trPr>
        <w:tc>
          <w:tcPr>
            <w:tcW w:w="625" w:type="pct"/>
            <w:tcBorders>
              <w:top w:val="nil"/>
              <w:left w:val="nil"/>
              <w:bottom w:val="nil"/>
              <w:right w:val="nil"/>
            </w:tcBorders>
            <w:noWrap/>
            <w:vAlign w:val="center"/>
            <w:hideMark/>
          </w:tcPr>
          <w:p w14:paraId="3E580615"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6</w:t>
            </w:r>
          </w:p>
        </w:tc>
        <w:tc>
          <w:tcPr>
            <w:tcW w:w="703" w:type="pct"/>
            <w:tcBorders>
              <w:top w:val="nil"/>
              <w:left w:val="nil"/>
              <w:bottom w:val="nil"/>
              <w:right w:val="nil"/>
            </w:tcBorders>
            <w:noWrap/>
            <w:vAlign w:val="center"/>
            <w:hideMark/>
          </w:tcPr>
          <w:p w14:paraId="51EE36FC" w14:textId="64054978"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Vlad</w:t>
            </w:r>
            <w:r w:rsidR="00A17D8C" w:rsidRPr="00B77C0B">
              <w:rPr>
                <w:rFonts w:eastAsia="Times New Roman" w:cs="Arial"/>
                <w:color w:val="000000"/>
                <w:sz w:val="20"/>
                <w:szCs w:val="20"/>
              </w:rPr>
              <w:fldChar w:fldCharType="begin" w:fldLock="1"/>
            </w:r>
            <w:r w:rsidR="00E81BA1">
              <w:rPr>
                <w:rFonts w:eastAsia="Times New Roman" w:cs="Arial"/>
                <w:color w:val="000000"/>
                <w:sz w:val="20"/>
                <w:szCs w:val="20"/>
              </w:rPr>
              <w:instrText>ADDIN CSL_CITATION {"citationItems":[{"id":"ITEM-1","itemData":{"DOI":"10.1007/BF00713613/METRICS","ISSN":"15739171","abstract":"The superacidic low-temperature cyclization of terpenols and their acetates by fluorosulfonic acid represents a highly efficient chemo- and structurally selective and stereospecific process. Homoallylic alcohols (α-isomers of cycloterpenols) are the products of cyclization of terpenols; the configuration of the hydroxymethyl group in the products is predetermined by the configuration of the allylic double bond in aliphatic or partially cyclized precursors. The cyclization of terpenyl acetates yields monoacetates of fully cyclized diastereomeric primary-tertiary γ-diols. Their stereochemistry also depends on the configuration of the allylic double bond in the starting substrates. © 1996, Plenum Publishing Corporation. All rights reserved.","author":[{"dropping-particle":"","family":"Vlad","given":"P. F.","non-dropping-particle":"","parse-names":false,"suffix":""},{"dropping-particle":"","family":"Ungur","given":"N. D.","non-dropping-particle":"","parse-names":false,"suffix":""},{"dropping-particle":"","family":"Hung","given":"Nguen","non-dropping-particle":"Van","parse-names":false,"suffix":""},{"dropping-particle":"","family":"Perutsky","given":"V. B.","non-dropping-particle":"","parse-names":false,"suffix":""}],"container-title":"Russian Chemical Bulletin","id":"ITEM-1","issue":"12","issued":{"date-parts":[["1995"]]},"page":"2390-2403","publisher":"Springer","title":"Superacidic low-temperature cyclization of terpenols and their acetates","type":"article-journal","volume":"44"},"uris":["http://www.mendeley.com/documents/?uuid=060b9f97-e724-381a-ab7d-1f22a9f5d0e3"]}],"mendeley":{"formattedCitation":"&lt;sup&gt;16&lt;/sup&gt;","plainTextFormattedCitation":"16","previouslyFormattedCitation":"&lt;sup&gt;15&lt;/sup&gt;"},"properties":{"noteIndex":0},"schema":"https://github.com/citation-style-language/schema/raw/master/csl-citation.json"}</w:instrText>
            </w:r>
            <w:r w:rsidR="00A17D8C" w:rsidRPr="00B77C0B">
              <w:rPr>
                <w:rFonts w:eastAsia="Times New Roman" w:cs="Arial"/>
                <w:color w:val="000000"/>
                <w:sz w:val="20"/>
                <w:szCs w:val="20"/>
              </w:rPr>
              <w:fldChar w:fldCharType="separate"/>
            </w:r>
            <w:r w:rsidR="00E81BA1" w:rsidRPr="00E81BA1">
              <w:rPr>
                <w:rFonts w:eastAsia="Times New Roman" w:cs="Arial"/>
                <w:noProof/>
                <w:color w:val="000000"/>
                <w:sz w:val="20"/>
                <w:szCs w:val="20"/>
                <w:vertAlign w:val="superscript"/>
              </w:rPr>
              <w:t>16</w:t>
            </w:r>
            <w:r w:rsidR="00A17D8C" w:rsidRPr="00B77C0B">
              <w:rPr>
                <w:rFonts w:eastAsia="Times New Roman" w:cs="Arial"/>
                <w:color w:val="000000"/>
                <w:sz w:val="20"/>
                <w:szCs w:val="20"/>
              </w:rPr>
              <w:fldChar w:fldCharType="end"/>
            </w:r>
          </w:p>
        </w:tc>
        <w:tc>
          <w:tcPr>
            <w:tcW w:w="547" w:type="pct"/>
            <w:tcBorders>
              <w:top w:val="single" w:sz="4" w:space="0" w:color="auto"/>
              <w:left w:val="nil"/>
              <w:bottom w:val="nil"/>
              <w:right w:val="single" w:sz="4" w:space="0" w:color="auto"/>
            </w:tcBorders>
            <w:noWrap/>
            <w:vAlign w:val="center"/>
            <w:hideMark/>
          </w:tcPr>
          <w:p w14:paraId="3AC035D8"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FSO</w:t>
            </w:r>
            <w:r w:rsidRPr="00B77C0B">
              <w:rPr>
                <w:rFonts w:eastAsia="Times New Roman" w:cs="Arial"/>
                <w:color w:val="000000"/>
                <w:sz w:val="20"/>
                <w:szCs w:val="20"/>
                <w:vertAlign w:val="subscript"/>
              </w:rPr>
              <w:t>3</w:t>
            </w:r>
            <w:r w:rsidRPr="00B77C0B">
              <w:rPr>
                <w:rFonts w:eastAsia="Times New Roman" w:cs="Arial"/>
                <w:color w:val="000000"/>
                <w:sz w:val="20"/>
                <w:szCs w:val="20"/>
              </w:rPr>
              <w:t>H</w:t>
            </w:r>
          </w:p>
        </w:tc>
        <w:tc>
          <w:tcPr>
            <w:tcW w:w="3125" w:type="pct"/>
            <w:tcBorders>
              <w:top w:val="nil"/>
              <w:left w:val="single" w:sz="4" w:space="0" w:color="auto"/>
              <w:bottom w:val="nil"/>
              <w:right w:val="nil"/>
            </w:tcBorders>
            <w:noWrap/>
            <w:vAlign w:val="center"/>
            <w:hideMark/>
          </w:tcPr>
          <w:p w14:paraId="7ADE6034" w14:textId="62D3E720"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 xml:space="preserve">requires </w:t>
            </w:r>
            <w:r w:rsidR="00331068" w:rsidRPr="00B77C0B">
              <w:rPr>
                <w:rFonts w:eastAsia="Times New Roman" w:cs="Arial"/>
                <w:color w:val="000000"/>
                <w:sz w:val="20"/>
                <w:szCs w:val="20"/>
              </w:rPr>
              <w:t>kryogenic conditions (-78 °C)</w:t>
            </w:r>
            <w:r w:rsidRPr="00B77C0B">
              <w:rPr>
                <w:rFonts w:eastAsia="Times New Roman" w:cs="Arial"/>
                <w:color w:val="000000"/>
                <w:sz w:val="20"/>
                <w:szCs w:val="20"/>
              </w:rPr>
              <w:t>, low product selectivity, stereospecfic, substrate decomposition and polymerization</w:t>
            </w:r>
          </w:p>
        </w:tc>
      </w:tr>
      <w:tr w:rsidR="00410516" w:rsidRPr="00B77C0B" w14:paraId="5EA17496" w14:textId="77777777" w:rsidTr="00F41D83">
        <w:trPr>
          <w:divId w:val="1159424424"/>
          <w:trHeight w:val="454"/>
          <w:jc w:val="center"/>
        </w:trPr>
        <w:tc>
          <w:tcPr>
            <w:tcW w:w="625" w:type="pct"/>
            <w:tcBorders>
              <w:top w:val="nil"/>
              <w:left w:val="nil"/>
              <w:bottom w:val="nil"/>
              <w:right w:val="nil"/>
            </w:tcBorders>
            <w:noWrap/>
            <w:vAlign w:val="center"/>
            <w:hideMark/>
          </w:tcPr>
          <w:p w14:paraId="4CDD8D9A"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6</w:t>
            </w:r>
          </w:p>
        </w:tc>
        <w:tc>
          <w:tcPr>
            <w:tcW w:w="703" w:type="pct"/>
            <w:tcBorders>
              <w:top w:val="nil"/>
              <w:left w:val="nil"/>
              <w:bottom w:val="nil"/>
              <w:right w:val="nil"/>
            </w:tcBorders>
            <w:noWrap/>
            <w:vAlign w:val="center"/>
            <w:hideMark/>
          </w:tcPr>
          <w:p w14:paraId="6A8E3E16" w14:textId="6F82DE3F"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Vlad</w:t>
            </w:r>
            <w:r w:rsidR="00A17D8C" w:rsidRPr="00B77C0B">
              <w:rPr>
                <w:rFonts w:eastAsia="Times New Roman" w:cs="Arial"/>
                <w:color w:val="000000"/>
                <w:sz w:val="20"/>
                <w:szCs w:val="20"/>
              </w:rPr>
              <w:fldChar w:fldCharType="begin" w:fldLock="1"/>
            </w:r>
            <w:r w:rsidR="00E81BA1">
              <w:rPr>
                <w:rFonts w:eastAsia="Times New Roman" w:cs="Arial"/>
                <w:color w:val="000000"/>
                <w:sz w:val="20"/>
                <w:szCs w:val="20"/>
              </w:rPr>
              <w:instrText>ADDIN CSL_CITATION {"citationItems":[{"id":"ITEM-1","itemData":{"DOI":"10.1007/BF02495925/METRICS","ISSN":"10665285","abstract":"Electrophilic cyclization of β-geranyl acetate promoted by mercury(II) trifluoroacetate leads to mixtures of α- and γ-5αH-cyclogeranyl acetate derivatives and 6α-hydroxy-5αH- and 6α-hydroxy-5βH-cyclogeranyl acetate derivatives mercurated at the C-3 atom. The ratio of the unsaturated and hydroxymercurated products depends on the reaction conditions. α-Geranyl acetate reacts with mercury(II) trifluoroacetate to give a mixture of 6α-hydroxy-5αH- and 6α-hydroxy-5βH-geranyl acetates, mercurated at C-9, with an equatorial mercurated methylene group at C-4. The mercury-containing groups in mercurated cyclogeranyl derivatives can easily be reduced or replaced by an oxygen-containing functional group; this constitutes a convenient route to polyfunctional cyclogeranyl derivatives that are difficult to obtain.","author":[{"dropping-particle":"","family":"Kulchitski","given":"V. N.","non-dropping-particle":"","parse-names":false,"suffix":""},{"dropping-particle":"","family":"Ungur","given":"N. D.","non-dropping-particle":"","parse-names":false,"suffix":""},{"dropping-particle":"","family":"Vlad","given":"P. F.","non-dropping-particle":"","parse-names":false,"suffix":""}],"container-title":"Russian Chemical Bulletin","id":"ITEM-1","issue":"7","issued":{"date-parts":[["1997"]]},"page":"1264-1268","publisher":"Kluwer Academic/Plenum Publishers","title":"Electrophilic cyclization of α- and β-geranyl acetates by mercury(II) trifluoroacetate","type":"article-journal","volume":"46"},"uris":["http://www.mendeley.com/documents/?uuid=31bd5948-601a-3142-ba4d-04540c37547f"]}],"mendeley":{"formattedCitation":"&lt;sup&gt;17&lt;/sup&gt;","plainTextFormattedCitation":"17","previouslyFormattedCitation":"&lt;sup&gt;16&lt;/sup&gt;"},"properties":{"noteIndex":0},"schema":"https://github.com/citation-style-language/schema/raw/master/csl-citation.json"}</w:instrText>
            </w:r>
            <w:r w:rsidR="00A17D8C" w:rsidRPr="00B77C0B">
              <w:rPr>
                <w:rFonts w:eastAsia="Times New Roman" w:cs="Arial"/>
                <w:color w:val="000000"/>
                <w:sz w:val="20"/>
                <w:szCs w:val="20"/>
              </w:rPr>
              <w:fldChar w:fldCharType="separate"/>
            </w:r>
            <w:r w:rsidR="00E81BA1" w:rsidRPr="00E81BA1">
              <w:rPr>
                <w:rFonts w:eastAsia="Times New Roman" w:cs="Arial"/>
                <w:noProof/>
                <w:color w:val="000000"/>
                <w:sz w:val="20"/>
                <w:szCs w:val="20"/>
                <w:vertAlign w:val="superscript"/>
              </w:rPr>
              <w:t>17</w:t>
            </w:r>
            <w:r w:rsidR="00A17D8C" w:rsidRPr="00B77C0B">
              <w:rPr>
                <w:rFonts w:eastAsia="Times New Roman" w:cs="Arial"/>
                <w:color w:val="000000"/>
                <w:sz w:val="20"/>
                <w:szCs w:val="20"/>
              </w:rPr>
              <w:fldChar w:fldCharType="end"/>
            </w:r>
          </w:p>
        </w:tc>
        <w:tc>
          <w:tcPr>
            <w:tcW w:w="547" w:type="pct"/>
            <w:tcBorders>
              <w:top w:val="nil"/>
              <w:left w:val="nil"/>
              <w:bottom w:val="nil"/>
              <w:right w:val="single" w:sz="4" w:space="0" w:color="auto"/>
            </w:tcBorders>
            <w:noWrap/>
            <w:vAlign w:val="center"/>
            <w:hideMark/>
          </w:tcPr>
          <w:p w14:paraId="6DF0B678"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Hg</w:t>
            </w:r>
          </w:p>
        </w:tc>
        <w:tc>
          <w:tcPr>
            <w:tcW w:w="3125" w:type="pct"/>
            <w:tcBorders>
              <w:top w:val="nil"/>
              <w:left w:val="single" w:sz="4" w:space="0" w:color="auto"/>
              <w:bottom w:val="nil"/>
              <w:right w:val="nil"/>
            </w:tcBorders>
            <w:noWrap/>
            <w:vAlign w:val="center"/>
            <w:hideMark/>
          </w:tcPr>
          <w:p w14:paraId="469509B0"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stereospecific, toxic mercury, requires demercuration</w:t>
            </w:r>
          </w:p>
        </w:tc>
      </w:tr>
      <w:tr w:rsidR="00410516" w:rsidRPr="00B77C0B" w14:paraId="3C2D55DA" w14:textId="77777777" w:rsidTr="00F41D83">
        <w:trPr>
          <w:divId w:val="1159424424"/>
          <w:trHeight w:val="454"/>
          <w:jc w:val="center"/>
        </w:trPr>
        <w:tc>
          <w:tcPr>
            <w:tcW w:w="625" w:type="pct"/>
            <w:tcBorders>
              <w:top w:val="nil"/>
              <w:left w:val="nil"/>
              <w:bottom w:val="nil"/>
              <w:right w:val="nil"/>
            </w:tcBorders>
            <w:noWrap/>
            <w:vAlign w:val="center"/>
            <w:hideMark/>
          </w:tcPr>
          <w:p w14:paraId="73027B8D"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6</w:t>
            </w:r>
          </w:p>
        </w:tc>
        <w:tc>
          <w:tcPr>
            <w:tcW w:w="703" w:type="pct"/>
            <w:tcBorders>
              <w:top w:val="nil"/>
              <w:left w:val="nil"/>
              <w:bottom w:val="nil"/>
              <w:right w:val="nil"/>
            </w:tcBorders>
            <w:noWrap/>
            <w:vAlign w:val="center"/>
            <w:hideMark/>
          </w:tcPr>
          <w:p w14:paraId="414AC0FD" w14:textId="2345CB53"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Tsangarakis</w:t>
            </w:r>
            <w:r w:rsidR="007F0EF3" w:rsidRPr="00B77C0B">
              <w:rPr>
                <w:rFonts w:eastAsia="Times New Roman" w:cs="Arial"/>
                <w:color w:val="000000"/>
                <w:sz w:val="20"/>
                <w:szCs w:val="20"/>
              </w:rPr>
              <w:fldChar w:fldCharType="begin" w:fldLock="1"/>
            </w:r>
            <w:r w:rsidR="00E81BA1">
              <w:rPr>
                <w:rFonts w:eastAsia="Times New Roman" w:cs="Arial"/>
                <w:color w:val="000000"/>
                <w:sz w:val="20"/>
                <w:szCs w:val="20"/>
              </w:rPr>
              <w:instrText>ADDIN CSL_CITATION {"citationItems":[{"id":"ITEM-1","itemData":{"DOI":"10.1002/adsc.200505059","ISSN":"16154150","abstract":"Zeolite NaY promotes efficiently the biomimetic cyclization of small acyclic terpenes. Geranyl and neryl acetone undergo a novel tandem 1,5-diene cyclization/carbonyl-ene reaction to form the natural product α-ambrinol isolated in &gt;65% yield. © 2005 Wiley-VCH Verlag GmbH &amp; Co. KGaA.","author":[{"dropping-particle":"","family":"Tsangarakis","given":"Constantinos","non-dropping-particle":"","parse-names":false,"suffix":""},{"dropping-particle":"","family":"Stratakis","given":"Manolis","non-dropping-particle":"","parse-names":false,"suffix":""}],"container-title":"Advanced Synthesis and Catalysis","id":"ITEM-1","issue":"9","issued":{"date-parts":[["2005"]]},"page":"1280-1284","title":"Biomimetic cyclization of small terpenoids promoted by zeolite NaY: Tandem formation of α-ambrinol from geranyl acetone","type":"article-journal","volume":"347"},"uris":["http://www.mendeley.com/documents/?uuid=9eecfbb5-c4c2-4269-bbc7-749b3bd9b62c"]}],"mendeley":{"formattedCitation":"&lt;sup&gt;18&lt;/sup&gt;","plainTextFormattedCitation":"18","previouslyFormattedCitation":"&lt;sup&gt;17&lt;/sup&gt;"},"properties":{"noteIndex":0},"schema":"https://github.com/citation-style-language/schema/raw/master/csl-citation.json"}</w:instrText>
            </w:r>
            <w:r w:rsidR="007F0EF3" w:rsidRPr="00B77C0B">
              <w:rPr>
                <w:rFonts w:eastAsia="Times New Roman" w:cs="Arial"/>
                <w:color w:val="000000"/>
                <w:sz w:val="20"/>
                <w:szCs w:val="20"/>
              </w:rPr>
              <w:fldChar w:fldCharType="separate"/>
            </w:r>
            <w:r w:rsidR="00E81BA1" w:rsidRPr="00E81BA1">
              <w:rPr>
                <w:rFonts w:eastAsia="Times New Roman" w:cs="Arial"/>
                <w:noProof/>
                <w:color w:val="000000"/>
                <w:sz w:val="20"/>
                <w:szCs w:val="20"/>
                <w:vertAlign w:val="superscript"/>
              </w:rPr>
              <w:t>18</w:t>
            </w:r>
            <w:r w:rsidR="007F0EF3" w:rsidRPr="00B77C0B">
              <w:rPr>
                <w:rFonts w:eastAsia="Times New Roman" w:cs="Arial"/>
                <w:color w:val="000000"/>
                <w:sz w:val="20"/>
                <w:szCs w:val="20"/>
              </w:rPr>
              <w:fldChar w:fldCharType="end"/>
            </w:r>
          </w:p>
        </w:tc>
        <w:tc>
          <w:tcPr>
            <w:tcW w:w="547" w:type="pct"/>
            <w:tcBorders>
              <w:top w:val="nil"/>
              <w:left w:val="nil"/>
              <w:bottom w:val="nil"/>
              <w:right w:val="single" w:sz="4" w:space="0" w:color="auto"/>
            </w:tcBorders>
            <w:noWrap/>
            <w:vAlign w:val="center"/>
            <w:hideMark/>
          </w:tcPr>
          <w:p w14:paraId="6BDA91FC"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NaY</w:t>
            </w:r>
          </w:p>
        </w:tc>
        <w:tc>
          <w:tcPr>
            <w:tcW w:w="3125" w:type="pct"/>
            <w:tcBorders>
              <w:top w:val="nil"/>
              <w:left w:val="single" w:sz="4" w:space="0" w:color="auto"/>
              <w:bottom w:val="nil"/>
              <w:right w:val="nil"/>
            </w:tcBorders>
            <w:noWrap/>
            <w:vAlign w:val="center"/>
            <w:hideMark/>
          </w:tcPr>
          <w:p w14:paraId="3B1F55DA"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low product selectivity, low stereocontrol</w:t>
            </w:r>
          </w:p>
        </w:tc>
      </w:tr>
      <w:tr w:rsidR="00410516" w:rsidRPr="00B77C0B" w14:paraId="7727938B" w14:textId="77777777" w:rsidTr="00F41D83">
        <w:trPr>
          <w:divId w:val="1159424424"/>
          <w:trHeight w:val="454"/>
          <w:jc w:val="center"/>
        </w:trPr>
        <w:tc>
          <w:tcPr>
            <w:tcW w:w="625" w:type="pct"/>
            <w:tcBorders>
              <w:top w:val="nil"/>
              <w:left w:val="nil"/>
              <w:bottom w:val="nil"/>
              <w:right w:val="nil"/>
            </w:tcBorders>
            <w:noWrap/>
            <w:vAlign w:val="center"/>
            <w:hideMark/>
          </w:tcPr>
          <w:p w14:paraId="324354E0"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8</w:t>
            </w:r>
          </w:p>
        </w:tc>
        <w:tc>
          <w:tcPr>
            <w:tcW w:w="703" w:type="pct"/>
            <w:tcBorders>
              <w:top w:val="nil"/>
              <w:left w:val="nil"/>
              <w:bottom w:val="nil"/>
              <w:right w:val="nil"/>
            </w:tcBorders>
            <w:noWrap/>
            <w:vAlign w:val="center"/>
            <w:hideMark/>
          </w:tcPr>
          <w:p w14:paraId="5C1BF68E" w14:textId="5D94B791"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Vlad</w:t>
            </w:r>
            <w:r w:rsidR="008674D5" w:rsidRPr="00B77C0B">
              <w:rPr>
                <w:rFonts w:eastAsia="Times New Roman" w:cs="Arial"/>
                <w:color w:val="000000"/>
                <w:sz w:val="20"/>
                <w:szCs w:val="20"/>
              </w:rPr>
              <w:fldChar w:fldCharType="begin" w:fldLock="1"/>
            </w:r>
            <w:r w:rsidR="00E81BA1">
              <w:rPr>
                <w:rFonts w:eastAsia="Times New Roman" w:cs="Arial"/>
                <w:color w:val="000000"/>
                <w:sz w:val="20"/>
                <w:szCs w:val="20"/>
              </w:rPr>
              <w:instrText>ADDIN CSL_CITATION {"citationItems":[{"id":"ITEM-1","itemData":{"DOI":"10.1007/BF00713613/METRICS","ISSN":"15739171","abstract":"The superacidic low-temperature cyclization of terpenols and their acetates by fluorosulfonic acid represents a highly efficient chemo- and structurally selective and stereospecific process. Homoallylic alcohols (α-isomers of cycloterpenols) are the products of cyclization of terpenols; the configuration of the hydroxymethyl group in the products is predetermined by the configuration of the allylic double bond in aliphatic or partially cyclized precursors. The cyclization of terpenyl acetates yields monoacetates of fully cyclized diastereomeric primary-tertiary γ-diols. Their stereochemistry also depends on the configuration of the allylic double bond in the starting substrates. © 1996, Plenum Publishing Corporation. All rights reserved.","author":[{"dropping-particle":"","family":"Vlad","given":"P. F.","non-dropping-particle":"","parse-names":false,"suffix":""},{"dropping-particle":"","family":"Ungur","given":"N. D.","non-dropping-particle":"","parse-names":false,"suffix":""},{"dropping-particle":"","family":"Hung","given":"Nguen","non-dropping-particle":"Van","parse-names":false,"suffix":""},{"dropping-particle":"","family":"Perutsky","given":"V. B.","non-dropping-particle":"","parse-names":false,"suffix":""}],"container-title":"Russian Chemical Bulletin","id":"ITEM-1","issue":"12","issued":{"date-parts":[["1995"]]},"page":"2390-2403","publisher":"Springer","title":"Superacidic low-temperature cyclization of terpenols and their acetates","type":"article-journal","volume":"44"},"uris":["http://www.mendeley.com/documents/?uuid=060b9f97-e724-381a-ab7d-1f22a9f5d0e3"]},{"id":"ITEM-2","itemData":{"DOI":"10.1007/BF00630573","ISSN":"15738388","abstract":"It has been shown that the superacid cyclization of α-terpenols and their acetates takes place with structural selectivity and chemo- and stereospecificity and leads to cyclic isoprenoids with higher yields than the cyclization of the corresponding β-terpenols and their acetates. © 1994, Plenum Publishing Corporation. All rights reserved.","author":[{"dropping-particle":"","family":"Ungur","given":"N. D.","non-dropping-particle":"","parse-names":false,"suffix":""},{"dropping-particle":"","family":"Popa","given":"N. P.","non-dropping-particle":"","parse-names":false,"suffix":""},{"dropping-particle":"","family":"Tuen","given":"Nguen","non-dropping-particle":"Van","parse-names":false,"suffix":""},{"dropping-particle":"","family":"Vlad","given":"P. F.","non-dropping-particle":"","parse-names":false,"suffix":""}],"container-title":"Chemistry of Natural Compounds","id":"ITEM-2","issue":"4","issued":{"date-parts":[["1993"]]},"page":"473-478","title":"Cyclization of α-terpenols and their acetates by fluorosulfonic acid","type":"article-journal","volume":"29"},"uris":["http://www.mendeley.com/documents/?uuid=294c0595-0eb1-4002-948a-585f12556b5a"]},{"id":"ITEM-3","itemData":{"DOI":"10.1007/S10600-006-0175-6/METRICS","ISSN":"15738388","abstract":"Superacid cyclization was demonstrated for the first time to be successful in those ionic liquids with functional groups that are stable in the reaction medium using aliphatic sesquiterpene derivatives as examples. © 2006 Springer Science+Business Media, Inc.","author":[{"dropping-particle":"","family":"Grin'ko","given":"M.","non-dropping-particle":"","parse-names":false,"suffix":""},{"dropping-particle":"","family":"Kul'chitskii","given":"V.","non-dropping-particle":"","parse-names":false,"suffix":""},{"dropping-particle":"","family":"Ungur","given":"N.","non-dropping-particle":"","parse-names":false,"suffix":""},{"dropping-particle":"","family":"Vlad","given":"P. F.","non-dropping-particle":"","parse-names":false,"suffix":""}],"container-title":"Chemistry of Natural Compounds","id":"ITEM-3","issue":"4","issued":{"date-parts":[["2006"]]},"page":"439-441","publisher":"Springer Science and Business Media Deutschland GmbH","title":"Superacid cyclization of certain aliphatic sesquiterpene derivatives in ionic liquids","type":"article-journal","volume":"42"},"uris":["http://www.mendeley.com/documents/?uuid=e8a3acb4-9c2b-34e5-8575-ab0ef8b8eafa"]}],"mendeley":{"formattedCitation":"&lt;sup&gt;16,19,20&lt;/sup&gt;","plainTextFormattedCitation":"16,19,20","previouslyFormattedCitation":"&lt;sup&gt;15,18,19&lt;/sup&gt;"},"properties":{"noteIndex":0},"schema":"https://github.com/citation-style-language/schema/raw/master/csl-citation.json"}</w:instrText>
            </w:r>
            <w:r w:rsidR="008674D5" w:rsidRPr="00B77C0B">
              <w:rPr>
                <w:rFonts w:eastAsia="Times New Roman" w:cs="Arial"/>
                <w:color w:val="000000"/>
                <w:sz w:val="20"/>
                <w:szCs w:val="20"/>
              </w:rPr>
              <w:fldChar w:fldCharType="separate"/>
            </w:r>
            <w:r w:rsidR="00E81BA1" w:rsidRPr="00E81BA1">
              <w:rPr>
                <w:rFonts w:eastAsia="Times New Roman" w:cs="Arial"/>
                <w:noProof/>
                <w:color w:val="000000"/>
                <w:sz w:val="20"/>
                <w:szCs w:val="20"/>
                <w:vertAlign w:val="superscript"/>
              </w:rPr>
              <w:t>16,19,20</w:t>
            </w:r>
            <w:r w:rsidR="008674D5" w:rsidRPr="00B77C0B">
              <w:rPr>
                <w:rFonts w:eastAsia="Times New Roman" w:cs="Arial"/>
                <w:color w:val="000000"/>
                <w:sz w:val="20"/>
                <w:szCs w:val="20"/>
              </w:rPr>
              <w:fldChar w:fldCharType="end"/>
            </w:r>
          </w:p>
        </w:tc>
        <w:tc>
          <w:tcPr>
            <w:tcW w:w="547" w:type="pct"/>
            <w:tcBorders>
              <w:top w:val="nil"/>
              <w:left w:val="nil"/>
              <w:bottom w:val="nil"/>
              <w:right w:val="single" w:sz="4" w:space="0" w:color="auto"/>
            </w:tcBorders>
            <w:noWrap/>
            <w:vAlign w:val="center"/>
            <w:hideMark/>
          </w:tcPr>
          <w:p w14:paraId="37CE95FB"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FSO</w:t>
            </w:r>
            <w:r w:rsidRPr="00B77C0B">
              <w:rPr>
                <w:rFonts w:eastAsia="Times New Roman" w:cs="Arial"/>
                <w:color w:val="000000"/>
                <w:sz w:val="20"/>
                <w:szCs w:val="20"/>
                <w:vertAlign w:val="subscript"/>
              </w:rPr>
              <w:t>3</w:t>
            </w:r>
            <w:r w:rsidRPr="00B77C0B">
              <w:rPr>
                <w:rFonts w:eastAsia="Times New Roman" w:cs="Arial"/>
                <w:color w:val="000000"/>
                <w:sz w:val="20"/>
                <w:szCs w:val="20"/>
              </w:rPr>
              <w:t>H</w:t>
            </w:r>
          </w:p>
        </w:tc>
        <w:tc>
          <w:tcPr>
            <w:tcW w:w="3125" w:type="pct"/>
            <w:tcBorders>
              <w:top w:val="nil"/>
              <w:left w:val="single" w:sz="4" w:space="0" w:color="auto"/>
              <w:bottom w:val="nil"/>
              <w:right w:val="nil"/>
            </w:tcBorders>
            <w:noWrap/>
            <w:vAlign w:val="center"/>
            <w:hideMark/>
          </w:tcPr>
          <w:p w14:paraId="0B5C8359" w14:textId="73579445" w:rsidR="00154526" w:rsidRPr="00B77C0B" w:rsidRDefault="00331068"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requires kryogenic conditions (-78 °C)</w:t>
            </w:r>
            <w:r w:rsidR="00154526" w:rsidRPr="00B77C0B">
              <w:rPr>
                <w:rFonts w:eastAsia="Times New Roman" w:cs="Arial"/>
                <w:color w:val="000000"/>
                <w:sz w:val="20"/>
                <w:szCs w:val="20"/>
              </w:rPr>
              <w:t>, low product selectivity, stereospecfic, substrate decomposition and polymerization, no hydration product</w:t>
            </w:r>
          </w:p>
        </w:tc>
      </w:tr>
      <w:tr w:rsidR="00410516" w:rsidRPr="00B77C0B" w14:paraId="176DE668" w14:textId="77777777" w:rsidTr="00F41D83">
        <w:trPr>
          <w:divId w:val="1159424424"/>
          <w:trHeight w:val="454"/>
          <w:jc w:val="center"/>
        </w:trPr>
        <w:tc>
          <w:tcPr>
            <w:tcW w:w="625" w:type="pct"/>
            <w:tcBorders>
              <w:top w:val="nil"/>
              <w:left w:val="nil"/>
              <w:bottom w:val="nil"/>
              <w:right w:val="nil"/>
            </w:tcBorders>
            <w:noWrap/>
            <w:vAlign w:val="center"/>
            <w:hideMark/>
          </w:tcPr>
          <w:p w14:paraId="44542DC3"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10 to 11</w:t>
            </w:r>
          </w:p>
        </w:tc>
        <w:tc>
          <w:tcPr>
            <w:tcW w:w="703" w:type="pct"/>
            <w:tcBorders>
              <w:top w:val="nil"/>
              <w:left w:val="nil"/>
              <w:bottom w:val="nil"/>
              <w:right w:val="nil"/>
            </w:tcBorders>
            <w:noWrap/>
            <w:vAlign w:val="center"/>
            <w:hideMark/>
          </w:tcPr>
          <w:p w14:paraId="6C6C6BD4" w14:textId="71DE848E"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Vlad</w:t>
            </w:r>
            <w:r w:rsidR="00F0391D" w:rsidRPr="00B77C0B">
              <w:rPr>
                <w:rFonts w:eastAsia="Times New Roman" w:cs="Arial"/>
                <w:color w:val="000000"/>
                <w:sz w:val="20"/>
                <w:szCs w:val="20"/>
              </w:rPr>
              <w:fldChar w:fldCharType="begin" w:fldLock="1"/>
            </w:r>
            <w:r w:rsidR="00E81BA1">
              <w:rPr>
                <w:rFonts w:eastAsia="Times New Roman" w:cs="Arial"/>
                <w:color w:val="000000"/>
                <w:sz w:val="20"/>
                <w:szCs w:val="20"/>
              </w:rPr>
              <w:instrText>ADDIN CSL_CITATION {"citationItems":[{"id":"ITEM-1","itemData":{"DOI":"10.1007/BF00630573","ISSN":"15738388","abstract":"It has been shown that the superacid cyclization of α-terpenols and their acetates takes place with structural selectivity and chemo- and stereospecificity and leads to cyclic isoprenoids with higher yields than the cyclization of the corresponding β-terpenols and their acetates. © 1994, Plenum Publishing Corporation. All rights reserved.","author":[{"dropping-particle":"","family":"Ungur","given":"N. D.","non-dropping-particle":"","parse-names":false,"suffix":""},{"dropping-particle":"","family":"Popa","given":"N. P.","non-dropping-particle":"","parse-names":false,"suffix":""},{"dropping-particle":"","family":"Tuen","given":"Nguen","non-dropping-particle":"Van","parse-names":false,"suffix":""},{"dropping-particle":"","family":"Vlad","given":"P. F.","non-dropping-particle":"","parse-names":false,"suffix":""}],"container-title":"Chemistry of Natural Compounds","id":"ITEM-1","issue":"4","issued":{"date-parts":[["1993"]]},"page":"473-478","title":"Cyclization of α-terpenols and their acetates by fluorosulfonic acid","type":"article-journal","volume":"29"},"uris":["http://www.mendeley.com/documents/?uuid=294c0595-0eb1-4002-948a-585f12556b5a"]},{"id":"ITEM-2","itemData":{"DOI":"10.1007/BF00713613/METRICS","ISSN":"15739171","abstract":"The superacidic low-temperature cyclization of terpenols and their acetates by fluorosulfonic acid represents a highly efficient chemo- and structurally selective and stereospecific process. Homoallylic alcohols (α-isomers of cycloterpenols) are the products of cyclization of terpenols; the configuration of the hydroxymethyl group in the products is predetermined by the configuration of the allylic double bond in aliphatic or partially cyclized precursors. The cyclization of terpenyl acetates yields monoacetates of fully cyclized diastereomeric primary-tertiary γ-diols. Their stereochemistry also depends on the configuration of the allylic double bond in the starting substrates. © 1996, Plenum Publishing Corporation. All rights reserved.","author":[{"dropping-particle":"","family":"Vlad","given":"P. F.","non-dropping-particle":"","parse-names":false,"suffix":""},{"dropping-particle":"","family":"Ungur","given":"N. D.","non-dropping-particle":"","parse-names":false,"suffix":""},{"dropping-particle":"","family":"Hung","given":"Nguen","non-dropping-particle":"Van","parse-names":false,"suffix":""},{"dropping-particle":"","family":"Perutsky","given":"V. B.","non-dropping-particle":"","parse-names":false,"suffix":""}],"container-title":"Russian Chemical Bulletin","id":"ITEM-2","issue":"12","issued":{"date-parts":[["1995"]]},"page":"2390-2403","publisher":"Springer","title":"Superacidic low-temperature cyclization of terpenols and their acetates","type":"article-journal","volume":"44"},"uris":["http://www.mendeley.com/documents/?uuid=060b9f97-e724-381a-ab7d-1f22a9f5d0e3"]}],"mendeley":{"formattedCitation":"&lt;sup&gt;16,19&lt;/sup&gt;","plainTextFormattedCitation":"16,19","previouslyFormattedCitation":"&lt;sup&gt;15,18&lt;/sup&gt;"},"properties":{"noteIndex":0},"schema":"https://github.com/citation-style-language/schema/raw/master/csl-citation.json"}</w:instrText>
            </w:r>
            <w:r w:rsidR="00F0391D" w:rsidRPr="00B77C0B">
              <w:rPr>
                <w:rFonts w:eastAsia="Times New Roman" w:cs="Arial"/>
                <w:color w:val="000000"/>
                <w:sz w:val="20"/>
                <w:szCs w:val="20"/>
              </w:rPr>
              <w:fldChar w:fldCharType="separate"/>
            </w:r>
            <w:r w:rsidR="00E81BA1" w:rsidRPr="00E81BA1">
              <w:rPr>
                <w:rFonts w:eastAsia="Times New Roman" w:cs="Arial"/>
                <w:noProof/>
                <w:color w:val="000000"/>
                <w:sz w:val="20"/>
                <w:szCs w:val="20"/>
                <w:vertAlign w:val="superscript"/>
              </w:rPr>
              <w:t>16,19</w:t>
            </w:r>
            <w:r w:rsidR="00F0391D" w:rsidRPr="00B77C0B">
              <w:rPr>
                <w:rFonts w:eastAsia="Times New Roman" w:cs="Arial"/>
                <w:color w:val="000000"/>
                <w:sz w:val="20"/>
                <w:szCs w:val="20"/>
              </w:rPr>
              <w:fldChar w:fldCharType="end"/>
            </w:r>
          </w:p>
        </w:tc>
        <w:tc>
          <w:tcPr>
            <w:tcW w:w="547" w:type="pct"/>
            <w:tcBorders>
              <w:top w:val="nil"/>
              <w:left w:val="nil"/>
              <w:bottom w:val="nil"/>
              <w:right w:val="single" w:sz="4" w:space="0" w:color="auto"/>
            </w:tcBorders>
            <w:noWrap/>
            <w:vAlign w:val="center"/>
            <w:hideMark/>
          </w:tcPr>
          <w:p w14:paraId="167183A1"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FSO</w:t>
            </w:r>
            <w:r w:rsidRPr="00B77C0B">
              <w:rPr>
                <w:rFonts w:eastAsia="Times New Roman" w:cs="Arial"/>
                <w:color w:val="000000"/>
                <w:sz w:val="20"/>
                <w:szCs w:val="20"/>
                <w:vertAlign w:val="subscript"/>
              </w:rPr>
              <w:t>3</w:t>
            </w:r>
            <w:r w:rsidRPr="00B77C0B">
              <w:rPr>
                <w:rFonts w:eastAsia="Times New Roman" w:cs="Arial"/>
                <w:color w:val="000000"/>
                <w:sz w:val="20"/>
                <w:szCs w:val="20"/>
              </w:rPr>
              <w:t>H</w:t>
            </w:r>
          </w:p>
        </w:tc>
        <w:tc>
          <w:tcPr>
            <w:tcW w:w="3125" w:type="pct"/>
            <w:tcBorders>
              <w:top w:val="nil"/>
              <w:left w:val="single" w:sz="4" w:space="0" w:color="auto"/>
              <w:bottom w:val="nil"/>
              <w:right w:val="nil"/>
            </w:tcBorders>
            <w:noWrap/>
            <w:vAlign w:val="center"/>
            <w:hideMark/>
          </w:tcPr>
          <w:p w14:paraId="1BD36246" w14:textId="0CD67F94" w:rsidR="00154526" w:rsidRPr="00B77C0B" w:rsidRDefault="00331068"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requires kryogenic conditions (-78 °C)</w:t>
            </w:r>
            <w:r w:rsidR="00154526" w:rsidRPr="00B77C0B">
              <w:rPr>
                <w:rFonts w:eastAsia="Times New Roman" w:cs="Arial"/>
                <w:color w:val="000000"/>
                <w:sz w:val="20"/>
                <w:szCs w:val="20"/>
              </w:rPr>
              <w:t>, low product selectivity, stereospecfic, substrate decomposition and polymerization</w:t>
            </w:r>
          </w:p>
        </w:tc>
      </w:tr>
      <w:tr w:rsidR="00410516" w:rsidRPr="00B77C0B" w14:paraId="4B4D1873" w14:textId="77777777" w:rsidTr="00107E73">
        <w:trPr>
          <w:divId w:val="1159424424"/>
          <w:trHeight w:val="454"/>
          <w:jc w:val="center"/>
        </w:trPr>
        <w:tc>
          <w:tcPr>
            <w:tcW w:w="625" w:type="pct"/>
            <w:tcBorders>
              <w:top w:val="nil"/>
              <w:left w:val="nil"/>
              <w:right w:val="nil"/>
            </w:tcBorders>
            <w:noWrap/>
            <w:vAlign w:val="bottom"/>
            <w:hideMark/>
          </w:tcPr>
          <w:p w14:paraId="6E2CE87D"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10 to 12</w:t>
            </w:r>
          </w:p>
        </w:tc>
        <w:tc>
          <w:tcPr>
            <w:tcW w:w="703" w:type="pct"/>
            <w:tcBorders>
              <w:top w:val="nil"/>
              <w:left w:val="nil"/>
              <w:right w:val="nil"/>
            </w:tcBorders>
            <w:noWrap/>
            <w:vAlign w:val="bottom"/>
            <w:hideMark/>
          </w:tcPr>
          <w:p w14:paraId="4BDFF2E7" w14:textId="69EE183A" w:rsidR="00154526" w:rsidRPr="00B77C0B" w:rsidRDefault="00366C38"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w:t>
            </w:r>
          </w:p>
        </w:tc>
        <w:tc>
          <w:tcPr>
            <w:tcW w:w="547" w:type="pct"/>
            <w:tcBorders>
              <w:top w:val="nil"/>
              <w:left w:val="nil"/>
              <w:right w:val="single" w:sz="4" w:space="0" w:color="auto"/>
            </w:tcBorders>
            <w:noWrap/>
            <w:vAlign w:val="bottom"/>
            <w:hideMark/>
          </w:tcPr>
          <w:p w14:paraId="69766C8B" w14:textId="6E246227" w:rsidR="00154526" w:rsidRPr="00B77C0B" w:rsidRDefault="00154526" w:rsidP="00EB59D5">
            <w:pPr>
              <w:spacing w:after="0" w:line="240" w:lineRule="auto"/>
              <w:rPr>
                <w:rFonts w:eastAsia="Times New Roman" w:cs="Arial"/>
                <w:color w:val="000000"/>
                <w:sz w:val="20"/>
                <w:szCs w:val="20"/>
              </w:rPr>
            </w:pPr>
          </w:p>
        </w:tc>
        <w:tc>
          <w:tcPr>
            <w:tcW w:w="3125" w:type="pct"/>
            <w:tcBorders>
              <w:top w:val="nil"/>
              <w:left w:val="single" w:sz="4" w:space="0" w:color="auto"/>
              <w:bottom w:val="nil"/>
              <w:right w:val="nil"/>
            </w:tcBorders>
            <w:noWrap/>
            <w:vAlign w:val="bottom"/>
            <w:hideMark/>
          </w:tcPr>
          <w:p w14:paraId="7F2F0E86" w14:textId="77777777" w:rsidR="00154526" w:rsidRPr="00B77C0B" w:rsidRDefault="00154526" w:rsidP="00EB59D5">
            <w:pPr>
              <w:spacing w:after="0" w:line="240" w:lineRule="auto"/>
              <w:rPr>
                <w:rFonts w:eastAsia="Times New Roman" w:cs="Arial"/>
                <w:sz w:val="20"/>
                <w:szCs w:val="20"/>
              </w:rPr>
            </w:pPr>
          </w:p>
        </w:tc>
      </w:tr>
      <w:tr w:rsidR="00410516" w:rsidRPr="00B77C0B" w14:paraId="3B432C9E" w14:textId="77777777" w:rsidTr="00107E73">
        <w:trPr>
          <w:divId w:val="1159424424"/>
          <w:trHeight w:val="454"/>
          <w:jc w:val="center"/>
        </w:trPr>
        <w:tc>
          <w:tcPr>
            <w:tcW w:w="625" w:type="pct"/>
            <w:tcBorders>
              <w:top w:val="nil"/>
              <w:left w:val="nil"/>
              <w:bottom w:val="nil"/>
              <w:right w:val="nil"/>
            </w:tcBorders>
            <w:noWrap/>
            <w:vAlign w:val="center"/>
            <w:hideMark/>
          </w:tcPr>
          <w:p w14:paraId="67AFD1A9"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13</w:t>
            </w:r>
          </w:p>
        </w:tc>
        <w:tc>
          <w:tcPr>
            <w:tcW w:w="703" w:type="pct"/>
            <w:tcBorders>
              <w:top w:val="nil"/>
              <w:left w:val="nil"/>
              <w:bottom w:val="nil"/>
              <w:right w:val="nil"/>
            </w:tcBorders>
            <w:noWrap/>
            <w:vAlign w:val="center"/>
            <w:hideMark/>
          </w:tcPr>
          <w:p w14:paraId="5F0B3116" w14:textId="68D0967A"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w:t>
            </w:r>
          </w:p>
        </w:tc>
        <w:tc>
          <w:tcPr>
            <w:tcW w:w="547" w:type="pct"/>
            <w:tcBorders>
              <w:top w:val="nil"/>
              <w:left w:val="nil"/>
              <w:bottom w:val="nil"/>
              <w:right w:val="single" w:sz="4" w:space="0" w:color="auto"/>
            </w:tcBorders>
            <w:noWrap/>
            <w:vAlign w:val="center"/>
            <w:hideMark/>
          </w:tcPr>
          <w:p w14:paraId="4B66FA06" w14:textId="77777777" w:rsidR="00154526" w:rsidRPr="00B77C0B" w:rsidRDefault="00154526" w:rsidP="00EB59D5">
            <w:pPr>
              <w:spacing w:after="0" w:line="240" w:lineRule="auto"/>
              <w:jc w:val="center"/>
              <w:rPr>
                <w:rFonts w:eastAsia="Times New Roman" w:cs="Arial"/>
                <w:color w:val="000000"/>
                <w:sz w:val="20"/>
                <w:szCs w:val="20"/>
              </w:rPr>
            </w:pPr>
          </w:p>
        </w:tc>
        <w:tc>
          <w:tcPr>
            <w:tcW w:w="3125" w:type="pct"/>
            <w:tcBorders>
              <w:top w:val="nil"/>
              <w:left w:val="single" w:sz="4" w:space="0" w:color="auto"/>
              <w:bottom w:val="nil"/>
              <w:right w:val="nil"/>
            </w:tcBorders>
            <w:noWrap/>
            <w:vAlign w:val="bottom"/>
            <w:hideMark/>
          </w:tcPr>
          <w:p w14:paraId="48929AA3" w14:textId="77777777" w:rsidR="00154526" w:rsidRPr="00B77C0B" w:rsidRDefault="00154526" w:rsidP="00EB59D5">
            <w:pPr>
              <w:spacing w:after="0" w:line="240" w:lineRule="auto"/>
              <w:rPr>
                <w:rFonts w:eastAsia="Times New Roman" w:cs="Arial"/>
                <w:sz w:val="20"/>
                <w:szCs w:val="20"/>
              </w:rPr>
            </w:pPr>
          </w:p>
        </w:tc>
      </w:tr>
      <w:tr w:rsidR="00410516" w:rsidRPr="00B77C0B" w14:paraId="7BB2AC7E" w14:textId="77777777" w:rsidTr="00107E73">
        <w:trPr>
          <w:divId w:val="1159424424"/>
          <w:trHeight w:val="454"/>
          <w:jc w:val="center"/>
        </w:trPr>
        <w:tc>
          <w:tcPr>
            <w:tcW w:w="625" w:type="pct"/>
            <w:tcBorders>
              <w:top w:val="nil"/>
              <w:left w:val="nil"/>
              <w:bottom w:val="single" w:sz="4" w:space="0" w:color="auto"/>
              <w:right w:val="nil"/>
            </w:tcBorders>
            <w:noWrap/>
            <w:vAlign w:val="center"/>
            <w:hideMark/>
          </w:tcPr>
          <w:p w14:paraId="1B13753A"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15</w:t>
            </w:r>
          </w:p>
        </w:tc>
        <w:tc>
          <w:tcPr>
            <w:tcW w:w="703" w:type="pct"/>
            <w:tcBorders>
              <w:top w:val="nil"/>
              <w:left w:val="nil"/>
              <w:bottom w:val="single" w:sz="4" w:space="0" w:color="auto"/>
              <w:right w:val="nil"/>
            </w:tcBorders>
            <w:noWrap/>
            <w:vAlign w:val="center"/>
            <w:hideMark/>
          </w:tcPr>
          <w:p w14:paraId="54850504" w14:textId="2A3111E3"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Parker</w:t>
            </w:r>
            <w:r w:rsidR="007F0EF3" w:rsidRPr="00B77C0B">
              <w:rPr>
                <w:rFonts w:eastAsia="Times New Roman" w:cs="Arial"/>
                <w:color w:val="000000"/>
                <w:sz w:val="20"/>
                <w:szCs w:val="20"/>
              </w:rPr>
              <w:fldChar w:fldCharType="begin" w:fldLock="1"/>
            </w:r>
            <w:r w:rsidR="00E81BA1">
              <w:rPr>
                <w:rFonts w:eastAsia="Times New Roman" w:cs="Arial"/>
                <w:color w:val="000000"/>
                <w:sz w:val="20"/>
                <w:szCs w:val="20"/>
              </w:rPr>
              <w:instrText>ADDIN CSL_CITATION {"citationItems":[{"id":"ITEM-1","itemData":{"author":[{"dropping-particle":"","family":"Parker","given":"Kathlyn A","non-dropping-particle":"","parse-names":false,"suffix":""},{"dropping-particle":"","family":"Resnick","given":"Lynn","non-dropping-particle":"","parse-names":false,"suffix":""}],"container-title":"J. Org. Chem","id":"ITEM-1","issued":{"date-parts":[["1995"]]},"page":"5726-5728","title":"The First Total Synthesis of a Pyripyropene-Type ACAT Inhibitor, (±)-GERI-BP00P","type":"article-journal","volume":"60"},"uris":["http://www.mendeley.com/documents/?uuid=69ff7802-7313-39ed-9c41-6a5fc134f0a8"]}],"mendeley":{"formattedCitation":"&lt;sup&gt;21&lt;/sup&gt;","plainTextFormattedCitation":"21","previouslyFormattedCitation":"&lt;sup&gt;20&lt;/sup&gt;"},"properties":{"noteIndex":0},"schema":"https://github.com/citation-style-language/schema/raw/master/csl-citation.json"}</w:instrText>
            </w:r>
            <w:r w:rsidR="007F0EF3" w:rsidRPr="00B77C0B">
              <w:rPr>
                <w:rFonts w:eastAsia="Times New Roman" w:cs="Arial"/>
                <w:color w:val="000000"/>
                <w:sz w:val="20"/>
                <w:szCs w:val="20"/>
              </w:rPr>
              <w:fldChar w:fldCharType="separate"/>
            </w:r>
            <w:r w:rsidR="00E81BA1" w:rsidRPr="00E81BA1">
              <w:rPr>
                <w:rFonts w:eastAsia="Times New Roman" w:cs="Arial"/>
                <w:noProof/>
                <w:color w:val="000000"/>
                <w:sz w:val="20"/>
                <w:szCs w:val="20"/>
                <w:vertAlign w:val="superscript"/>
              </w:rPr>
              <w:t>21</w:t>
            </w:r>
            <w:r w:rsidR="007F0EF3" w:rsidRPr="00B77C0B">
              <w:rPr>
                <w:rFonts w:eastAsia="Times New Roman" w:cs="Arial"/>
                <w:color w:val="000000"/>
                <w:sz w:val="20"/>
                <w:szCs w:val="20"/>
              </w:rPr>
              <w:fldChar w:fldCharType="end"/>
            </w:r>
          </w:p>
        </w:tc>
        <w:tc>
          <w:tcPr>
            <w:tcW w:w="547" w:type="pct"/>
            <w:tcBorders>
              <w:top w:val="nil"/>
              <w:left w:val="nil"/>
              <w:bottom w:val="single" w:sz="4" w:space="0" w:color="auto"/>
              <w:right w:val="single" w:sz="4" w:space="0" w:color="auto"/>
            </w:tcBorders>
            <w:noWrap/>
            <w:vAlign w:val="center"/>
            <w:hideMark/>
          </w:tcPr>
          <w:p w14:paraId="0E1E4738" w14:textId="77777777" w:rsidR="00154526" w:rsidRPr="00B77C0B" w:rsidRDefault="00154526" w:rsidP="00EB59D5">
            <w:pPr>
              <w:spacing w:after="0" w:line="240" w:lineRule="auto"/>
              <w:jc w:val="center"/>
              <w:rPr>
                <w:rFonts w:eastAsia="Times New Roman" w:cs="Arial"/>
                <w:color w:val="000000"/>
                <w:sz w:val="20"/>
                <w:szCs w:val="20"/>
              </w:rPr>
            </w:pPr>
            <w:r w:rsidRPr="00B77C0B">
              <w:rPr>
                <w:rFonts w:eastAsia="Times New Roman" w:cs="Arial"/>
                <w:color w:val="000000"/>
                <w:sz w:val="20"/>
                <w:szCs w:val="20"/>
              </w:rPr>
              <w:t>Hg</w:t>
            </w:r>
          </w:p>
        </w:tc>
        <w:tc>
          <w:tcPr>
            <w:tcW w:w="3125" w:type="pct"/>
            <w:tcBorders>
              <w:top w:val="nil"/>
              <w:left w:val="single" w:sz="4" w:space="0" w:color="auto"/>
              <w:bottom w:val="single" w:sz="4" w:space="0" w:color="auto"/>
              <w:right w:val="nil"/>
            </w:tcBorders>
            <w:noWrap/>
            <w:vAlign w:val="bottom"/>
            <w:hideMark/>
          </w:tcPr>
          <w:p w14:paraId="3A9EDDE0" w14:textId="77777777" w:rsidR="00154526" w:rsidRPr="00B77C0B" w:rsidRDefault="00154526" w:rsidP="00EB59D5">
            <w:pPr>
              <w:spacing w:after="0" w:line="240" w:lineRule="auto"/>
              <w:rPr>
                <w:rFonts w:eastAsia="Times New Roman" w:cs="Arial"/>
                <w:color w:val="000000"/>
                <w:sz w:val="20"/>
                <w:szCs w:val="20"/>
              </w:rPr>
            </w:pPr>
            <w:r w:rsidRPr="00B77C0B">
              <w:rPr>
                <w:rFonts w:eastAsia="Times New Roman" w:cs="Arial"/>
                <w:color w:val="000000"/>
                <w:sz w:val="20"/>
                <w:szCs w:val="20"/>
              </w:rPr>
              <w:t>moderate yield, toxic mercury, requires demercuration, stereospecific</w:t>
            </w:r>
          </w:p>
        </w:tc>
      </w:tr>
    </w:tbl>
    <w:p w14:paraId="2D8481BB" w14:textId="77777777" w:rsidR="00235914" w:rsidRDefault="00235914" w:rsidP="00FA3D6A">
      <w:pPr>
        <w:sectPr w:rsidR="00235914" w:rsidSect="002A0379">
          <w:footerReference w:type="default" r:id="rId26"/>
          <w:pgSz w:w="11906" w:h="16838"/>
          <w:pgMar w:top="1417" w:right="1417" w:bottom="1134" w:left="1417" w:header="708" w:footer="708" w:gutter="0"/>
          <w:cols w:space="708"/>
          <w:docGrid w:linePitch="360"/>
        </w:sectPr>
      </w:pPr>
    </w:p>
    <w:p w14:paraId="0BE264B4" w14:textId="55FCC66A" w:rsidR="007C71F1" w:rsidRDefault="007C71F1" w:rsidP="00EB59D5">
      <w:pPr>
        <w:rPr>
          <w:b/>
          <w:bCs/>
        </w:rPr>
      </w:pPr>
      <w:bookmarkStart w:id="23" w:name="_Toc134623368"/>
      <w:r w:rsidRPr="00EB59D5">
        <w:rPr>
          <w:rStyle w:val="Heading1Char"/>
        </w:rPr>
        <w:lastRenderedPageBreak/>
        <w:t xml:space="preserve">Supporting Table S </w:t>
      </w:r>
      <w:r w:rsidRPr="00EB59D5">
        <w:rPr>
          <w:rStyle w:val="Heading1Char"/>
        </w:rPr>
        <w:fldChar w:fldCharType="begin"/>
      </w:r>
      <w:r w:rsidRPr="00EB59D5">
        <w:rPr>
          <w:rStyle w:val="Heading1Char"/>
        </w:rPr>
        <w:instrText xml:space="preserve"> SEQ Supporting_Table_S \* ARABIC </w:instrText>
      </w:r>
      <w:r w:rsidRPr="00EB59D5">
        <w:rPr>
          <w:rStyle w:val="Heading1Char"/>
        </w:rPr>
        <w:fldChar w:fldCharType="separate"/>
      </w:r>
      <w:r w:rsidR="00AA5E09">
        <w:rPr>
          <w:rStyle w:val="Heading1Char"/>
          <w:noProof/>
        </w:rPr>
        <w:t>3</w:t>
      </w:r>
      <w:bookmarkEnd w:id="23"/>
      <w:r w:rsidRPr="00EB59D5">
        <w:rPr>
          <w:rStyle w:val="Heading1Char"/>
        </w:rPr>
        <w:fldChar w:fldCharType="end"/>
      </w:r>
      <w:r>
        <w:t xml:space="preserve">: </w:t>
      </w:r>
      <w:r w:rsidRPr="00EB59D5">
        <w:rPr>
          <w:bCs/>
          <w:sz w:val="20"/>
          <w:szCs w:val="20"/>
        </w:rPr>
        <w:t xml:space="preserve">Summary of upscales </w:t>
      </w:r>
      <w:r w:rsidR="00B77C0B" w:rsidRPr="00EB59D5">
        <w:rPr>
          <w:bCs/>
          <w:sz w:val="20"/>
          <w:szCs w:val="20"/>
        </w:rPr>
        <w:t>of th</w:t>
      </w:r>
      <w:r w:rsidR="00EB59D5">
        <w:rPr>
          <w:bCs/>
          <w:sz w:val="20"/>
          <w:szCs w:val="20"/>
        </w:rPr>
        <w:t>is</w:t>
      </w:r>
      <w:r w:rsidR="00B77C0B" w:rsidRPr="00EB59D5">
        <w:rPr>
          <w:bCs/>
          <w:sz w:val="20"/>
          <w:szCs w:val="20"/>
        </w:rPr>
        <w:t xml:space="preserve"> study.</w:t>
      </w:r>
    </w:p>
    <w:tbl>
      <w:tblPr>
        <w:tblW w:w="14287" w:type="dxa"/>
        <w:tblLayout w:type="fixed"/>
        <w:tblLook w:val="04A0" w:firstRow="1" w:lastRow="0" w:firstColumn="1" w:lastColumn="0" w:noHBand="0" w:noVBand="1"/>
      </w:tblPr>
      <w:tblGrid>
        <w:gridCol w:w="1256"/>
        <w:gridCol w:w="590"/>
        <w:gridCol w:w="603"/>
        <w:gridCol w:w="559"/>
        <w:gridCol w:w="559"/>
        <w:gridCol w:w="448"/>
        <w:gridCol w:w="1088"/>
        <w:gridCol w:w="567"/>
        <w:gridCol w:w="1006"/>
        <w:gridCol w:w="681"/>
        <w:gridCol w:w="698"/>
        <w:gridCol w:w="698"/>
        <w:gridCol w:w="618"/>
        <w:gridCol w:w="618"/>
        <w:gridCol w:w="618"/>
        <w:gridCol w:w="612"/>
        <w:gridCol w:w="405"/>
        <w:gridCol w:w="567"/>
        <w:gridCol w:w="425"/>
        <w:gridCol w:w="567"/>
        <w:gridCol w:w="567"/>
        <w:gridCol w:w="537"/>
      </w:tblGrid>
      <w:tr w:rsidR="00737205" w:rsidRPr="00737205" w14:paraId="21F252F7" w14:textId="77777777" w:rsidTr="00953F63">
        <w:trPr>
          <w:cantSplit/>
          <w:trHeight w:val="1134"/>
        </w:trPr>
        <w:tc>
          <w:tcPr>
            <w:tcW w:w="1256" w:type="dxa"/>
            <w:tcBorders>
              <w:top w:val="single" w:sz="4" w:space="0" w:color="auto"/>
              <w:left w:val="nil"/>
              <w:bottom w:val="single" w:sz="4" w:space="0" w:color="auto"/>
              <w:right w:val="nil"/>
            </w:tcBorders>
            <w:shd w:val="clear" w:color="auto" w:fill="auto"/>
            <w:textDirection w:val="btLr"/>
            <w:vAlign w:val="center"/>
            <w:hideMark/>
          </w:tcPr>
          <w:p w14:paraId="2E7FD94D"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substrate</w:t>
            </w:r>
          </w:p>
        </w:tc>
        <w:tc>
          <w:tcPr>
            <w:tcW w:w="590" w:type="dxa"/>
            <w:tcBorders>
              <w:top w:val="single" w:sz="4" w:space="0" w:color="auto"/>
              <w:left w:val="nil"/>
              <w:bottom w:val="single" w:sz="4" w:space="0" w:color="auto"/>
              <w:right w:val="nil"/>
            </w:tcBorders>
            <w:shd w:val="clear" w:color="auto" w:fill="auto"/>
            <w:textDirection w:val="btLr"/>
            <w:vAlign w:val="center"/>
            <w:hideMark/>
          </w:tcPr>
          <w:p w14:paraId="79C033DD"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density [g/mL]</w:t>
            </w:r>
          </w:p>
        </w:tc>
        <w:tc>
          <w:tcPr>
            <w:tcW w:w="603" w:type="dxa"/>
            <w:tcBorders>
              <w:top w:val="single" w:sz="4" w:space="0" w:color="auto"/>
              <w:left w:val="nil"/>
              <w:bottom w:val="single" w:sz="4" w:space="0" w:color="auto"/>
              <w:right w:val="nil"/>
            </w:tcBorders>
            <w:shd w:val="clear" w:color="auto" w:fill="auto"/>
            <w:textDirection w:val="btLr"/>
            <w:vAlign w:val="center"/>
            <w:hideMark/>
          </w:tcPr>
          <w:p w14:paraId="5D929DC5"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MW [g/mol]</w:t>
            </w:r>
          </w:p>
        </w:tc>
        <w:tc>
          <w:tcPr>
            <w:tcW w:w="559" w:type="dxa"/>
            <w:tcBorders>
              <w:top w:val="single" w:sz="4" w:space="0" w:color="auto"/>
              <w:left w:val="nil"/>
              <w:bottom w:val="single" w:sz="4" w:space="0" w:color="auto"/>
              <w:right w:val="nil"/>
            </w:tcBorders>
            <w:shd w:val="clear" w:color="auto" w:fill="auto"/>
            <w:textDirection w:val="btLr"/>
            <w:vAlign w:val="center"/>
            <w:hideMark/>
          </w:tcPr>
          <w:p w14:paraId="5CBB6B67"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mol [mol]</w:t>
            </w:r>
          </w:p>
        </w:tc>
        <w:tc>
          <w:tcPr>
            <w:tcW w:w="559" w:type="dxa"/>
            <w:tcBorders>
              <w:top w:val="single" w:sz="4" w:space="0" w:color="auto"/>
              <w:left w:val="nil"/>
              <w:bottom w:val="single" w:sz="4" w:space="0" w:color="auto"/>
              <w:right w:val="nil"/>
            </w:tcBorders>
            <w:shd w:val="clear" w:color="auto" w:fill="auto"/>
            <w:textDirection w:val="btLr"/>
            <w:vAlign w:val="center"/>
            <w:hideMark/>
          </w:tcPr>
          <w:p w14:paraId="1D142A48"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mass [g]</w:t>
            </w:r>
          </w:p>
        </w:tc>
        <w:tc>
          <w:tcPr>
            <w:tcW w:w="448" w:type="dxa"/>
            <w:tcBorders>
              <w:top w:val="single" w:sz="4" w:space="0" w:color="auto"/>
              <w:left w:val="nil"/>
              <w:bottom w:val="single" w:sz="4" w:space="0" w:color="auto"/>
              <w:right w:val="nil"/>
            </w:tcBorders>
            <w:shd w:val="clear" w:color="auto" w:fill="auto"/>
            <w:textDirection w:val="btLr"/>
            <w:vAlign w:val="center"/>
            <w:hideMark/>
          </w:tcPr>
          <w:p w14:paraId="29A6DA29"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[mL]</w:t>
            </w:r>
          </w:p>
        </w:tc>
        <w:tc>
          <w:tcPr>
            <w:tcW w:w="1088" w:type="dxa"/>
            <w:tcBorders>
              <w:top w:val="single" w:sz="4" w:space="0" w:color="auto"/>
              <w:left w:val="nil"/>
              <w:bottom w:val="single" w:sz="4" w:space="0" w:color="auto"/>
              <w:right w:val="nil"/>
            </w:tcBorders>
            <w:shd w:val="clear" w:color="auto" w:fill="auto"/>
            <w:textDirection w:val="btLr"/>
            <w:vAlign w:val="center"/>
            <w:hideMark/>
          </w:tcPr>
          <w:p w14:paraId="010C0DBF"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variant</w:t>
            </w:r>
          </w:p>
        </w:tc>
        <w:tc>
          <w:tcPr>
            <w:tcW w:w="567" w:type="dxa"/>
            <w:tcBorders>
              <w:top w:val="single" w:sz="4" w:space="0" w:color="auto"/>
              <w:left w:val="nil"/>
              <w:bottom w:val="single" w:sz="4" w:space="0" w:color="auto"/>
              <w:right w:val="nil"/>
            </w:tcBorders>
            <w:shd w:val="clear" w:color="auto" w:fill="auto"/>
            <w:textDirection w:val="btLr"/>
            <w:vAlign w:val="center"/>
            <w:hideMark/>
          </w:tcPr>
          <w:p w14:paraId="46780A5D"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volume [L]</w:t>
            </w:r>
          </w:p>
        </w:tc>
        <w:tc>
          <w:tcPr>
            <w:tcW w:w="1006" w:type="dxa"/>
            <w:tcBorders>
              <w:top w:val="single" w:sz="4" w:space="0" w:color="auto"/>
              <w:left w:val="nil"/>
              <w:bottom w:val="single" w:sz="4" w:space="0" w:color="auto"/>
              <w:right w:val="nil"/>
            </w:tcBorders>
            <w:shd w:val="clear" w:color="auto" w:fill="auto"/>
            <w:textDirection w:val="btLr"/>
            <w:vAlign w:val="center"/>
            <w:hideMark/>
          </w:tcPr>
          <w:p w14:paraId="0632718C"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Temperature [°C]</w:t>
            </w:r>
          </w:p>
        </w:tc>
        <w:tc>
          <w:tcPr>
            <w:tcW w:w="681" w:type="dxa"/>
            <w:tcBorders>
              <w:top w:val="single" w:sz="4" w:space="0" w:color="auto"/>
              <w:left w:val="nil"/>
              <w:bottom w:val="single" w:sz="4" w:space="0" w:color="auto"/>
              <w:right w:val="nil"/>
            </w:tcBorders>
            <w:shd w:val="clear" w:color="auto" w:fill="auto"/>
            <w:textDirection w:val="btLr"/>
            <w:vAlign w:val="center"/>
            <w:hideMark/>
          </w:tcPr>
          <w:p w14:paraId="583ACC0B"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additives</w:t>
            </w:r>
          </w:p>
        </w:tc>
        <w:tc>
          <w:tcPr>
            <w:tcW w:w="698" w:type="dxa"/>
            <w:tcBorders>
              <w:top w:val="single" w:sz="4" w:space="0" w:color="auto"/>
              <w:left w:val="nil"/>
              <w:bottom w:val="single" w:sz="4" w:space="0" w:color="auto"/>
              <w:right w:val="nil"/>
            </w:tcBorders>
            <w:shd w:val="clear" w:color="auto" w:fill="auto"/>
            <w:textDirection w:val="btLr"/>
            <w:vAlign w:val="center"/>
            <w:hideMark/>
          </w:tcPr>
          <w:p w14:paraId="62B2A713"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substrate amount [mM]</w:t>
            </w:r>
          </w:p>
        </w:tc>
        <w:tc>
          <w:tcPr>
            <w:tcW w:w="698" w:type="dxa"/>
            <w:tcBorders>
              <w:top w:val="single" w:sz="4" w:space="0" w:color="auto"/>
              <w:left w:val="nil"/>
              <w:bottom w:val="single" w:sz="4" w:space="0" w:color="auto"/>
              <w:right w:val="nil"/>
            </w:tcBorders>
            <w:shd w:val="clear" w:color="auto" w:fill="auto"/>
            <w:textDirection w:val="btLr"/>
            <w:vAlign w:val="center"/>
            <w:hideMark/>
          </w:tcPr>
          <w:p w14:paraId="7AC05F03"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substrate amount [g/L]</w:t>
            </w:r>
          </w:p>
        </w:tc>
        <w:tc>
          <w:tcPr>
            <w:tcW w:w="618" w:type="dxa"/>
            <w:tcBorders>
              <w:top w:val="single" w:sz="4" w:space="0" w:color="auto"/>
              <w:left w:val="nil"/>
              <w:bottom w:val="single" w:sz="4" w:space="0" w:color="auto"/>
              <w:right w:val="nil"/>
            </w:tcBorders>
            <w:shd w:val="clear" w:color="auto" w:fill="auto"/>
            <w:textDirection w:val="btLr"/>
            <w:vAlign w:val="center"/>
            <w:hideMark/>
          </w:tcPr>
          <w:p w14:paraId="4109F17F"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cell amount [g/L]</w:t>
            </w:r>
          </w:p>
        </w:tc>
        <w:tc>
          <w:tcPr>
            <w:tcW w:w="618" w:type="dxa"/>
            <w:tcBorders>
              <w:top w:val="single" w:sz="4" w:space="0" w:color="auto"/>
              <w:left w:val="nil"/>
              <w:bottom w:val="single" w:sz="4" w:space="0" w:color="auto"/>
              <w:right w:val="nil"/>
            </w:tcBorders>
            <w:shd w:val="clear" w:color="auto" w:fill="auto"/>
            <w:textDirection w:val="btLr"/>
            <w:vAlign w:val="center"/>
            <w:hideMark/>
          </w:tcPr>
          <w:p w14:paraId="35827545"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SHC amount [g/L]</w:t>
            </w:r>
          </w:p>
        </w:tc>
        <w:tc>
          <w:tcPr>
            <w:tcW w:w="618" w:type="dxa"/>
            <w:tcBorders>
              <w:top w:val="single" w:sz="4" w:space="0" w:color="auto"/>
              <w:left w:val="nil"/>
              <w:bottom w:val="single" w:sz="4" w:space="0" w:color="auto"/>
              <w:right w:val="nil"/>
            </w:tcBorders>
            <w:shd w:val="clear" w:color="auto" w:fill="auto"/>
            <w:textDirection w:val="btLr"/>
            <w:vAlign w:val="center"/>
            <w:hideMark/>
          </w:tcPr>
          <w:p w14:paraId="68D9B3A0"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SHC amount [mM]</w:t>
            </w:r>
          </w:p>
        </w:tc>
        <w:tc>
          <w:tcPr>
            <w:tcW w:w="612" w:type="dxa"/>
            <w:tcBorders>
              <w:top w:val="single" w:sz="4" w:space="0" w:color="auto"/>
              <w:left w:val="nil"/>
              <w:bottom w:val="single" w:sz="4" w:space="0" w:color="auto"/>
              <w:right w:val="nil"/>
            </w:tcBorders>
            <w:shd w:val="clear" w:color="auto" w:fill="auto"/>
            <w:textDirection w:val="btLr"/>
            <w:vAlign w:val="center"/>
            <w:hideMark/>
          </w:tcPr>
          <w:p w14:paraId="02CCFFFC"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catalyst loading [mol-%]</w:t>
            </w:r>
          </w:p>
        </w:tc>
        <w:tc>
          <w:tcPr>
            <w:tcW w:w="405" w:type="dxa"/>
            <w:tcBorders>
              <w:top w:val="single" w:sz="4" w:space="0" w:color="auto"/>
              <w:left w:val="nil"/>
              <w:bottom w:val="single" w:sz="4" w:space="0" w:color="auto"/>
              <w:right w:val="nil"/>
            </w:tcBorders>
            <w:shd w:val="clear" w:color="auto" w:fill="auto"/>
            <w:textDirection w:val="btLr"/>
            <w:vAlign w:val="center"/>
            <w:hideMark/>
          </w:tcPr>
          <w:p w14:paraId="0D850785"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conversion [%]</w:t>
            </w:r>
          </w:p>
        </w:tc>
        <w:tc>
          <w:tcPr>
            <w:tcW w:w="567" w:type="dxa"/>
            <w:tcBorders>
              <w:top w:val="single" w:sz="4" w:space="0" w:color="auto"/>
              <w:left w:val="nil"/>
              <w:bottom w:val="single" w:sz="4" w:space="0" w:color="auto"/>
              <w:right w:val="nil"/>
            </w:tcBorders>
            <w:shd w:val="clear" w:color="auto" w:fill="auto"/>
            <w:textDirection w:val="btLr"/>
            <w:vAlign w:val="center"/>
            <w:hideMark/>
          </w:tcPr>
          <w:p w14:paraId="437E29CC"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yield [g]</w:t>
            </w:r>
          </w:p>
        </w:tc>
        <w:tc>
          <w:tcPr>
            <w:tcW w:w="425" w:type="dxa"/>
            <w:tcBorders>
              <w:top w:val="single" w:sz="4" w:space="0" w:color="auto"/>
              <w:left w:val="nil"/>
              <w:bottom w:val="single" w:sz="4" w:space="0" w:color="auto"/>
              <w:right w:val="nil"/>
            </w:tcBorders>
            <w:shd w:val="clear" w:color="auto" w:fill="auto"/>
            <w:textDirection w:val="btLr"/>
            <w:vAlign w:val="center"/>
            <w:hideMark/>
          </w:tcPr>
          <w:p w14:paraId="5A165598"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yield [%]</w:t>
            </w:r>
          </w:p>
        </w:tc>
        <w:tc>
          <w:tcPr>
            <w:tcW w:w="567" w:type="dxa"/>
            <w:tcBorders>
              <w:top w:val="single" w:sz="4" w:space="0" w:color="auto"/>
              <w:left w:val="nil"/>
              <w:bottom w:val="single" w:sz="4" w:space="0" w:color="auto"/>
              <w:right w:val="nil"/>
            </w:tcBorders>
            <w:shd w:val="clear" w:color="auto" w:fill="auto"/>
            <w:textDirection w:val="btLr"/>
            <w:vAlign w:val="center"/>
            <w:hideMark/>
          </w:tcPr>
          <w:p w14:paraId="25DE83EF"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time [h]</w:t>
            </w:r>
          </w:p>
        </w:tc>
        <w:tc>
          <w:tcPr>
            <w:tcW w:w="567" w:type="dxa"/>
            <w:tcBorders>
              <w:top w:val="single" w:sz="4" w:space="0" w:color="auto"/>
              <w:left w:val="nil"/>
              <w:bottom w:val="single" w:sz="4" w:space="0" w:color="auto"/>
              <w:right w:val="nil"/>
            </w:tcBorders>
            <w:shd w:val="clear" w:color="auto" w:fill="auto"/>
            <w:textDirection w:val="btLr"/>
            <w:vAlign w:val="center"/>
            <w:hideMark/>
          </w:tcPr>
          <w:p w14:paraId="647827E3"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TTN</w:t>
            </w:r>
          </w:p>
        </w:tc>
        <w:tc>
          <w:tcPr>
            <w:tcW w:w="537" w:type="dxa"/>
            <w:tcBorders>
              <w:top w:val="single" w:sz="4" w:space="0" w:color="auto"/>
              <w:left w:val="nil"/>
              <w:bottom w:val="single" w:sz="4" w:space="0" w:color="auto"/>
              <w:right w:val="nil"/>
            </w:tcBorders>
            <w:shd w:val="clear" w:color="auto" w:fill="auto"/>
            <w:textDirection w:val="btLr"/>
            <w:vAlign w:val="center"/>
            <w:hideMark/>
          </w:tcPr>
          <w:p w14:paraId="709F14EA" w14:textId="77777777" w:rsidR="00737205" w:rsidRPr="00737205" w:rsidRDefault="00737205" w:rsidP="00737205">
            <w:pPr>
              <w:spacing w:after="0" w:line="240" w:lineRule="auto"/>
              <w:ind w:left="113" w:right="113"/>
              <w:jc w:val="center"/>
              <w:rPr>
                <w:rFonts w:ascii="Calibri" w:eastAsia="Times New Roman" w:hAnsi="Calibri" w:cs="Calibri"/>
                <w:b/>
                <w:bCs/>
                <w:color w:val="000000"/>
                <w:sz w:val="16"/>
                <w:szCs w:val="16"/>
              </w:rPr>
            </w:pPr>
            <w:r w:rsidRPr="00737205">
              <w:rPr>
                <w:rFonts w:ascii="Calibri" w:eastAsia="Times New Roman" w:hAnsi="Calibri" w:cs="Calibri"/>
                <w:b/>
                <w:bCs/>
                <w:color w:val="000000"/>
                <w:sz w:val="16"/>
                <w:szCs w:val="16"/>
              </w:rPr>
              <w:t>TOF [h</w:t>
            </w:r>
            <w:r w:rsidRPr="00737205">
              <w:rPr>
                <w:rFonts w:ascii="Calibri" w:eastAsia="Times New Roman" w:hAnsi="Calibri" w:cs="Calibri"/>
                <w:b/>
                <w:bCs/>
                <w:color w:val="000000"/>
                <w:sz w:val="16"/>
                <w:szCs w:val="16"/>
                <w:vertAlign w:val="superscript"/>
              </w:rPr>
              <w:t>-1</w:t>
            </w:r>
            <w:r w:rsidRPr="00737205">
              <w:rPr>
                <w:rFonts w:ascii="Calibri" w:eastAsia="Times New Roman" w:hAnsi="Calibri" w:cs="Calibri"/>
                <w:b/>
                <w:bCs/>
                <w:color w:val="000000"/>
                <w:sz w:val="16"/>
                <w:szCs w:val="16"/>
              </w:rPr>
              <w:t>]</w:t>
            </w:r>
          </w:p>
        </w:tc>
      </w:tr>
      <w:tr w:rsidR="00737205" w:rsidRPr="00737205" w14:paraId="6D7CA485" w14:textId="77777777" w:rsidTr="00953F63">
        <w:trPr>
          <w:trHeight w:val="705"/>
        </w:trPr>
        <w:tc>
          <w:tcPr>
            <w:tcW w:w="1256" w:type="dxa"/>
            <w:tcBorders>
              <w:top w:val="single" w:sz="4" w:space="0" w:color="auto"/>
              <w:left w:val="nil"/>
              <w:bottom w:val="nil"/>
              <w:right w:val="nil"/>
            </w:tcBorders>
            <w:shd w:val="clear" w:color="auto" w:fill="auto"/>
            <w:vAlign w:val="center"/>
            <w:hideMark/>
          </w:tcPr>
          <w:p w14:paraId="68658E3E" w14:textId="27976435" w:rsidR="00737205" w:rsidRPr="00737205" w:rsidRDefault="00737205" w:rsidP="0073720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d</w:t>
            </w:r>
            <w:r w:rsidRPr="00737205">
              <w:rPr>
                <w:rFonts w:ascii="Calibri" w:eastAsia="Times New Roman" w:hAnsi="Calibri" w:cs="Calibri"/>
                <w:color w:val="000000"/>
                <w:sz w:val="16"/>
                <w:szCs w:val="16"/>
              </w:rPr>
              <w:t>ihydroionone</w:t>
            </w:r>
            <w:r>
              <w:rPr>
                <w:rFonts w:ascii="Calibri" w:eastAsia="Times New Roman" w:hAnsi="Calibri" w:cs="Calibri"/>
                <w:color w:val="000000"/>
                <w:sz w:val="16"/>
                <w:szCs w:val="16"/>
              </w:rPr>
              <w:t xml:space="preserve"> </w:t>
            </w:r>
            <w:r w:rsidR="00E52211">
              <w:rPr>
                <w:rFonts w:ascii="Calibri" w:eastAsia="Times New Roman" w:hAnsi="Calibri" w:cs="Calibri"/>
                <w:color w:val="000000"/>
                <w:sz w:val="16"/>
                <w:szCs w:val="16"/>
              </w:rPr>
              <w:t>24</w:t>
            </w:r>
          </w:p>
        </w:tc>
        <w:tc>
          <w:tcPr>
            <w:tcW w:w="590" w:type="dxa"/>
            <w:tcBorders>
              <w:top w:val="single" w:sz="4" w:space="0" w:color="auto"/>
              <w:left w:val="nil"/>
              <w:bottom w:val="nil"/>
              <w:right w:val="nil"/>
            </w:tcBorders>
            <w:shd w:val="clear" w:color="auto" w:fill="auto"/>
            <w:vAlign w:val="center"/>
            <w:hideMark/>
          </w:tcPr>
          <w:p w14:paraId="1B0EC96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0.87</w:t>
            </w:r>
          </w:p>
        </w:tc>
        <w:tc>
          <w:tcPr>
            <w:tcW w:w="603" w:type="dxa"/>
            <w:tcBorders>
              <w:top w:val="single" w:sz="4" w:space="0" w:color="auto"/>
              <w:left w:val="nil"/>
              <w:bottom w:val="nil"/>
              <w:right w:val="nil"/>
            </w:tcBorders>
            <w:shd w:val="clear" w:color="auto" w:fill="auto"/>
            <w:vAlign w:val="center"/>
            <w:hideMark/>
          </w:tcPr>
          <w:p w14:paraId="2152197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194</w:t>
            </w:r>
          </w:p>
        </w:tc>
        <w:tc>
          <w:tcPr>
            <w:tcW w:w="559" w:type="dxa"/>
            <w:tcBorders>
              <w:top w:val="single" w:sz="4" w:space="0" w:color="auto"/>
              <w:left w:val="nil"/>
              <w:bottom w:val="nil"/>
              <w:right w:val="nil"/>
            </w:tcBorders>
            <w:shd w:val="clear" w:color="auto" w:fill="auto"/>
            <w:vAlign w:val="center"/>
            <w:hideMark/>
          </w:tcPr>
          <w:p w14:paraId="65A7ACE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0.0224</w:t>
            </w:r>
          </w:p>
        </w:tc>
        <w:tc>
          <w:tcPr>
            <w:tcW w:w="559" w:type="dxa"/>
            <w:tcBorders>
              <w:top w:val="single" w:sz="4" w:space="0" w:color="auto"/>
              <w:left w:val="nil"/>
              <w:bottom w:val="nil"/>
              <w:right w:val="nil"/>
            </w:tcBorders>
            <w:shd w:val="clear" w:color="auto" w:fill="auto"/>
            <w:vAlign w:val="center"/>
            <w:hideMark/>
          </w:tcPr>
          <w:p w14:paraId="6CA1802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4.35</w:t>
            </w:r>
          </w:p>
        </w:tc>
        <w:tc>
          <w:tcPr>
            <w:tcW w:w="448" w:type="dxa"/>
            <w:tcBorders>
              <w:top w:val="single" w:sz="4" w:space="0" w:color="auto"/>
              <w:left w:val="nil"/>
              <w:bottom w:val="nil"/>
              <w:right w:val="nil"/>
            </w:tcBorders>
            <w:shd w:val="clear" w:color="auto" w:fill="auto"/>
            <w:vAlign w:val="center"/>
            <w:hideMark/>
          </w:tcPr>
          <w:p w14:paraId="0ABEF8C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w:t>
            </w:r>
          </w:p>
        </w:tc>
        <w:tc>
          <w:tcPr>
            <w:tcW w:w="1088" w:type="dxa"/>
            <w:tcBorders>
              <w:top w:val="single" w:sz="4" w:space="0" w:color="auto"/>
              <w:left w:val="nil"/>
              <w:bottom w:val="nil"/>
              <w:right w:val="nil"/>
            </w:tcBorders>
            <w:shd w:val="clear" w:color="auto" w:fill="auto"/>
            <w:vAlign w:val="center"/>
            <w:hideMark/>
          </w:tcPr>
          <w:p w14:paraId="5B5B514C" w14:textId="5026D1EF" w:rsidR="00737205" w:rsidRPr="00737205" w:rsidRDefault="00B81800" w:rsidP="0073720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A306V</w:t>
            </w:r>
            <w:r w:rsidR="00953F63" w:rsidRPr="00737205">
              <w:rPr>
                <w:rFonts w:ascii="Calibri" w:eastAsia="Times New Roman" w:hAnsi="Calibri" w:cs="Calibri"/>
                <w:color w:val="000000"/>
                <w:sz w:val="16"/>
                <w:szCs w:val="16"/>
              </w:rPr>
              <w:t>/Y420F/G600</w:t>
            </w:r>
            <w:r>
              <w:rPr>
                <w:rFonts w:ascii="Calibri" w:eastAsia="Times New Roman" w:hAnsi="Calibri" w:cs="Calibri"/>
                <w:color w:val="000000"/>
                <w:sz w:val="16"/>
                <w:szCs w:val="16"/>
              </w:rPr>
              <w:t>T/L607A/I432T</w:t>
            </w:r>
          </w:p>
        </w:tc>
        <w:tc>
          <w:tcPr>
            <w:tcW w:w="567" w:type="dxa"/>
            <w:tcBorders>
              <w:top w:val="single" w:sz="4" w:space="0" w:color="auto"/>
              <w:left w:val="nil"/>
              <w:bottom w:val="nil"/>
              <w:right w:val="nil"/>
            </w:tcBorders>
            <w:shd w:val="clear" w:color="auto" w:fill="auto"/>
            <w:vAlign w:val="center"/>
            <w:hideMark/>
          </w:tcPr>
          <w:p w14:paraId="594AAA5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w:t>
            </w:r>
          </w:p>
        </w:tc>
        <w:tc>
          <w:tcPr>
            <w:tcW w:w="1006" w:type="dxa"/>
            <w:tcBorders>
              <w:top w:val="single" w:sz="4" w:space="0" w:color="auto"/>
              <w:left w:val="nil"/>
              <w:bottom w:val="nil"/>
              <w:right w:val="nil"/>
            </w:tcBorders>
            <w:shd w:val="clear" w:color="auto" w:fill="auto"/>
            <w:vAlign w:val="center"/>
            <w:hideMark/>
          </w:tcPr>
          <w:p w14:paraId="2076EF9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30</w:t>
            </w:r>
          </w:p>
        </w:tc>
        <w:tc>
          <w:tcPr>
            <w:tcW w:w="681" w:type="dxa"/>
            <w:tcBorders>
              <w:top w:val="single" w:sz="4" w:space="0" w:color="auto"/>
              <w:left w:val="nil"/>
              <w:bottom w:val="nil"/>
              <w:right w:val="nil"/>
            </w:tcBorders>
            <w:shd w:val="clear" w:color="auto" w:fill="auto"/>
            <w:vAlign w:val="center"/>
            <w:hideMark/>
          </w:tcPr>
          <w:p w14:paraId="0DD1DE4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15 mM CD</w:t>
            </w:r>
          </w:p>
        </w:tc>
        <w:tc>
          <w:tcPr>
            <w:tcW w:w="698" w:type="dxa"/>
            <w:tcBorders>
              <w:top w:val="single" w:sz="4" w:space="0" w:color="auto"/>
              <w:left w:val="nil"/>
              <w:bottom w:val="nil"/>
              <w:right w:val="nil"/>
            </w:tcBorders>
            <w:shd w:val="clear" w:color="auto" w:fill="auto"/>
            <w:vAlign w:val="center"/>
            <w:hideMark/>
          </w:tcPr>
          <w:p w14:paraId="474917A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22.4</w:t>
            </w:r>
          </w:p>
        </w:tc>
        <w:tc>
          <w:tcPr>
            <w:tcW w:w="698" w:type="dxa"/>
            <w:tcBorders>
              <w:top w:val="single" w:sz="4" w:space="0" w:color="auto"/>
              <w:left w:val="nil"/>
              <w:bottom w:val="nil"/>
              <w:right w:val="nil"/>
            </w:tcBorders>
            <w:shd w:val="clear" w:color="auto" w:fill="auto"/>
            <w:vAlign w:val="center"/>
            <w:hideMark/>
          </w:tcPr>
          <w:p w14:paraId="5A1CE43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4.35</w:t>
            </w:r>
          </w:p>
        </w:tc>
        <w:tc>
          <w:tcPr>
            <w:tcW w:w="618" w:type="dxa"/>
            <w:tcBorders>
              <w:top w:val="single" w:sz="4" w:space="0" w:color="auto"/>
              <w:left w:val="nil"/>
              <w:bottom w:val="nil"/>
              <w:right w:val="nil"/>
            </w:tcBorders>
            <w:shd w:val="clear" w:color="auto" w:fill="auto"/>
            <w:vAlign w:val="center"/>
            <w:hideMark/>
          </w:tcPr>
          <w:p w14:paraId="216BF291" w14:textId="1C72A8BA"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single" w:sz="4" w:space="0" w:color="auto"/>
              <w:left w:val="nil"/>
              <w:bottom w:val="nil"/>
              <w:right w:val="nil"/>
            </w:tcBorders>
            <w:shd w:val="clear" w:color="auto" w:fill="auto"/>
            <w:vAlign w:val="center"/>
            <w:hideMark/>
          </w:tcPr>
          <w:p w14:paraId="45455D52" w14:textId="3FE217BA"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1.8</w:t>
            </w:r>
          </w:p>
        </w:tc>
        <w:tc>
          <w:tcPr>
            <w:tcW w:w="618" w:type="dxa"/>
            <w:tcBorders>
              <w:top w:val="single" w:sz="4" w:space="0" w:color="auto"/>
              <w:left w:val="nil"/>
              <w:bottom w:val="nil"/>
              <w:right w:val="nil"/>
            </w:tcBorders>
            <w:shd w:val="clear" w:color="auto" w:fill="auto"/>
            <w:vAlign w:val="center"/>
            <w:hideMark/>
          </w:tcPr>
          <w:p w14:paraId="1119F8E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single" w:sz="4" w:space="0" w:color="auto"/>
              <w:left w:val="nil"/>
              <w:bottom w:val="nil"/>
              <w:right w:val="nil"/>
            </w:tcBorders>
            <w:shd w:val="clear" w:color="auto" w:fill="auto"/>
            <w:vAlign w:val="center"/>
            <w:hideMark/>
          </w:tcPr>
          <w:p w14:paraId="2C6F18F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1.12</w:t>
            </w:r>
          </w:p>
        </w:tc>
        <w:tc>
          <w:tcPr>
            <w:tcW w:w="405" w:type="dxa"/>
            <w:tcBorders>
              <w:top w:val="single" w:sz="4" w:space="0" w:color="auto"/>
              <w:left w:val="nil"/>
              <w:bottom w:val="nil"/>
              <w:right w:val="nil"/>
            </w:tcBorders>
            <w:shd w:val="clear" w:color="auto" w:fill="auto"/>
            <w:vAlign w:val="center"/>
            <w:hideMark/>
          </w:tcPr>
          <w:p w14:paraId="3D1D0A5A" w14:textId="19FE26A8"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97</w:t>
            </w:r>
          </w:p>
        </w:tc>
        <w:tc>
          <w:tcPr>
            <w:tcW w:w="567" w:type="dxa"/>
            <w:tcBorders>
              <w:top w:val="single" w:sz="4" w:space="0" w:color="auto"/>
              <w:left w:val="nil"/>
              <w:bottom w:val="nil"/>
              <w:right w:val="nil"/>
            </w:tcBorders>
            <w:shd w:val="clear" w:color="auto" w:fill="auto"/>
            <w:vAlign w:val="center"/>
            <w:hideMark/>
          </w:tcPr>
          <w:p w14:paraId="1E23040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3.87</w:t>
            </w:r>
          </w:p>
        </w:tc>
        <w:tc>
          <w:tcPr>
            <w:tcW w:w="425" w:type="dxa"/>
            <w:tcBorders>
              <w:top w:val="single" w:sz="4" w:space="0" w:color="auto"/>
              <w:left w:val="nil"/>
              <w:bottom w:val="nil"/>
              <w:right w:val="nil"/>
            </w:tcBorders>
            <w:shd w:val="clear" w:color="auto" w:fill="auto"/>
            <w:vAlign w:val="center"/>
            <w:hideMark/>
          </w:tcPr>
          <w:p w14:paraId="405D3DA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89</w:t>
            </w:r>
          </w:p>
        </w:tc>
        <w:tc>
          <w:tcPr>
            <w:tcW w:w="567" w:type="dxa"/>
            <w:tcBorders>
              <w:top w:val="single" w:sz="4" w:space="0" w:color="auto"/>
              <w:left w:val="nil"/>
              <w:bottom w:val="nil"/>
              <w:right w:val="nil"/>
            </w:tcBorders>
            <w:shd w:val="clear" w:color="auto" w:fill="auto"/>
            <w:vAlign w:val="center"/>
            <w:hideMark/>
          </w:tcPr>
          <w:p w14:paraId="54131EB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120</w:t>
            </w:r>
          </w:p>
        </w:tc>
        <w:tc>
          <w:tcPr>
            <w:tcW w:w="567" w:type="dxa"/>
            <w:tcBorders>
              <w:top w:val="single" w:sz="4" w:space="0" w:color="auto"/>
              <w:left w:val="nil"/>
              <w:bottom w:val="nil"/>
              <w:right w:val="nil"/>
            </w:tcBorders>
            <w:shd w:val="clear" w:color="auto" w:fill="auto"/>
            <w:vAlign w:val="center"/>
            <w:hideMark/>
          </w:tcPr>
          <w:p w14:paraId="7C8E0D4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863</w:t>
            </w:r>
          </w:p>
        </w:tc>
        <w:tc>
          <w:tcPr>
            <w:tcW w:w="537" w:type="dxa"/>
            <w:tcBorders>
              <w:top w:val="single" w:sz="4" w:space="0" w:color="auto"/>
              <w:left w:val="nil"/>
              <w:bottom w:val="nil"/>
              <w:right w:val="nil"/>
            </w:tcBorders>
            <w:shd w:val="clear" w:color="auto" w:fill="auto"/>
            <w:vAlign w:val="center"/>
            <w:hideMark/>
          </w:tcPr>
          <w:p w14:paraId="70A10D0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7.19</w:t>
            </w:r>
          </w:p>
        </w:tc>
      </w:tr>
      <w:tr w:rsidR="00737205" w:rsidRPr="00737205" w14:paraId="6B090A72" w14:textId="77777777" w:rsidTr="00953F63">
        <w:trPr>
          <w:trHeight w:val="570"/>
        </w:trPr>
        <w:tc>
          <w:tcPr>
            <w:tcW w:w="1256" w:type="dxa"/>
            <w:tcBorders>
              <w:top w:val="nil"/>
              <w:left w:val="nil"/>
              <w:bottom w:val="nil"/>
              <w:right w:val="nil"/>
            </w:tcBorders>
            <w:shd w:val="clear" w:color="auto" w:fill="auto"/>
            <w:vAlign w:val="center"/>
            <w:hideMark/>
          </w:tcPr>
          <w:p w14:paraId="61C07554" w14:textId="1CACFBFE"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cyclogeranyl acetate hydrate</w:t>
            </w:r>
            <w:r>
              <w:rPr>
                <w:rFonts w:ascii="Calibri" w:eastAsia="Times New Roman" w:hAnsi="Calibri" w:cs="Calibri"/>
                <w:color w:val="000000"/>
                <w:sz w:val="16"/>
                <w:szCs w:val="16"/>
              </w:rPr>
              <w:t xml:space="preserve"> 7</w:t>
            </w:r>
          </w:p>
        </w:tc>
        <w:tc>
          <w:tcPr>
            <w:tcW w:w="590" w:type="dxa"/>
            <w:tcBorders>
              <w:top w:val="nil"/>
              <w:left w:val="nil"/>
              <w:bottom w:val="nil"/>
              <w:right w:val="nil"/>
            </w:tcBorders>
            <w:shd w:val="clear" w:color="auto" w:fill="auto"/>
            <w:vAlign w:val="center"/>
            <w:hideMark/>
          </w:tcPr>
          <w:p w14:paraId="2F6210D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0.87</w:t>
            </w:r>
          </w:p>
        </w:tc>
        <w:tc>
          <w:tcPr>
            <w:tcW w:w="603" w:type="dxa"/>
            <w:tcBorders>
              <w:top w:val="nil"/>
              <w:left w:val="nil"/>
              <w:bottom w:val="nil"/>
              <w:right w:val="nil"/>
            </w:tcBorders>
            <w:shd w:val="clear" w:color="auto" w:fill="auto"/>
            <w:vAlign w:val="center"/>
            <w:hideMark/>
          </w:tcPr>
          <w:p w14:paraId="602C4B6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196</w:t>
            </w:r>
          </w:p>
        </w:tc>
        <w:tc>
          <w:tcPr>
            <w:tcW w:w="559" w:type="dxa"/>
            <w:tcBorders>
              <w:top w:val="nil"/>
              <w:left w:val="nil"/>
              <w:bottom w:val="nil"/>
              <w:right w:val="nil"/>
            </w:tcBorders>
            <w:shd w:val="clear" w:color="auto" w:fill="auto"/>
            <w:vAlign w:val="center"/>
            <w:hideMark/>
          </w:tcPr>
          <w:p w14:paraId="1E55F66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0.0011</w:t>
            </w:r>
          </w:p>
        </w:tc>
        <w:tc>
          <w:tcPr>
            <w:tcW w:w="559" w:type="dxa"/>
            <w:tcBorders>
              <w:top w:val="nil"/>
              <w:left w:val="nil"/>
              <w:bottom w:val="nil"/>
              <w:right w:val="nil"/>
            </w:tcBorders>
            <w:shd w:val="clear" w:color="auto" w:fill="auto"/>
            <w:vAlign w:val="center"/>
            <w:hideMark/>
          </w:tcPr>
          <w:p w14:paraId="62DA9F8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0.2175</w:t>
            </w:r>
          </w:p>
        </w:tc>
        <w:tc>
          <w:tcPr>
            <w:tcW w:w="448" w:type="dxa"/>
            <w:tcBorders>
              <w:top w:val="nil"/>
              <w:left w:val="nil"/>
              <w:bottom w:val="nil"/>
              <w:right w:val="nil"/>
            </w:tcBorders>
            <w:shd w:val="clear" w:color="auto" w:fill="auto"/>
            <w:vAlign w:val="center"/>
            <w:hideMark/>
          </w:tcPr>
          <w:p w14:paraId="78274DF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0.25</w:t>
            </w:r>
          </w:p>
        </w:tc>
        <w:tc>
          <w:tcPr>
            <w:tcW w:w="1088" w:type="dxa"/>
            <w:tcBorders>
              <w:top w:val="nil"/>
              <w:left w:val="nil"/>
              <w:bottom w:val="nil"/>
              <w:right w:val="nil"/>
            </w:tcBorders>
            <w:shd w:val="clear" w:color="auto" w:fill="auto"/>
            <w:vAlign w:val="center"/>
            <w:hideMark/>
          </w:tcPr>
          <w:p w14:paraId="16E6FEF5" w14:textId="0DDBB740"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G600</w:t>
            </w:r>
            <w:r w:rsidR="00EB59D5">
              <w:rPr>
                <w:rFonts w:ascii="Calibri" w:eastAsia="Times New Roman" w:hAnsi="Calibri" w:cs="Calibri"/>
                <w:color w:val="000000"/>
                <w:sz w:val="16"/>
                <w:szCs w:val="16"/>
              </w:rPr>
              <w:t>R</w:t>
            </w:r>
          </w:p>
        </w:tc>
        <w:tc>
          <w:tcPr>
            <w:tcW w:w="567" w:type="dxa"/>
            <w:tcBorders>
              <w:top w:val="nil"/>
              <w:left w:val="nil"/>
              <w:bottom w:val="nil"/>
              <w:right w:val="nil"/>
            </w:tcBorders>
            <w:shd w:val="clear" w:color="auto" w:fill="auto"/>
            <w:vAlign w:val="center"/>
            <w:hideMark/>
          </w:tcPr>
          <w:p w14:paraId="36CFCB2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5CB1825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bottom w:val="nil"/>
              <w:right w:val="nil"/>
            </w:tcBorders>
            <w:shd w:val="clear" w:color="auto" w:fill="auto"/>
            <w:vAlign w:val="center"/>
            <w:hideMark/>
          </w:tcPr>
          <w:p w14:paraId="20E12D87" w14:textId="6AA5B4A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w:t>
            </w:r>
          </w:p>
        </w:tc>
        <w:tc>
          <w:tcPr>
            <w:tcW w:w="698" w:type="dxa"/>
            <w:tcBorders>
              <w:top w:val="nil"/>
              <w:left w:val="nil"/>
              <w:bottom w:val="nil"/>
              <w:right w:val="nil"/>
            </w:tcBorders>
            <w:shd w:val="clear" w:color="auto" w:fill="auto"/>
            <w:vAlign w:val="center"/>
            <w:hideMark/>
          </w:tcPr>
          <w:p w14:paraId="799C4E2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11.1</w:t>
            </w:r>
          </w:p>
        </w:tc>
        <w:tc>
          <w:tcPr>
            <w:tcW w:w="698" w:type="dxa"/>
            <w:tcBorders>
              <w:top w:val="nil"/>
              <w:left w:val="nil"/>
              <w:bottom w:val="nil"/>
              <w:right w:val="nil"/>
            </w:tcBorders>
            <w:shd w:val="clear" w:color="auto" w:fill="auto"/>
            <w:vAlign w:val="center"/>
            <w:hideMark/>
          </w:tcPr>
          <w:p w14:paraId="7C705F7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2.18</w:t>
            </w:r>
          </w:p>
        </w:tc>
        <w:tc>
          <w:tcPr>
            <w:tcW w:w="618" w:type="dxa"/>
            <w:tcBorders>
              <w:top w:val="nil"/>
              <w:left w:val="nil"/>
              <w:bottom w:val="nil"/>
              <w:right w:val="nil"/>
            </w:tcBorders>
            <w:shd w:val="clear" w:color="auto" w:fill="auto"/>
            <w:vAlign w:val="center"/>
            <w:hideMark/>
          </w:tcPr>
          <w:p w14:paraId="7E0BB5A4" w14:textId="0A7630D8"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22444B31" w14:textId="5FB50798"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2.5</w:t>
            </w:r>
          </w:p>
        </w:tc>
        <w:tc>
          <w:tcPr>
            <w:tcW w:w="618" w:type="dxa"/>
            <w:tcBorders>
              <w:top w:val="nil"/>
              <w:left w:val="nil"/>
              <w:bottom w:val="nil"/>
              <w:right w:val="nil"/>
            </w:tcBorders>
            <w:shd w:val="clear" w:color="auto" w:fill="auto"/>
            <w:vAlign w:val="center"/>
            <w:hideMark/>
          </w:tcPr>
          <w:p w14:paraId="31055EF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nil"/>
              <w:left w:val="nil"/>
              <w:bottom w:val="nil"/>
              <w:right w:val="nil"/>
            </w:tcBorders>
            <w:shd w:val="clear" w:color="auto" w:fill="auto"/>
            <w:vAlign w:val="center"/>
            <w:hideMark/>
          </w:tcPr>
          <w:p w14:paraId="3618B3C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3.15</w:t>
            </w:r>
          </w:p>
        </w:tc>
        <w:tc>
          <w:tcPr>
            <w:tcW w:w="405" w:type="dxa"/>
            <w:tcBorders>
              <w:top w:val="nil"/>
              <w:left w:val="nil"/>
              <w:bottom w:val="nil"/>
              <w:right w:val="nil"/>
            </w:tcBorders>
            <w:shd w:val="clear" w:color="auto" w:fill="auto"/>
            <w:vAlign w:val="center"/>
            <w:hideMark/>
          </w:tcPr>
          <w:p w14:paraId="6CB57371" w14:textId="461DC4B0"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95</w:t>
            </w:r>
          </w:p>
        </w:tc>
        <w:tc>
          <w:tcPr>
            <w:tcW w:w="567" w:type="dxa"/>
            <w:tcBorders>
              <w:top w:val="nil"/>
              <w:left w:val="nil"/>
              <w:bottom w:val="nil"/>
              <w:right w:val="nil"/>
            </w:tcBorders>
            <w:shd w:val="clear" w:color="auto" w:fill="auto"/>
            <w:vAlign w:val="center"/>
            <w:hideMark/>
          </w:tcPr>
          <w:p w14:paraId="081A9EF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0.15</w:t>
            </w:r>
          </w:p>
        </w:tc>
        <w:tc>
          <w:tcPr>
            <w:tcW w:w="425" w:type="dxa"/>
            <w:tcBorders>
              <w:top w:val="nil"/>
              <w:left w:val="nil"/>
              <w:bottom w:val="nil"/>
              <w:right w:val="nil"/>
            </w:tcBorders>
            <w:shd w:val="clear" w:color="auto" w:fill="auto"/>
            <w:vAlign w:val="center"/>
            <w:hideMark/>
          </w:tcPr>
          <w:p w14:paraId="0050B58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71</w:t>
            </w:r>
          </w:p>
        </w:tc>
        <w:tc>
          <w:tcPr>
            <w:tcW w:w="567" w:type="dxa"/>
            <w:tcBorders>
              <w:top w:val="nil"/>
              <w:left w:val="nil"/>
              <w:bottom w:val="nil"/>
              <w:right w:val="nil"/>
            </w:tcBorders>
            <w:shd w:val="clear" w:color="auto" w:fill="auto"/>
            <w:vAlign w:val="center"/>
            <w:hideMark/>
          </w:tcPr>
          <w:p w14:paraId="334FFEE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480</w:t>
            </w:r>
          </w:p>
        </w:tc>
        <w:tc>
          <w:tcPr>
            <w:tcW w:w="567" w:type="dxa"/>
            <w:tcBorders>
              <w:top w:val="nil"/>
              <w:left w:val="nil"/>
              <w:bottom w:val="nil"/>
              <w:right w:val="nil"/>
            </w:tcBorders>
            <w:shd w:val="clear" w:color="auto" w:fill="auto"/>
            <w:vAlign w:val="center"/>
            <w:hideMark/>
          </w:tcPr>
          <w:p w14:paraId="1EF323D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301</w:t>
            </w:r>
          </w:p>
        </w:tc>
        <w:tc>
          <w:tcPr>
            <w:tcW w:w="537" w:type="dxa"/>
            <w:tcBorders>
              <w:top w:val="nil"/>
              <w:left w:val="nil"/>
              <w:bottom w:val="nil"/>
              <w:right w:val="nil"/>
            </w:tcBorders>
            <w:shd w:val="clear" w:color="auto" w:fill="auto"/>
            <w:vAlign w:val="center"/>
            <w:hideMark/>
          </w:tcPr>
          <w:p w14:paraId="70B1AB6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0.63</w:t>
            </w:r>
          </w:p>
        </w:tc>
      </w:tr>
      <w:tr w:rsidR="00737205" w:rsidRPr="00737205" w14:paraId="3DBFAE77" w14:textId="77777777" w:rsidTr="00953F63">
        <w:trPr>
          <w:trHeight w:val="285"/>
        </w:trPr>
        <w:tc>
          <w:tcPr>
            <w:tcW w:w="1256" w:type="dxa"/>
            <w:tcBorders>
              <w:top w:val="nil"/>
              <w:left w:val="nil"/>
              <w:bottom w:val="nil"/>
              <w:right w:val="nil"/>
            </w:tcBorders>
            <w:shd w:val="clear" w:color="auto" w:fill="auto"/>
            <w:vAlign w:val="center"/>
            <w:hideMark/>
          </w:tcPr>
          <w:p w14:paraId="54E29FA3" w14:textId="5547EF9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 xml:space="preserve">drimendiol </w:t>
            </w:r>
            <w:r>
              <w:rPr>
                <w:rFonts w:ascii="Calibri" w:eastAsia="Times New Roman" w:hAnsi="Calibri" w:cs="Calibri"/>
                <w:color w:val="000000"/>
                <w:sz w:val="16"/>
                <w:szCs w:val="16"/>
              </w:rPr>
              <w:t>9</w:t>
            </w:r>
          </w:p>
        </w:tc>
        <w:tc>
          <w:tcPr>
            <w:tcW w:w="590" w:type="dxa"/>
            <w:tcBorders>
              <w:top w:val="nil"/>
              <w:left w:val="nil"/>
              <w:bottom w:val="nil"/>
              <w:right w:val="nil"/>
            </w:tcBorders>
            <w:shd w:val="clear" w:color="auto" w:fill="auto"/>
            <w:vAlign w:val="center"/>
            <w:hideMark/>
          </w:tcPr>
          <w:p w14:paraId="1513238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0.88</w:t>
            </w:r>
          </w:p>
        </w:tc>
        <w:tc>
          <w:tcPr>
            <w:tcW w:w="603" w:type="dxa"/>
            <w:tcBorders>
              <w:top w:val="nil"/>
              <w:left w:val="nil"/>
              <w:bottom w:val="nil"/>
              <w:right w:val="nil"/>
            </w:tcBorders>
            <w:shd w:val="clear" w:color="auto" w:fill="auto"/>
            <w:vAlign w:val="center"/>
            <w:hideMark/>
          </w:tcPr>
          <w:p w14:paraId="1A46E0C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222</w:t>
            </w:r>
          </w:p>
        </w:tc>
        <w:tc>
          <w:tcPr>
            <w:tcW w:w="559" w:type="dxa"/>
            <w:tcBorders>
              <w:top w:val="nil"/>
              <w:left w:val="nil"/>
              <w:bottom w:val="nil"/>
              <w:right w:val="nil"/>
            </w:tcBorders>
            <w:shd w:val="clear" w:color="auto" w:fill="auto"/>
            <w:vAlign w:val="center"/>
            <w:hideMark/>
          </w:tcPr>
          <w:p w14:paraId="2C2A6AB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0.0019</w:t>
            </w:r>
          </w:p>
        </w:tc>
        <w:tc>
          <w:tcPr>
            <w:tcW w:w="559" w:type="dxa"/>
            <w:tcBorders>
              <w:top w:val="nil"/>
              <w:left w:val="nil"/>
              <w:bottom w:val="nil"/>
              <w:right w:val="nil"/>
            </w:tcBorders>
            <w:shd w:val="clear" w:color="auto" w:fill="auto"/>
            <w:vAlign w:val="center"/>
            <w:hideMark/>
          </w:tcPr>
          <w:p w14:paraId="724BE2D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0.4312</w:t>
            </w:r>
          </w:p>
        </w:tc>
        <w:tc>
          <w:tcPr>
            <w:tcW w:w="448" w:type="dxa"/>
            <w:tcBorders>
              <w:top w:val="nil"/>
              <w:left w:val="nil"/>
              <w:bottom w:val="nil"/>
              <w:right w:val="nil"/>
            </w:tcBorders>
            <w:shd w:val="clear" w:color="auto" w:fill="auto"/>
            <w:vAlign w:val="center"/>
            <w:hideMark/>
          </w:tcPr>
          <w:p w14:paraId="64492F9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0.49</w:t>
            </w:r>
          </w:p>
        </w:tc>
        <w:tc>
          <w:tcPr>
            <w:tcW w:w="1088" w:type="dxa"/>
            <w:tcBorders>
              <w:top w:val="nil"/>
              <w:left w:val="nil"/>
              <w:bottom w:val="nil"/>
              <w:right w:val="nil"/>
            </w:tcBorders>
            <w:shd w:val="clear" w:color="auto" w:fill="auto"/>
            <w:vAlign w:val="center"/>
            <w:hideMark/>
          </w:tcPr>
          <w:p w14:paraId="66B3683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A306W</w:t>
            </w:r>
          </w:p>
        </w:tc>
        <w:tc>
          <w:tcPr>
            <w:tcW w:w="567" w:type="dxa"/>
            <w:tcBorders>
              <w:top w:val="nil"/>
              <w:left w:val="nil"/>
              <w:bottom w:val="nil"/>
              <w:right w:val="nil"/>
            </w:tcBorders>
            <w:shd w:val="clear" w:color="auto" w:fill="auto"/>
            <w:vAlign w:val="center"/>
            <w:hideMark/>
          </w:tcPr>
          <w:p w14:paraId="0BB2780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58B2664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30</w:t>
            </w:r>
          </w:p>
        </w:tc>
        <w:tc>
          <w:tcPr>
            <w:tcW w:w="681" w:type="dxa"/>
            <w:tcBorders>
              <w:top w:val="nil"/>
              <w:left w:val="nil"/>
              <w:bottom w:val="nil"/>
              <w:right w:val="nil"/>
            </w:tcBorders>
            <w:shd w:val="clear" w:color="auto" w:fill="auto"/>
            <w:vAlign w:val="center"/>
            <w:hideMark/>
          </w:tcPr>
          <w:p w14:paraId="4F0B6AB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25 mM CD</w:t>
            </w:r>
          </w:p>
        </w:tc>
        <w:tc>
          <w:tcPr>
            <w:tcW w:w="698" w:type="dxa"/>
            <w:tcBorders>
              <w:top w:val="nil"/>
              <w:left w:val="nil"/>
              <w:bottom w:val="nil"/>
              <w:right w:val="nil"/>
            </w:tcBorders>
            <w:shd w:val="clear" w:color="auto" w:fill="auto"/>
            <w:vAlign w:val="center"/>
            <w:hideMark/>
          </w:tcPr>
          <w:p w14:paraId="0408F68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19.4</w:t>
            </w:r>
          </w:p>
        </w:tc>
        <w:tc>
          <w:tcPr>
            <w:tcW w:w="698" w:type="dxa"/>
            <w:tcBorders>
              <w:top w:val="nil"/>
              <w:left w:val="nil"/>
              <w:bottom w:val="nil"/>
              <w:right w:val="nil"/>
            </w:tcBorders>
            <w:shd w:val="clear" w:color="auto" w:fill="auto"/>
            <w:vAlign w:val="center"/>
            <w:hideMark/>
          </w:tcPr>
          <w:p w14:paraId="66E62D9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4.31</w:t>
            </w:r>
          </w:p>
        </w:tc>
        <w:tc>
          <w:tcPr>
            <w:tcW w:w="618" w:type="dxa"/>
            <w:tcBorders>
              <w:top w:val="nil"/>
              <w:left w:val="nil"/>
              <w:bottom w:val="nil"/>
              <w:right w:val="nil"/>
            </w:tcBorders>
            <w:shd w:val="clear" w:color="auto" w:fill="auto"/>
            <w:vAlign w:val="center"/>
            <w:hideMark/>
          </w:tcPr>
          <w:p w14:paraId="276F3167" w14:textId="27900293"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6FC6FD74" w14:textId="3EF147EE"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1.5</w:t>
            </w:r>
          </w:p>
        </w:tc>
        <w:tc>
          <w:tcPr>
            <w:tcW w:w="618" w:type="dxa"/>
            <w:tcBorders>
              <w:top w:val="nil"/>
              <w:left w:val="nil"/>
              <w:bottom w:val="nil"/>
              <w:right w:val="nil"/>
            </w:tcBorders>
            <w:shd w:val="clear" w:color="auto" w:fill="auto"/>
            <w:vAlign w:val="center"/>
            <w:hideMark/>
          </w:tcPr>
          <w:p w14:paraId="3FF63E7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0.02</w:t>
            </w:r>
          </w:p>
        </w:tc>
        <w:tc>
          <w:tcPr>
            <w:tcW w:w="612" w:type="dxa"/>
            <w:tcBorders>
              <w:top w:val="nil"/>
              <w:left w:val="nil"/>
              <w:bottom w:val="nil"/>
              <w:right w:val="nil"/>
            </w:tcBorders>
            <w:shd w:val="clear" w:color="auto" w:fill="auto"/>
            <w:vAlign w:val="center"/>
            <w:hideMark/>
          </w:tcPr>
          <w:p w14:paraId="64C6D6F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1.08</w:t>
            </w:r>
          </w:p>
        </w:tc>
        <w:tc>
          <w:tcPr>
            <w:tcW w:w="405" w:type="dxa"/>
            <w:tcBorders>
              <w:top w:val="nil"/>
              <w:left w:val="nil"/>
              <w:bottom w:val="nil"/>
              <w:right w:val="nil"/>
            </w:tcBorders>
            <w:shd w:val="clear" w:color="auto" w:fill="auto"/>
            <w:vAlign w:val="center"/>
            <w:hideMark/>
          </w:tcPr>
          <w:p w14:paraId="3B3167A5" w14:textId="7F0F5C9D"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96</w:t>
            </w:r>
          </w:p>
        </w:tc>
        <w:tc>
          <w:tcPr>
            <w:tcW w:w="567" w:type="dxa"/>
            <w:tcBorders>
              <w:top w:val="nil"/>
              <w:left w:val="nil"/>
              <w:bottom w:val="nil"/>
              <w:right w:val="nil"/>
            </w:tcBorders>
            <w:shd w:val="clear" w:color="auto" w:fill="auto"/>
            <w:vAlign w:val="center"/>
            <w:hideMark/>
          </w:tcPr>
          <w:p w14:paraId="7161FB5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0.34</w:t>
            </w:r>
          </w:p>
        </w:tc>
        <w:tc>
          <w:tcPr>
            <w:tcW w:w="425" w:type="dxa"/>
            <w:tcBorders>
              <w:top w:val="nil"/>
              <w:left w:val="nil"/>
              <w:bottom w:val="nil"/>
              <w:right w:val="nil"/>
            </w:tcBorders>
            <w:shd w:val="clear" w:color="auto" w:fill="auto"/>
            <w:vAlign w:val="center"/>
            <w:hideMark/>
          </w:tcPr>
          <w:p w14:paraId="56F3D64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80</w:t>
            </w:r>
          </w:p>
        </w:tc>
        <w:tc>
          <w:tcPr>
            <w:tcW w:w="567" w:type="dxa"/>
            <w:tcBorders>
              <w:top w:val="nil"/>
              <w:left w:val="nil"/>
              <w:bottom w:val="nil"/>
              <w:right w:val="nil"/>
            </w:tcBorders>
            <w:shd w:val="clear" w:color="auto" w:fill="auto"/>
            <w:vAlign w:val="center"/>
            <w:hideMark/>
          </w:tcPr>
          <w:p w14:paraId="637038E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72</w:t>
            </w:r>
          </w:p>
        </w:tc>
        <w:tc>
          <w:tcPr>
            <w:tcW w:w="567" w:type="dxa"/>
            <w:tcBorders>
              <w:top w:val="nil"/>
              <w:left w:val="nil"/>
              <w:bottom w:val="nil"/>
              <w:right w:val="nil"/>
            </w:tcBorders>
            <w:shd w:val="clear" w:color="auto" w:fill="auto"/>
            <w:vAlign w:val="center"/>
            <w:hideMark/>
          </w:tcPr>
          <w:p w14:paraId="63450C2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888</w:t>
            </w:r>
          </w:p>
        </w:tc>
        <w:tc>
          <w:tcPr>
            <w:tcW w:w="537" w:type="dxa"/>
            <w:tcBorders>
              <w:top w:val="nil"/>
              <w:left w:val="nil"/>
              <w:bottom w:val="nil"/>
              <w:right w:val="nil"/>
            </w:tcBorders>
            <w:shd w:val="clear" w:color="auto" w:fill="auto"/>
            <w:vAlign w:val="center"/>
            <w:hideMark/>
          </w:tcPr>
          <w:p w14:paraId="6AF1150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12.33</w:t>
            </w:r>
          </w:p>
        </w:tc>
      </w:tr>
      <w:tr w:rsidR="00737205" w:rsidRPr="00737205" w14:paraId="2947C8A5" w14:textId="77777777" w:rsidTr="00953F63">
        <w:trPr>
          <w:trHeight w:val="570"/>
        </w:trPr>
        <w:tc>
          <w:tcPr>
            <w:tcW w:w="1256" w:type="dxa"/>
            <w:tcBorders>
              <w:top w:val="nil"/>
              <w:left w:val="nil"/>
              <w:bottom w:val="nil"/>
              <w:right w:val="nil"/>
            </w:tcBorders>
            <w:shd w:val="clear" w:color="auto" w:fill="auto"/>
            <w:vAlign w:val="center"/>
            <w:hideMark/>
          </w:tcPr>
          <w:p w14:paraId="7D94E2AB" w14:textId="3A671E75"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 xml:space="preserve">drimendiol </w:t>
            </w:r>
            <w:r>
              <w:rPr>
                <w:rFonts w:ascii="Calibri" w:eastAsia="Times New Roman" w:hAnsi="Calibri" w:cs="Calibri"/>
                <w:color w:val="000000"/>
                <w:sz w:val="16"/>
                <w:szCs w:val="16"/>
              </w:rPr>
              <w:t>S1-9</w:t>
            </w:r>
          </w:p>
        </w:tc>
        <w:tc>
          <w:tcPr>
            <w:tcW w:w="590" w:type="dxa"/>
            <w:tcBorders>
              <w:top w:val="nil"/>
              <w:left w:val="nil"/>
              <w:bottom w:val="nil"/>
              <w:right w:val="nil"/>
            </w:tcBorders>
            <w:shd w:val="clear" w:color="auto" w:fill="auto"/>
            <w:vAlign w:val="center"/>
            <w:hideMark/>
          </w:tcPr>
          <w:p w14:paraId="53C8B95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0.88</w:t>
            </w:r>
          </w:p>
        </w:tc>
        <w:tc>
          <w:tcPr>
            <w:tcW w:w="603" w:type="dxa"/>
            <w:tcBorders>
              <w:top w:val="nil"/>
              <w:left w:val="nil"/>
              <w:bottom w:val="nil"/>
              <w:right w:val="nil"/>
            </w:tcBorders>
            <w:shd w:val="clear" w:color="auto" w:fill="auto"/>
            <w:vAlign w:val="center"/>
            <w:hideMark/>
          </w:tcPr>
          <w:p w14:paraId="567B75A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222</w:t>
            </w:r>
          </w:p>
        </w:tc>
        <w:tc>
          <w:tcPr>
            <w:tcW w:w="559" w:type="dxa"/>
            <w:tcBorders>
              <w:top w:val="nil"/>
              <w:left w:val="nil"/>
              <w:bottom w:val="nil"/>
              <w:right w:val="nil"/>
            </w:tcBorders>
            <w:shd w:val="clear" w:color="auto" w:fill="auto"/>
            <w:vAlign w:val="center"/>
            <w:hideMark/>
          </w:tcPr>
          <w:p w14:paraId="595D7E3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0.0019</w:t>
            </w:r>
          </w:p>
        </w:tc>
        <w:tc>
          <w:tcPr>
            <w:tcW w:w="559" w:type="dxa"/>
            <w:tcBorders>
              <w:top w:val="nil"/>
              <w:left w:val="nil"/>
              <w:bottom w:val="nil"/>
              <w:right w:val="nil"/>
            </w:tcBorders>
            <w:shd w:val="clear" w:color="auto" w:fill="auto"/>
            <w:vAlign w:val="center"/>
            <w:hideMark/>
          </w:tcPr>
          <w:p w14:paraId="72BF785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0.4312</w:t>
            </w:r>
          </w:p>
        </w:tc>
        <w:tc>
          <w:tcPr>
            <w:tcW w:w="448" w:type="dxa"/>
            <w:tcBorders>
              <w:top w:val="nil"/>
              <w:left w:val="nil"/>
              <w:bottom w:val="nil"/>
              <w:right w:val="nil"/>
            </w:tcBorders>
            <w:shd w:val="clear" w:color="auto" w:fill="auto"/>
            <w:vAlign w:val="center"/>
            <w:hideMark/>
          </w:tcPr>
          <w:p w14:paraId="3679821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0.49</w:t>
            </w:r>
          </w:p>
        </w:tc>
        <w:tc>
          <w:tcPr>
            <w:tcW w:w="1088" w:type="dxa"/>
            <w:tcBorders>
              <w:top w:val="nil"/>
              <w:left w:val="nil"/>
              <w:bottom w:val="nil"/>
              <w:right w:val="nil"/>
            </w:tcBorders>
            <w:shd w:val="clear" w:color="auto" w:fill="auto"/>
            <w:vAlign w:val="center"/>
            <w:hideMark/>
          </w:tcPr>
          <w:p w14:paraId="6E7FB0C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L36V/Y420F/G600L</w:t>
            </w:r>
          </w:p>
        </w:tc>
        <w:tc>
          <w:tcPr>
            <w:tcW w:w="567" w:type="dxa"/>
            <w:tcBorders>
              <w:top w:val="nil"/>
              <w:left w:val="nil"/>
              <w:bottom w:val="nil"/>
              <w:right w:val="nil"/>
            </w:tcBorders>
            <w:shd w:val="clear" w:color="auto" w:fill="auto"/>
            <w:vAlign w:val="center"/>
            <w:hideMark/>
          </w:tcPr>
          <w:p w14:paraId="33AE6E2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45C4CBA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30</w:t>
            </w:r>
          </w:p>
        </w:tc>
        <w:tc>
          <w:tcPr>
            <w:tcW w:w="681" w:type="dxa"/>
            <w:tcBorders>
              <w:top w:val="nil"/>
              <w:left w:val="nil"/>
              <w:bottom w:val="nil"/>
              <w:right w:val="nil"/>
            </w:tcBorders>
            <w:shd w:val="clear" w:color="auto" w:fill="auto"/>
            <w:vAlign w:val="center"/>
            <w:hideMark/>
          </w:tcPr>
          <w:p w14:paraId="29C668D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25 mM CD</w:t>
            </w:r>
          </w:p>
        </w:tc>
        <w:tc>
          <w:tcPr>
            <w:tcW w:w="698" w:type="dxa"/>
            <w:tcBorders>
              <w:top w:val="nil"/>
              <w:left w:val="nil"/>
              <w:bottom w:val="nil"/>
              <w:right w:val="nil"/>
            </w:tcBorders>
            <w:shd w:val="clear" w:color="auto" w:fill="auto"/>
            <w:vAlign w:val="center"/>
            <w:hideMark/>
          </w:tcPr>
          <w:p w14:paraId="3BB0D46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19.4</w:t>
            </w:r>
          </w:p>
        </w:tc>
        <w:tc>
          <w:tcPr>
            <w:tcW w:w="698" w:type="dxa"/>
            <w:tcBorders>
              <w:top w:val="nil"/>
              <w:left w:val="nil"/>
              <w:bottom w:val="nil"/>
              <w:right w:val="nil"/>
            </w:tcBorders>
            <w:shd w:val="clear" w:color="auto" w:fill="auto"/>
            <w:vAlign w:val="center"/>
            <w:hideMark/>
          </w:tcPr>
          <w:p w14:paraId="09D1342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4.31</w:t>
            </w:r>
          </w:p>
        </w:tc>
        <w:tc>
          <w:tcPr>
            <w:tcW w:w="618" w:type="dxa"/>
            <w:tcBorders>
              <w:top w:val="nil"/>
              <w:left w:val="nil"/>
              <w:bottom w:val="nil"/>
              <w:right w:val="nil"/>
            </w:tcBorders>
            <w:shd w:val="clear" w:color="auto" w:fill="auto"/>
            <w:vAlign w:val="center"/>
            <w:hideMark/>
          </w:tcPr>
          <w:p w14:paraId="39CAB9F9" w14:textId="29604243"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314D5E53" w14:textId="49615D03"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2.5</w:t>
            </w:r>
          </w:p>
        </w:tc>
        <w:tc>
          <w:tcPr>
            <w:tcW w:w="618" w:type="dxa"/>
            <w:tcBorders>
              <w:top w:val="nil"/>
              <w:left w:val="nil"/>
              <w:bottom w:val="nil"/>
              <w:right w:val="nil"/>
            </w:tcBorders>
            <w:shd w:val="clear" w:color="auto" w:fill="auto"/>
            <w:vAlign w:val="center"/>
            <w:hideMark/>
          </w:tcPr>
          <w:p w14:paraId="002859F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nil"/>
              <w:left w:val="nil"/>
              <w:bottom w:val="nil"/>
              <w:right w:val="nil"/>
            </w:tcBorders>
            <w:shd w:val="clear" w:color="auto" w:fill="auto"/>
            <w:vAlign w:val="center"/>
            <w:hideMark/>
          </w:tcPr>
          <w:p w14:paraId="27101AF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1.80</w:t>
            </w:r>
          </w:p>
        </w:tc>
        <w:tc>
          <w:tcPr>
            <w:tcW w:w="405" w:type="dxa"/>
            <w:tcBorders>
              <w:top w:val="nil"/>
              <w:left w:val="nil"/>
              <w:bottom w:val="nil"/>
              <w:right w:val="nil"/>
            </w:tcBorders>
            <w:shd w:val="clear" w:color="auto" w:fill="auto"/>
            <w:vAlign w:val="center"/>
            <w:hideMark/>
          </w:tcPr>
          <w:p w14:paraId="2FE76574" w14:textId="0B60FA95"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90</w:t>
            </w:r>
          </w:p>
        </w:tc>
        <w:tc>
          <w:tcPr>
            <w:tcW w:w="567" w:type="dxa"/>
            <w:tcBorders>
              <w:top w:val="nil"/>
              <w:left w:val="nil"/>
              <w:bottom w:val="nil"/>
              <w:right w:val="nil"/>
            </w:tcBorders>
            <w:shd w:val="clear" w:color="auto" w:fill="auto"/>
            <w:vAlign w:val="center"/>
            <w:hideMark/>
          </w:tcPr>
          <w:p w14:paraId="5B2BCE5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0.30</w:t>
            </w:r>
          </w:p>
        </w:tc>
        <w:tc>
          <w:tcPr>
            <w:tcW w:w="425" w:type="dxa"/>
            <w:tcBorders>
              <w:top w:val="nil"/>
              <w:left w:val="nil"/>
              <w:bottom w:val="nil"/>
              <w:right w:val="nil"/>
            </w:tcBorders>
            <w:shd w:val="clear" w:color="auto" w:fill="auto"/>
            <w:vAlign w:val="center"/>
            <w:hideMark/>
          </w:tcPr>
          <w:p w14:paraId="3A977FC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70</w:t>
            </w:r>
          </w:p>
        </w:tc>
        <w:tc>
          <w:tcPr>
            <w:tcW w:w="567" w:type="dxa"/>
            <w:tcBorders>
              <w:top w:val="nil"/>
              <w:left w:val="nil"/>
              <w:bottom w:val="nil"/>
              <w:right w:val="nil"/>
            </w:tcBorders>
            <w:shd w:val="clear" w:color="auto" w:fill="auto"/>
            <w:vAlign w:val="center"/>
            <w:hideMark/>
          </w:tcPr>
          <w:p w14:paraId="610CBFA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192</w:t>
            </w:r>
          </w:p>
        </w:tc>
        <w:tc>
          <w:tcPr>
            <w:tcW w:w="567" w:type="dxa"/>
            <w:tcBorders>
              <w:top w:val="nil"/>
              <w:left w:val="nil"/>
              <w:bottom w:val="nil"/>
              <w:right w:val="nil"/>
            </w:tcBorders>
            <w:shd w:val="clear" w:color="auto" w:fill="auto"/>
            <w:vAlign w:val="center"/>
            <w:hideMark/>
          </w:tcPr>
          <w:p w14:paraId="4121D19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500</w:t>
            </w:r>
          </w:p>
        </w:tc>
        <w:tc>
          <w:tcPr>
            <w:tcW w:w="537" w:type="dxa"/>
            <w:tcBorders>
              <w:top w:val="nil"/>
              <w:left w:val="nil"/>
              <w:bottom w:val="nil"/>
              <w:right w:val="nil"/>
            </w:tcBorders>
            <w:shd w:val="clear" w:color="auto" w:fill="auto"/>
            <w:vAlign w:val="center"/>
            <w:hideMark/>
          </w:tcPr>
          <w:p w14:paraId="4971AEB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2.60</w:t>
            </w:r>
          </w:p>
        </w:tc>
      </w:tr>
      <w:tr w:rsidR="00737205" w:rsidRPr="00737205" w14:paraId="6B9741E5" w14:textId="77777777" w:rsidTr="00953F63">
        <w:trPr>
          <w:trHeight w:val="285"/>
        </w:trPr>
        <w:tc>
          <w:tcPr>
            <w:tcW w:w="1256" w:type="dxa"/>
            <w:tcBorders>
              <w:top w:val="nil"/>
              <w:left w:val="nil"/>
              <w:bottom w:val="nil"/>
              <w:right w:val="nil"/>
            </w:tcBorders>
            <w:shd w:val="clear" w:color="auto" w:fill="auto"/>
            <w:vAlign w:val="center"/>
            <w:hideMark/>
          </w:tcPr>
          <w:p w14:paraId="41E91D96" w14:textId="327F7103" w:rsidR="00737205" w:rsidRPr="00737205" w:rsidRDefault="00E52211"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L</w:t>
            </w:r>
            <w:r w:rsidR="00737205" w:rsidRPr="00737205">
              <w:rPr>
                <w:rFonts w:ascii="Calibri" w:eastAsia="Times New Roman" w:hAnsi="Calibri" w:cs="Calibri"/>
                <w:color w:val="000000"/>
                <w:sz w:val="16"/>
                <w:szCs w:val="16"/>
              </w:rPr>
              <w:t>abdane</w:t>
            </w:r>
            <w:r>
              <w:rPr>
                <w:rFonts w:ascii="Calibri" w:eastAsia="Times New Roman" w:hAnsi="Calibri" w:cs="Calibri"/>
                <w:color w:val="000000"/>
                <w:sz w:val="16"/>
                <w:szCs w:val="16"/>
              </w:rPr>
              <w:t xml:space="preserve"> 12</w:t>
            </w:r>
          </w:p>
        </w:tc>
        <w:tc>
          <w:tcPr>
            <w:tcW w:w="590" w:type="dxa"/>
            <w:tcBorders>
              <w:top w:val="nil"/>
              <w:left w:val="nil"/>
              <w:bottom w:val="nil"/>
              <w:right w:val="nil"/>
            </w:tcBorders>
            <w:shd w:val="clear" w:color="auto" w:fill="auto"/>
            <w:vAlign w:val="center"/>
            <w:hideMark/>
          </w:tcPr>
          <w:p w14:paraId="2720CD7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0.89</w:t>
            </w:r>
          </w:p>
        </w:tc>
        <w:tc>
          <w:tcPr>
            <w:tcW w:w="603" w:type="dxa"/>
            <w:tcBorders>
              <w:top w:val="nil"/>
              <w:left w:val="nil"/>
              <w:bottom w:val="nil"/>
              <w:right w:val="nil"/>
            </w:tcBorders>
            <w:shd w:val="clear" w:color="auto" w:fill="auto"/>
            <w:vAlign w:val="center"/>
            <w:hideMark/>
          </w:tcPr>
          <w:p w14:paraId="307672F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290</w:t>
            </w:r>
          </w:p>
        </w:tc>
        <w:tc>
          <w:tcPr>
            <w:tcW w:w="559" w:type="dxa"/>
            <w:tcBorders>
              <w:top w:val="nil"/>
              <w:left w:val="nil"/>
              <w:bottom w:val="nil"/>
              <w:right w:val="nil"/>
            </w:tcBorders>
            <w:shd w:val="clear" w:color="auto" w:fill="auto"/>
            <w:vAlign w:val="center"/>
            <w:hideMark/>
          </w:tcPr>
          <w:p w14:paraId="4B2564C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0.0008</w:t>
            </w:r>
          </w:p>
        </w:tc>
        <w:tc>
          <w:tcPr>
            <w:tcW w:w="559" w:type="dxa"/>
            <w:tcBorders>
              <w:top w:val="nil"/>
              <w:left w:val="nil"/>
              <w:bottom w:val="nil"/>
              <w:right w:val="nil"/>
            </w:tcBorders>
            <w:shd w:val="clear" w:color="auto" w:fill="auto"/>
            <w:vAlign w:val="center"/>
            <w:hideMark/>
          </w:tcPr>
          <w:p w14:paraId="74988B4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0.2225</w:t>
            </w:r>
          </w:p>
        </w:tc>
        <w:tc>
          <w:tcPr>
            <w:tcW w:w="448" w:type="dxa"/>
            <w:tcBorders>
              <w:top w:val="nil"/>
              <w:left w:val="nil"/>
              <w:bottom w:val="nil"/>
              <w:right w:val="nil"/>
            </w:tcBorders>
            <w:shd w:val="clear" w:color="auto" w:fill="auto"/>
            <w:vAlign w:val="center"/>
            <w:hideMark/>
          </w:tcPr>
          <w:p w14:paraId="1B23D9D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0.25</w:t>
            </w:r>
          </w:p>
        </w:tc>
        <w:tc>
          <w:tcPr>
            <w:tcW w:w="1088" w:type="dxa"/>
            <w:tcBorders>
              <w:top w:val="nil"/>
              <w:left w:val="nil"/>
              <w:bottom w:val="nil"/>
              <w:right w:val="nil"/>
            </w:tcBorders>
            <w:shd w:val="clear" w:color="auto" w:fill="auto"/>
            <w:vAlign w:val="center"/>
            <w:hideMark/>
          </w:tcPr>
          <w:p w14:paraId="4969E09B" w14:textId="1D6DE63B" w:rsidR="00737205" w:rsidRPr="00737205" w:rsidRDefault="00EB59D5" w:rsidP="0073720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G</w:t>
            </w:r>
            <w:r w:rsidR="00737205" w:rsidRPr="00737205">
              <w:rPr>
                <w:rFonts w:ascii="Calibri" w:eastAsia="Times New Roman" w:hAnsi="Calibri" w:cs="Calibri"/>
                <w:color w:val="000000"/>
                <w:sz w:val="16"/>
                <w:szCs w:val="16"/>
              </w:rPr>
              <w:t>600N</w:t>
            </w:r>
          </w:p>
        </w:tc>
        <w:tc>
          <w:tcPr>
            <w:tcW w:w="567" w:type="dxa"/>
            <w:tcBorders>
              <w:top w:val="nil"/>
              <w:left w:val="nil"/>
              <w:bottom w:val="nil"/>
              <w:right w:val="nil"/>
            </w:tcBorders>
            <w:shd w:val="clear" w:color="auto" w:fill="auto"/>
            <w:vAlign w:val="center"/>
            <w:hideMark/>
          </w:tcPr>
          <w:p w14:paraId="7DDA74A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40BAC69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bottom w:val="nil"/>
              <w:right w:val="nil"/>
            </w:tcBorders>
            <w:shd w:val="clear" w:color="auto" w:fill="auto"/>
            <w:vAlign w:val="center"/>
            <w:hideMark/>
          </w:tcPr>
          <w:p w14:paraId="5860B20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 mM CD</w:t>
            </w:r>
          </w:p>
        </w:tc>
        <w:tc>
          <w:tcPr>
            <w:tcW w:w="698" w:type="dxa"/>
            <w:tcBorders>
              <w:top w:val="nil"/>
              <w:left w:val="nil"/>
              <w:bottom w:val="nil"/>
              <w:right w:val="nil"/>
            </w:tcBorders>
            <w:shd w:val="clear" w:color="auto" w:fill="auto"/>
            <w:vAlign w:val="center"/>
            <w:hideMark/>
          </w:tcPr>
          <w:p w14:paraId="109A41A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7.7</w:t>
            </w:r>
          </w:p>
        </w:tc>
        <w:tc>
          <w:tcPr>
            <w:tcW w:w="698" w:type="dxa"/>
            <w:tcBorders>
              <w:top w:val="nil"/>
              <w:left w:val="nil"/>
              <w:bottom w:val="nil"/>
              <w:right w:val="nil"/>
            </w:tcBorders>
            <w:shd w:val="clear" w:color="auto" w:fill="auto"/>
            <w:vAlign w:val="center"/>
            <w:hideMark/>
          </w:tcPr>
          <w:p w14:paraId="08D4B93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2.23</w:t>
            </w:r>
          </w:p>
        </w:tc>
        <w:tc>
          <w:tcPr>
            <w:tcW w:w="618" w:type="dxa"/>
            <w:tcBorders>
              <w:top w:val="nil"/>
              <w:left w:val="nil"/>
              <w:bottom w:val="nil"/>
              <w:right w:val="nil"/>
            </w:tcBorders>
            <w:shd w:val="clear" w:color="auto" w:fill="auto"/>
            <w:vAlign w:val="center"/>
            <w:hideMark/>
          </w:tcPr>
          <w:p w14:paraId="63D188BB" w14:textId="56C5A6CC"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78775867" w14:textId="373A16FB"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3.2</w:t>
            </w:r>
          </w:p>
        </w:tc>
        <w:tc>
          <w:tcPr>
            <w:tcW w:w="618" w:type="dxa"/>
            <w:tcBorders>
              <w:top w:val="nil"/>
              <w:left w:val="nil"/>
              <w:bottom w:val="nil"/>
              <w:right w:val="nil"/>
            </w:tcBorders>
            <w:shd w:val="clear" w:color="auto" w:fill="auto"/>
            <w:vAlign w:val="center"/>
            <w:hideMark/>
          </w:tcPr>
          <w:p w14:paraId="15876BE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0.04</w:t>
            </w:r>
          </w:p>
        </w:tc>
        <w:tc>
          <w:tcPr>
            <w:tcW w:w="612" w:type="dxa"/>
            <w:tcBorders>
              <w:top w:val="nil"/>
              <w:left w:val="nil"/>
              <w:bottom w:val="nil"/>
              <w:right w:val="nil"/>
            </w:tcBorders>
            <w:shd w:val="clear" w:color="auto" w:fill="auto"/>
            <w:vAlign w:val="center"/>
            <w:hideMark/>
          </w:tcPr>
          <w:p w14:paraId="0742E91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5.84</w:t>
            </w:r>
          </w:p>
        </w:tc>
        <w:tc>
          <w:tcPr>
            <w:tcW w:w="405" w:type="dxa"/>
            <w:tcBorders>
              <w:top w:val="nil"/>
              <w:left w:val="nil"/>
              <w:bottom w:val="nil"/>
              <w:right w:val="nil"/>
            </w:tcBorders>
            <w:shd w:val="clear" w:color="auto" w:fill="auto"/>
            <w:vAlign w:val="center"/>
            <w:hideMark/>
          </w:tcPr>
          <w:p w14:paraId="2CF3DF7C" w14:textId="2279F03C"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95</w:t>
            </w:r>
          </w:p>
        </w:tc>
        <w:tc>
          <w:tcPr>
            <w:tcW w:w="567" w:type="dxa"/>
            <w:tcBorders>
              <w:top w:val="nil"/>
              <w:left w:val="nil"/>
              <w:bottom w:val="nil"/>
              <w:right w:val="nil"/>
            </w:tcBorders>
            <w:shd w:val="clear" w:color="auto" w:fill="auto"/>
            <w:vAlign w:val="center"/>
            <w:hideMark/>
          </w:tcPr>
          <w:p w14:paraId="22D1554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0.17</w:t>
            </w:r>
          </w:p>
        </w:tc>
        <w:tc>
          <w:tcPr>
            <w:tcW w:w="425" w:type="dxa"/>
            <w:tcBorders>
              <w:top w:val="nil"/>
              <w:left w:val="nil"/>
              <w:bottom w:val="nil"/>
              <w:right w:val="nil"/>
            </w:tcBorders>
            <w:shd w:val="clear" w:color="auto" w:fill="auto"/>
            <w:vAlign w:val="center"/>
            <w:hideMark/>
          </w:tcPr>
          <w:p w14:paraId="53C0D48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78</w:t>
            </w:r>
          </w:p>
        </w:tc>
        <w:tc>
          <w:tcPr>
            <w:tcW w:w="567" w:type="dxa"/>
            <w:tcBorders>
              <w:top w:val="nil"/>
              <w:left w:val="nil"/>
              <w:bottom w:val="nil"/>
              <w:right w:val="nil"/>
            </w:tcBorders>
            <w:shd w:val="clear" w:color="auto" w:fill="auto"/>
            <w:vAlign w:val="center"/>
            <w:hideMark/>
          </w:tcPr>
          <w:p w14:paraId="27A68CD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216</w:t>
            </w:r>
          </w:p>
        </w:tc>
        <w:tc>
          <w:tcPr>
            <w:tcW w:w="567" w:type="dxa"/>
            <w:tcBorders>
              <w:top w:val="nil"/>
              <w:left w:val="nil"/>
              <w:bottom w:val="nil"/>
              <w:right w:val="nil"/>
            </w:tcBorders>
            <w:shd w:val="clear" w:color="auto" w:fill="auto"/>
            <w:vAlign w:val="center"/>
            <w:hideMark/>
          </w:tcPr>
          <w:p w14:paraId="3B771F9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163</w:t>
            </w:r>
          </w:p>
        </w:tc>
        <w:tc>
          <w:tcPr>
            <w:tcW w:w="537" w:type="dxa"/>
            <w:tcBorders>
              <w:top w:val="nil"/>
              <w:left w:val="nil"/>
              <w:bottom w:val="nil"/>
              <w:right w:val="nil"/>
            </w:tcBorders>
            <w:shd w:val="clear" w:color="auto" w:fill="auto"/>
            <w:vAlign w:val="center"/>
            <w:hideMark/>
          </w:tcPr>
          <w:p w14:paraId="64033F1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0.75</w:t>
            </w:r>
          </w:p>
        </w:tc>
      </w:tr>
      <w:tr w:rsidR="00737205" w:rsidRPr="00737205" w14:paraId="03E2593A" w14:textId="77777777" w:rsidTr="00953F63">
        <w:trPr>
          <w:trHeight w:val="285"/>
        </w:trPr>
        <w:tc>
          <w:tcPr>
            <w:tcW w:w="1256" w:type="dxa"/>
            <w:tcBorders>
              <w:top w:val="nil"/>
              <w:left w:val="nil"/>
              <w:bottom w:val="nil"/>
              <w:right w:val="nil"/>
            </w:tcBorders>
            <w:shd w:val="clear" w:color="auto" w:fill="auto"/>
            <w:vAlign w:val="center"/>
            <w:hideMark/>
          </w:tcPr>
          <w:p w14:paraId="24C7DC6A" w14:textId="2CCB1FFB"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ent-iscopalol</w:t>
            </w:r>
            <w:r w:rsidR="00E52211">
              <w:rPr>
                <w:rFonts w:ascii="Calibri" w:eastAsia="Times New Roman" w:hAnsi="Calibri" w:cs="Calibri"/>
                <w:color w:val="000000"/>
                <w:sz w:val="16"/>
                <w:szCs w:val="16"/>
              </w:rPr>
              <w:t xml:space="preserve"> 11</w:t>
            </w:r>
          </w:p>
        </w:tc>
        <w:tc>
          <w:tcPr>
            <w:tcW w:w="590" w:type="dxa"/>
            <w:tcBorders>
              <w:top w:val="nil"/>
              <w:left w:val="nil"/>
              <w:bottom w:val="nil"/>
              <w:right w:val="nil"/>
            </w:tcBorders>
            <w:shd w:val="clear" w:color="auto" w:fill="auto"/>
            <w:vAlign w:val="center"/>
            <w:hideMark/>
          </w:tcPr>
          <w:p w14:paraId="225F897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0.89</w:t>
            </w:r>
          </w:p>
        </w:tc>
        <w:tc>
          <w:tcPr>
            <w:tcW w:w="603" w:type="dxa"/>
            <w:tcBorders>
              <w:top w:val="nil"/>
              <w:left w:val="nil"/>
              <w:bottom w:val="nil"/>
              <w:right w:val="nil"/>
            </w:tcBorders>
            <w:shd w:val="clear" w:color="auto" w:fill="auto"/>
            <w:vAlign w:val="center"/>
            <w:hideMark/>
          </w:tcPr>
          <w:p w14:paraId="4629E54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290</w:t>
            </w:r>
          </w:p>
        </w:tc>
        <w:tc>
          <w:tcPr>
            <w:tcW w:w="559" w:type="dxa"/>
            <w:tcBorders>
              <w:top w:val="nil"/>
              <w:left w:val="nil"/>
              <w:bottom w:val="nil"/>
              <w:right w:val="nil"/>
            </w:tcBorders>
            <w:shd w:val="clear" w:color="auto" w:fill="auto"/>
            <w:vAlign w:val="center"/>
            <w:hideMark/>
          </w:tcPr>
          <w:p w14:paraId="504E04C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0.0008</w:t>
            </w:r>
          </w:p>
        </w:tc>
        <w:tc>
          <w:tcPr>
            <w:tcW w:w="559" w:type="dxa"/>
            <w:tcBorders>
              <w:top w:val="nil"/>
              <w:left w:val="nil"/>
              <w:bottom w:val="nil"/>
              <w:right w:val="nil"/>
            </w:tcBorders>
            <w:shd w:val="clear" w:color="auto" w:fill="auto"/>
            <w:vAlign w:val="center"/>
            <w:hideMark/>
          </w:tcPr>
          <w:p w14:paraId="5C1AF9C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0.2225</w:t>
            </w:r>
          </w:p>
        </w:tc>
        <w:tc>
          <w:tcPr>
            <w:tcW w:w="448" w:type="dxa"/>
            <w:tcBorders>
              <w:top w:val="nil"/>
              <w:left w:val="nil"/>
              <w:bottom w:val="nil"/>
              <w:right w:val="nil"/>
            </w:tcBorders>
            <w:shd w:val="clear" w:color="auto" w:fill="auto"/>
            <w:vAlign w:val="center"/>
            <w:hideMark/>
          </w:tcPr>
          <w:p w14:paraId="11EDF25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0.25</w:t>
            </w:r>
          </w:p>
        </w:tc>
        <w:tc>
          <w:tcPr>
            <w:tcW w:w="1088" w:type="dxa"/>
            <w:tcBorders>
              <w:top w:val="nil"/>
              <w:left w:val="nil"/>
              <w:bottom w:val="nil"/>
              <w:right w:val="nil"/>
            </w:tcBorders>
            <w:shd w:val="clear" w:color="auto" w:fill="auto"/>
            <w:vAlign w:val="center"/>
            <w:hideMark/>
          </w:tcPr>
          <w:p w14:paraId="70767DF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F605W</w:t>
            </w:r>
          </w:p>
        </w:tc>
        <w:tc>
          <w:tcPr>
            <w:tcW w:w="567" w:type="dxa"/>
            <w:tcBorders>
              <w:top w:val="nil"/>
              <w:left w:val="nil"/>
              <w:bottom w:val="nil"/>
              <w:right w:val="nil"/>
            </w:tcBorders>
            <w:shd w:val="clear" w:color="auto" w:fill="auto"/>
            <w:vAlign w:val="center"/>
            <w:hideMark/>
          </w:tcPr>
          <w:p w14:paraId="0CCA894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5102277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bottom w:val="nil"/>
              <w:right w:val="nil"/>
            </w:tcBorders>
            <w:shd w:val="clear" w:color="auto" w:fill="auto"/>
            <w:vAlign w:val="center"/>
            <w:hideMark/>
          </w:tcPr>
          <w:p w14:paraId="5AB0C79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 mM CD</w:t>
            </w:r>
          </w:p>
        </w:tc>
        <w:tc>
          <w:tcPr>
            <w:tcW w:w="698" w:type="dxa"/>
            <w:tcBorders>
              <w:top w:val="nil"/>
              <w:left w:val="nil"/>
              <w:bottom w:val="nil"/>
              <w:right w:val="nil"/>
            </w:tcBorders>
            <w:shd w:val="clear" w:color="auto" w:fill="auto"/>
            <w:vAlign w:val="center"/>
            <w:hideMark/>
          </w:tcPr>
          <w:p w14:paraId="4AE4B62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7.7</w:t>
            </w:r>
          </w:p>
        </w:tc>
        <w:tc>
          <w:tcPr>
            <w:tcW w:w="698" w:type="dxa"/>
            <w:tcBorders>
              <w:top w:val="nil"/>
              <w:left w:val="nil"/>
              <w:bottom w:val="nil"/>
              <w:right w:val="nil"/>
            </w:tcBorders>
            <w:shd w:val="clear" w:color="auto" w:fill="auto"/>
            <w:vAlign w:val="center"/>
            <w:hideMark/>
          </w:tcPr>
          <w:p w14:paraId="432CE40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2.23</w:t>
            </w:r>
          </w:p>
        </w:tc>
        <w:tc>
          <w:tcPr>
            <w:tcW w:w="618" w:type="dxa"/>
            <w:tcBorders>
              <w:top w:val="nil"/>
              <w:left w:val="nil"/>
              <w:bottom w:val="nil"/>
              <w:right w:val="nil"/>
            </w:tcBorders>
            <w:shd w:val="clear" w:color="auto" w:fill="auto"/>
            <w:vAlign w:val="center"/>
            <w:hideMark/>
          </w:tcPr>
          <w:p w14:paraId="2C342BDF" w14:textId="4B3D0091"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6883C940" w14:textId="4A905B52"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1.7</w:t>
            </w:r>
          </w:p>
        </w:tc>
        <w:tc>
          <w:tcPr>
            <w:tcW w:w="618" w:type="dxa"/>
            <w:tcBorders>
              <w:top w:val="nil"/>
              <w:left w:val="nil"/>
              <w:bottom w:val="nil"/>
              <w:right w:val="nil"/>
            </w:tcBorders>
            <w:shd w:val="clear" w:color="auto" w:fill="auto"/>
            <w:vAlign w:val="center"/>
            <w:hideMark/>
          </w:tcPr>
          <w:p w14:paraId="22CC81C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0.02</w:t>
            </w:r>
          </w:p>
        </w:tc>
        <w:tc>
          <w:tcPr>
            <w:tcW w:w="612" w:type="dxa"/>
            <w:tcBorders>
              <w:top w:val="nil"/>
              <w:left w:val="nil"/>
              <w:bottom w:val="nil"/>
              <w:right w:val="nil"/>
            </w:tcBorders>
            <w:shd w:val="clear" w:color="auto" w:fill="auto"/>
            <w:vAlign w:val="center"/>
            <w:hideMark/>
          </w:tcPr>
          <w:p w14:paraId="1A9B8DD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3.10</w:t>
            </w:r>
          </w:p>
        </w:tc>
        <w:tc>
          <w:tcPr>
            <w:tcW w:w="405" w:type="dxa"/>
            <w:tcBorders>
              <w:top w:val="nil"/>
              <w:left w:val="nil"/>
              <w:bottom w:val="nil"/>
              <w:right w:val="nil"/>
            </w:tcBorders>
            <w:shd w:val="clear" w:color="auto" w:fill="auto"/>
            <w:vAlign w:val="center"/>
            <w:hideMark/>
          </w:tcPr>
          <w:p w14:paraId="5C9DC6E0" w14:textId="3B01F9ED"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91</w:t>
            </w:r>
          </w:p>
        </w:tc>
        <w:tc>
          <w:tcPr>
            <w:tcW w:w="567" w:type="dxa"/>
            <w:tcBorders>
              <w:top w:val="nil"/>
              <w:left w:val="nil"/>
              <w:bottom w:val="nil"/>
              <w:right w:val="nil"/>
            </w:tcBorders>
            <w:shd w:val="clear" w:color="auto" w:fill="auto"/>
            <w:vAlign w:val="center"/>
            <w:hideMark/>
          </w:tcPr>
          <w:p w14:paraId="2BE361A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0.18</w:t>
            </w:r>
          </w:p>
        </w:tc>
        <w:tc>
          <w:tcPr>
            <w:tcW w:w="425" w:type="dxa"/>
            <w:tcBorders>
              <w:top w:val="nil"/>
              <w:left w:val="nil"/>
              <w:bottom w:val="nil"/>
              <w:right w:val="nil"/>
            </w:tcBorders>
            <w:shd w:val="clear" w:color="auto" w:fill="auto"/>
            <w:vAlign w:val="center"/>
            <w:hideMark/>
          </w:tcPr>
          <w:p w14:paraId="4D27360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79</w:t>
            </w:r>
          </w:p>
        </w:tc>
        <w:tc>
          <w:tcPr>
            <w:tcW w:w="567" w:type="dxa"/>
            <w:tcBorders>
              <w:top w:val="nil"/>
              <w:left w:val="nil"/>
              <w:bottom w:val="nil"/>
              <w:right w:val="nil"/>
            </w:tcBorders>
            <w:shd w:val="clear" w:color="auto" w:fill="auto"/>
            <w:vAlign w:val="center"/>
            <w:hideMark/>
          </w:tcPr>
          <w:p w14:paraId="7450F1B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96</w:t>
            </w:r>
          </w:p>
        </w:tc>
        <w:tc>
          <w:tcPr>
            <w:tcW w:w="567" w:type="dxa"/>
            <w:tcBorders>
              <w:top w:val="nil"/>
              <w:left w:val="nil"/>
              <w:bottom w:val="nil"/>
              <w:right w:val="nil"/>
            </w:tcBorders>
            <w:shd w:val="clear" w:color="auto" w:fill="auto"/>
            <w:vAlign w:val="center"/>
            <w:hideMark/>
          </w:tcPr>
          <w:p w14:paraId="6055589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293</w:t>
            </w:r>
          </w:p>
        </w:tc>
        <w:tc>
          <w:tcPr>
            <w:tcW w:w="537" w:type="dxa"/>
            <w:tcBorders>
              <w:top w:val="nil"/>
              <w:left w:val="nil"/>
              <w:bottom w:val="nil"/>
              <w:right w:val="nil"/>
            </w:tcBorders>
            <w:shd w:val="clear" w:color="auto" w:fill="auto"/>
            <w:vAlign w:val="center"/>
            <w:hideMark/>
          </w:tcPr>
          <w:p w14:paraId="4534565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3.06</w:t>
            </w:r>
          </w:p>
        </w:tc>
      </w:tr>
      <w:tr w:rsidR="00737205" w:rsidRPr="00737205" w14:paraId="5B50725B" w14:textId="77777777" w:rsidTr="00953F63">
        <w:trPr>
          <w:trHeight w:val="570"/>
        </w:trPr>
        <w:tc>
          <w:tcPr>
            <w:tcW w:w="1256" w:type="dxa"/>
            <w:tcBorders>
              <w:top w:val="nil"/>
              <w:left w:val="nil"/>
              <w:bottom w:val="nil"/>
              <w:right w:val="nil"/>
            </w:tcBorders>
            <w:shd w:val="clear" w:color="auto" w:fill="auto"/>
            <w:vAlign w:val="center"/>
            <w:hideMark/>
          </w:tcPr>
          <w:p w14:paraId="1D85A9F7" w14:textId="60C2E231" w:rsidR="00737205" w:rsidRPr="00737205" w:rsidRDefault="00DC3BD3" w:rsidP="0073720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β-keto ester</w:t>
            </w:r>
            <w:r w:rsidR="00E52211">
              <w:rPr>
                <w:rFonts w:ascii="Calibri" w:eastAsia="Times New Roman" w:hAnsi="Calibri" w:cs="Calibri"/>
                <w:color w:val="000000"/>
                <w:sz w:val="16"/>
                <w:szCs w:val="16"/>
              </w:rPr>
              <w:t xml:space="preserve"> 16</w:t>
            </w:r>
          </w:p>
        </w:tc>
        <w:tc>
          <w:tcPr>
            <w:tcW w:w="590" w:type="dxa"/>
            <w:tcBorders>
              <w:top w:val="nil"/>
              <w:left w:val="nil"/>
              <w:bottom w:val="nil"/>
              <w:right w:val="nil"/>
            </w:tcBorders>
            <w:shd w:val="clear" w:color="auto" w:fill="auto"/>
            <w:vAlign w:val="center"/>
            <w:hideMark/>
          </w:tcPr>
          <w:p w14:paraId="2BD61C6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0.87</w:t>
            </w:r>
          </w:p>
        </w:tc>
        <w:tc>
          <w:tcPr>
            <w:tcW w:w="603" w:type="dxa"/>
            <w:tcBorders>
              <w:top w:val="nil"/>
              <w:left w:val="nil"/>
              <w:bottom w:val="nil"/>
              <w:right w:val="nil"/>
            </w:tcBorders>
            <w:shd w:val="clear" w:color="auto" w:fill="auto"/>
            <w:vAlign w:val="center"/>
            <w:hideMark/>
          </w:tcPr>
          <w:p w14:paraId="500D8E8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320</w:t>
            </w:r>
          </w:p>
        </w:tc>
        <w:tc>
          <w:tcPr>
            <w:tcW w:w="559" w:type="dxa"/>
            <w:tcBorders>
              <w:top w:val="nil"/>
              <w:left w:val="nil"/>
              <w:bottom w:val="nil"/>
              <w:right w:val="nil"/>
            </w:tcBorders>
            <w:shd w:val="clear" w:color="auto" w:fill="auto"/>
            <w:vAlign w:val="center"/>
            <w:hideMark/>
          </w:tcPr>
          <w:p w14:paraId="3322112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0.0007</w:t>
            </w:r>
          </w:p>
        </w:tc>
        <w:tc>
          <w:tcPr>
            <w:tcW w:w="559" w:type="dxa"/>
            <w:tcBorders>
              <w:top w:val="nil"/>
              <w:left w:val="nil"/>
              <w:bottom w:val="nil"/>
              <w:right w:val="nil"/>
            </w:tcBorders>
            <w:shd w:val="clear" w:color="auto" w:fill="auto"/>
            <w:vAlign w:val="center"/>
            <w:hideMark/>
          </w:tcPr>
          <w:p w14:paraId="3CF9213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0.2175</w:t>
            </w:r>
          </w:p>
        </w:tc>
        <w:tc>
          <w:tcPr>
            <w:tcW w:w="448" w:type="dxa"/>
            <w:tcBorders>
              <w:top w:val="nil"/>
              <w:left w:val="nil"/>
              <w:bottom w:val="nil"/>
              <w:right w:val="nil"/>
            </w:tcBorders>
            <w:shd w:val="clear" w:color="auto" w:fill="auto"/>
            <w:vAlign w:val="center"/>
            <w:hideMark/>
          </w:tcPr>
          <w:p w14:paraId="3C7D2F1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0.25</w:t>
            </w:r>
          </w:p>
        </w:tc>
        <w:tc>
          <w:tcPr>
            <w:tcW w:w="1088" w:type="dxa"/>
            <w:tcBorders>
              <w:top w:val="nil"/>
              <w:left w:val="nil"/>
              <w:bottom w:val="nil"/>
              <w:right w:val="nil"/>
            </w:tcBorders>
            <w:shd w:val="clear" w:color="auto" w:fill="auto"/>
            <w:vAlign w:val="center"/>
            <w:hideMark/>
          </w:tcPr>
          <w:p w14:paraId="2983C6C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F601D/F605L</w:t>
            </w:r>
          </w:p>
        </w:tc>
        <w:tc>
          <w:tcPr>
            <w:tcW w:w="567" w:type="dxa"/>
            <w:tcBorders>
              <w:top w:val="nil"/>
              <w:left w:val="nil"/>
              <w:bottom w:val="nil"/>
              <w:right w:val="nil"/>
            </w:tcBorders>
            <w:shd w:val="clear" w:color="auto" w:fill="auto"/>
            <w:vAlign w:val="center"/>
            <w:hideMark/>
          </w:tcPr>
          <w:p w14:paraId="3F6E19E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7DE3DF8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bottom w:val="nil"/>
              <w:right w:val="nil"/>
            </w:tcBorders>
            <w:shd w:val="clear" w:color="auto" w:fill="auto"/>
            <w:vAlign w:val="center"/>
            <w:hideMark/>
          </w:tcPr>
          <w:p w14:paraId="2A02EB2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 mM CD</w:t>
            </w:r>
          </w:p>
        </w:tc>
        <w:tc>
          <w:tcPr>
            <w:tcW w:w="698" w:type="dxa"/>
            <w:tcBorders>
              <w:top w:val="nil"/>
              <w:left w:val="nil"/>
              <w:bottom w:val="nil"/>
              <w:right w:val="nil"/>
            </w:tcBorders>
            <w:shd w:val="clear" w:color="auto" w:fill="auto"/>
            <w:vAlign w:val="center"/>
            <w:hideMark/>
          </w:tcPr>
          <w:p w14:paraId="4D03F82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6.8</w:t>
            </w:r>
          </w:p>
        </w:tc>
        <w:tc>
          <w:tcPr>
            <w:tcW w:w="698" w:type="dxa"/>
            <w:tcBorders>
              <w:top w:val="nil"/>
              <w:left w:val="nil"/>
              <w:bottom w:val="nil"/>
              <w:right w:val="nil"/>
            </w:tcBorders>
            <w:shd w:val="clear" w:color="auto" w:fill="auto"/>
            <w:vAlign w:val="center"/>
            <w:hideMark/>
          </w:tcPr>
          <w:p w14:paraId="2C52F65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2.18</w:t>
            </w:r>
          </w:p>
        </w:tc>
        <w:tc>
          <w:tcPr>
            <w:tcW w:w="618" w:type="dxa"/>
            <w:tcBorders>
              <w:top w:val="nil"/>
              <w:left w:val="nil"/>
              <w:bottom w:val="nil"/>
              <w:right w:val="nil"/>
            </w:tcBorders>
            <w:shd w:val="clear" w:color="auto" w:fill="auto"/>
            <w:vAlign w:val="center"/>
            <w:hideMark/>
          </w:tcPr>
          <w:p w14:paraId="05C10DBF" w14:textId="4BECFF82"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5A391D52" w14:textId="1F0C4536"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2.5</w:t>
            </w:r>
          </w:p>
        </w:tc>
        <w:tc>
          <w:tcPr>
            <w:tcW w:w="618" w:type="dxa"/>
            <w:tcBorders>
              <w:top w:val="nil"/>
              <w:left w:val="nil"/>
              <w:bottom w:val="nil"/>
              <w:right w:val="nil"/>
            </w:tcBorders>
            <w:shd w:val="clear" w:color="auto" w:fill="auto"/>
            <w:vAlign w:val="center"/>
            <w:hideMark/>
          </w:tcPr>
          <w:p w14:paraId="5C26B0D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nil"/>
              <w:left w:val="nil"/>
              <w:bottom w:val="nil"/>
              <w:right w:val="nil"/>
            </w:tcBorders>
            <w:shd w:val="clear" w:color="auto" w:fill="auto"/>
            <w:vAlign w:val="center"/>
            <w:hideMark/>
          </w:tcPr>
          <w:p w14:paraId="535A66E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5.15</w:t>
            </w:r>
          </w:p>
        </w:tc>
        <w:tc>
          <w:tcPr>
            <w:tcW w:w="405" w:type="dxa"/>
            <w:tcBorders>
              <w:top w:val="nil"/>
              <w:left w:val="nil"/>
              <w:bottom w:val="nil"/>
              <w:right w:val="nil"/>
            </w:tcBorders>
            <w:shd w:val="clear" w:color="auto" w:fill="auto"/>
            <w:vAlign w:val="center"/>
            <w:hideMark/>
          </w:tcPr>
          <w:p w14:paraId="4E2B1E29" w14:textId="55DDC18D"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96</w:t>
            </w:r>
          </w:p>
        </w:tc>
        <w:tc>
          <w:tcPr>
            <w:tcW w:w="567" w:type="dxa"/>
            <w:tcBorders>
              <w:top w:val="nil"/>
              <w:left w:val="nil"/>
              <w:bottom w:val="nil"/>
              <w:right w:val="nil"/>
            </w:tcBorders>
            <w:shd w:val="clear" w:color="auto" w:fill="auto"/>
            <w:vAlign w:val="center"/>
            <w:hideMark/>
          </w:tcPr>
          <w:p w14:paraId="6730EE1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0.17</w:t>
            </w:r>
          </w:p>
        </w:tc>
        <w:tc>
          <w:tcPr>
            <w:tcW w:w="425" w:type="dxa"/>
            <w:tcBorders>
              <w:top w:val="nil"/>
              <w:left w:val="nil"/>
              <w:bottom w:val="nil"/>
              <w:right w:val="nil"/>
            </w:tcBorders>
            <w:shd w:val="clear" w:color="auto" w:fill="auto"/>
            <w:vAlign w:val="center"/>
            <w:hideMark/>
          </w:tcPr>
          <w:p w14:paraId="5B2B21C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80</w:t>
            </w:r>
          </w:p>
        </w:tc>
        <w:tc>
          <w:tcPr>
            <w:tcW w:w="567" w:type="dxa"/>
            <w:tcBorders>
              <w:top w:val="nil"/>
              <w:left w:val="nil"/>
              <w:bottom w:val="nil"/>
              <w:right w:val="nil"/>
            </w:tcBorders>
            <w:shd w:val="clear" w:color="auto" w:fill="auto"/>
            <w:vAlign w:val="center"/>
            <w:hideMark/>
          </w:tcPr>
          <w:p w14:paraId="20BCA4D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96</w:t>
            </w:r>
          </w:p>
        </w:tc>
        <w:tc>
          <w:tcPr>
            <w:tcW w:w="567" w:type="dxa"/>
            <w:tcBorders>
              <w:top w:val="nil"/>
              <w:left w:val="nil"/>
              <w:bottom w:val="nil"/>
              <w:right w:val="nil"/>
            </w:tcBorders>
            <w:shd w:val="clear" w:color="auto" w:fill="auto"/>
            <w:vAlign w:val="center"/>
            <w:hideMark/>
          </w:tcPr>
          <w:p w14:paraId="000BBC9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186</w:t>
            </w:r>
          </w:p>
        </w:tc>
        <w:tc>
          <w:tcPr>
            <w:tcW w:w="537" w:type="dxa"/>
            <w:tcBorders>
              <w:top w:val="nil"/>
              <w:left w:val="nil"/>
              <w:bottom w:val="nil"/>
              <w:right w:val="nil"/>
            </w:tcBorders>
            <w:shd w:val="clear" w:color="auto" w:fill="auto"/>
            <w:vAlign w:val="center"/>
            <w:hideMark/>
          </w:tcPr>
          <w:p w14:paraId="5D4FD94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1.94</w:t>
            </w:r>
          </w:p>
        </w:tc>
      </w:tr>
      <w:tr w:rsidR="00737205" w:rsidRPr="00737205" w14:paraId="69E3B567" w14:textId="77777777" w:rsidTr="00953F63">
        <w:trPr>
          <w:trHeight w:val="855"/>
        </w:trPr>
        <w:tc>
          <w:tcPr>
            <w:tcW w:w="1256" w:type="dxa"/>
            <w:tcBorders>
              <w:top w:val="nil"/>
              <w:left w:val="nil"/>
              <w:bottom w:val="nil"/>
              <w:right w:val="nil"/>
            </w:tcBorders>
            <w:shd w:val="clear" w:color="auto" w:fill="auto"/>
            <w:vAlign w:val="center"/>
            <w:hideMark/>
          </w:tcPr>
          <w:p w14:paraId="383FFF8D" w14:textId="03768379"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trans-hexahydrochromene</w:t>
            </w:r>
            <w:r w:rsidR="00E52211">
              <w:rPr>
                <w:rFonts w:ascii="Calibri" w:eastAsia="Times New Roman" w:hAnsi="Calibri" w:cs="Calibri"/>
                <w:color w:val="000000"/>
                <w:sz w:val="16"/>
                <w:szCs w:val="16"/>
              </w:rPr>
              <w:t xml:space="preserve"> 18</w:t>
            </w:r>
          </w:p>
        </w:tc>
        <w:tc>
          <w:tcPr>
            <w:tcW w:w="590" w:type="dxa"/>
            <w:tcBorders>
              <w:top w:val="nil"/>
              <w:left w:val="nil"/>
              <w:bottom w:val="nil"/>
              <w:right w:val="nil"/>
            </w:tcBorders>
            <w:shd w:val="clear" w:color="auto" w:fill="auto"/>
            <w:vAlign w:val="center"/>
            <w:hideMark/>
          </w:tcPr>
          <w:p w14:paraId="0A3B8CA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0.87</w:t>
            </w:r>
          </w:p>
        </w:tc>
        <w:tc>
          <w:tcPr>
            <w:tcW w:w="603" w:type="dxa"/>
            <w:tcBorders>
              <w:top w:val="nil"/>
              <w:left w:val="nil"/>
              <w:bottom w:val="nil"/>
              <w:right w:val="nil"/>
            </w:tcBorders>
            <w:shd w:val="clear" w:color="auto" w:fill="auto"/>
            <w:vAlign w:val="center"/>
            <w:hideMark/>
          </w:tcPr>
          <w:p w14:paraId="2990BB7D"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194</w:t>
            </w:r>
          </w:p>
        </w:tc>
        <w:tc>
          <w:tcPr>
            <w:tcW w:w="559" w:type="dxa"/>
            <w:tcBorders>
              <w:top w:val="nil"/>
              <w:left w:val="nil"/>
              <w:bottom w:val="nil"/>
              <w:right w:val="nil"/>
            </w:tcBorders>
            <w:shd w:val="clear" w:color="auto" w:fill="auto"/>
            <w:vAlign w:val="center"/>
            <w:hideMark/>
          </w:tcPr>
          <w:p w14:paraId="307580C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0.0011</w:t>
            </w:r>
          </w:p>
        </w:tc>
        <w:tc>
          <w:tcPr>
            <w:tcW w:w="559" w:type="dxa"/>
            <w:tcBorders>
              <w:top w:val="nil"/>
              <w:left w:val="nil"/>
              <w:bottom w:val="nil"/>
              <w:right w:val="nil"/>
            </w:tcBorders>
            <w:shd w:val="clear" w:color="auto" w:fill="auto"/>
            <w:vAlign w:val="center"/>
            <w:hideMark/>
          </w:tcPr>
          <w:p w14:paraId="26DB22D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0.2175</w:t>
            </w:r>
          </w:p>
        </w:tc>
        <w:tc>
          <w:tcPr>
            <w:tcW w:w="448" w:type="dxa"/>
            <w:tcBorders>
              <w:top w:val="nil"/>
              <w:left w:val="nil"/>
              <w:bottom w:val="nil"/>
              <w:right w:val="nil"/>
            </w:tcBorders>
            <w:shd w:val="clear" w:color="auto" w:fill="auto"/>
            <w:vAlign w:val="center"/>
            <w:hideMark/>
          </w:tcPr>
          <w:p w14:paraId="3FD59C2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0.25</w:t>
            </w:r>
          </w:p>
        </w:tc>
        <w:tc>
          <w:tcPr>
            <w:tcW w:w="1088" w:type="dxa"/>
            <w:tcBorders>
              <w:top w:val="nil"/>
              <w:left w:val="nil"/>
              <w:bottom w:val="nil"/>
              <w:right w:val="nil"/>
            </w:tcBorders>
            <w:shd w:val="clear" w:color="auto" w:fill="auto"/>
            <w:vAlign w:val="center"/>
            <w:hideMark/>
          </w:tcPr>
          <w:p w14:paraId="00D46787" w14:textId="7CFB0FC9"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G600</w:t>
            </w:r>
            <w:r w:rsidR="00EB59D5">
              <w:rPr>
                <w:rFonts w:ascii="Calibri" w:eastAsia="Times New Roman" w:hAnsi="Calibri" w:cs="Calibri"/>
                <w:color w:val="000000"/>
                <w:sz w:val="16"/>
                <w:szCs w:val="16"/>
              </w:rPr>
              <w:t>M</w:t>
            </w:r>
          </w:p>
        </w:tc>
        <w:tc>
          <w:tcPr>
            <w:tcW w:w="567" w:type="dxa"/>
            <w:tcBorders>
              <w:top w:val="nil"/>
              <w:left w:val="nil"/>
              <w:bottom w:val="nil"/>
              <w:right w:val="nil"/>
            </w:tcBorders>
            <w:shd w:val="clear" w:color="auto" w:fill="auto"/>
            <w:vAlign w:val="center"/>
            <w:hideMark/>
          </w:tcPr>
          <w:p w14:paraId="6F9453F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nil"/>
              <w:right w:val="nil"/>
            </w:tcBorders>
            <w:shd w:val="clear" w:color="auto" w:fill="auto"/>
            <w:vAlign w:val="center"/>
            <w:hideMark/>
          </w:tcPr>
          <w:p w14:paraId="28665E9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bottom w:val="nil"/>
              <w:right w:val="nil"/>
            </w:tcBorders>
            <w:shd w:val="clear" w:color="auto" w:fill="auto"/>
            <w:vAlign w:val="center"/>
            <w:hideMark/>
          </w:tcPr>
          <w:p w14:paraId="7A4676ED" w14:textId="72106446"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100 mM citrate buffer</w:t>
            </w:r>
          </w:p>
        </w:tc>
        <w:tc>
          <w:tcPr>
            <w:tcW w:w="698" w:type="dxa"/>
            <w:tcBorders>
              <w:top w:val="nil"/>
              <w:left w:val="nil"/>
              <w:bottom w:val="nil"/>
              <w:right w:val="nil"/>
            </w:tcBorders>
            <w:shd w:val="clear" w:color="auto" w:fill="auto"/>
            <w:vAlign w:val="center"/>
            <w:hideMark/>
          </w:tcPr>
          <w:p w14:paraId="7C4D604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11.2</w:t>
            </w:r>
          </w:p>
        </w:tc>
        <w:tc>
          <w:tcPr>
            <w:tcW w:w="698" w:type="dxa"/>
            <w:tcBorders>
              <w:top w:val="nil"/>
              <w:left w:val="nil"/>
              <w:bottom w:val="nil"/>
              <w:right w:val="nil"/>
            </w:tcBorders>
            <w:shd w:val="clear" w:color="auto" w:fill="auto"/>
            <w:vAlign w:val="center"/>
            <w:hideMark/>
          </w:tcPr>
          <w:p w14:paraId="3F73592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2.18</w:t>
            </w:r>
          </w:p>
        </w:tc>
        <w:tc>
          <w:tcPr>
            <w:tcW w:w="618" w:type="dxa"/>
            <w:tcBorders>
              <w:top w:val="nil"/>
              <w:left w:val="nil"/>
              <w:bottom w:val="nil"/>
              <w:right w:val="nil"/>
            </w:tcBorders>
            <w:shd w:val="clear" w:color="auto" w:fill="auto"/>
            <w:vAlign w:val="center"/>
            <w:hideMark/>
          </w:tcPr>
          <w:p w14:paraId="472F695C" w14:textId="096FF0A0"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nil"/>
              <w:right w:val="nil"/>
            </w:tcBorders>
            <w:shd w:val="clear" w:color="auto" w:fill="auto"/>
            <w:vAlign w:val="center"/>
            <w:hideMark/>
          </w:tcPr>
          <w:p w14:paraId="00E9B981" w14:textId="34C7FC1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w:t>
            </w:r>
          </w:p>
        </w:tc>
        <w:tc>
          <w:tcPr>
            <w:tcW w:w="618" w:type="dxa"/>
            <w:tcBorders>
              <w:top w:val="nil"/>
              <w:left w:val="nil"/>
              <w:bottom w:val="nil"/>
              <w:right w:val="nil"/>
            </w:tcBorders>
            <w:shd w:val="clear" w:color="auto" w:fill="auto"/>
            <w:vAlign w:val="center"/>
            <w:hideMark/>
          </w:tcPr>
          <w:p w14:paraId="217E3D7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nil"/>
              <w:left w:val="nil"/>
              <w:bottom w:val="nil"/>
              <w:right w:val="nil"/>
            </w:tcBorders>
            <w:shd w:val="clear" w:color="auto" w:fill="auto"/>
            <w:vAlign w:val="center"/>
            <w:hideMark/>
          </w:tcPr>
          <w:p w14:paraId="0309C40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2.62</w:t>
            </w:r>
          </w:p>
        </w:tc>
        <w:tc>
          <w:tcPr>
            <w:tcW w:w="405" w:type="dxa"/>
            <w:tcBorders>
              <w:top w:val="nil"/>
              <w:left w:val="nil"/>
              <w:bottom w:val="nil"/>
              <w:right w:val="nil"/>
            </w:tcBorders>
            <w:shd w:val="clear" w:color="auto" w:fill="auto"/>
            <w:vAlign w:val="center"/>
            <w:hideMark/>
          </w:tcPr>
          <w:p w14:paraId="28B1D078" w14:textId="7513DAF8"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w:t>
            </w:r>
            <w:r w:rsidR="004F0939">
              <w:rPr>
                <w:rFonts w:ascii="Calibri" w:eastAsia="Times New Roman" w:hAnsi="Calibri" w:cs="Calibri"/>
                <w:color w:val="000000"/>
                <w:sz w:val="16"/>
                <w:szCs w:val="16"/>
              </w:rPr>
              <w:t>8</w:t>
            </w:r>
          </w:p>
        </w:tc>
        <w:tc>
          <w:tcPr>
            <w:tcW w:w="567" w:type="dxa"/>
            <w:tcBorders>
              <w:top w:val="nil"/>
              <w:left w:val="nil"/>
              <w:bottom w:val="nil"/>
              <w:right w:val="nil"/>
            </w:tcBorders>
            <w:shd w:val="clear" w:color="auto" w:fill="auto"/>
            <w:vAlign w:val="center"/>
            <w:hideMark/>
          </w:tcPr>
          <w:p w14:paraId="489742D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0.20</w:t>
            </w:r>
          </w:p>
        </w:tc>
        <w:tc>
          <w:tcPr>
            <w:tcW w:w="425" w:type="dxa"/>
            <w:tcBorders>
              <w:top w:val="nil"/>
              <w:left w:val="nil"/>
              <w:bottom w:val="nil"/>
              <w:right w:val="nil"/>
            </w:tcBorders>
            <w:shd w:val="clear" w:color="auto" w:fill="auto"/>
            <w:vAlign w:val="center"/>
            <w:hideMark/>
          </w:tcPr>
          <w:p w14:paraId="6DECA7A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90</w:t>
            </w:r>
          </w:p>
        </w:tc>
        <w:tc>
          <w:tcPr>
            <w:tcW w:w="567" w:type="dxa"/>
            <w:tcBorders>
              <w:top w:val="nil"/>
              <w:left w:val="nil"/>
              <w:bottom w:val="nil"/>
              <w:right w:val="nil"/>
            </w:tcBorders>
            <w:shd w:val="clear" w:color="auto" w:fill="auto"/>
            <w:vAlign w:val="center"/>
            <w:hideMark/>
          </w:tcPr>
          <w:p w14:paraId="2AE9B7B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96</w:t>
            </w:r>
          </w:p>
        </w:tc>
        <w:tc>
          <w:tcPr>
            <w:tcW w:w="567" w:type="dxa"/>
            <w:tcBorders>
              <w:top w:val="nil"/>
              <w:left w:val="nil"/>
              <w:bottom w:val="nil"/>
              <w:right w:val="nil"/>
            </w:tcBorders>
            <w:shd w:val="clear" w:color="auto" w:fill="auto"/>
            <w:vAlign w:val="center"/>
            <w:hideMark/>
          </w:tcPr>
          <w:p w14:paraId="633AE5D6"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374</w:t>
            </w:r>
          </w:p>
        </w:tc>
        <w:tc>
          <w:tcPr>
            <w:tcW w:w="537" w:type="dxa"/>
            <w:tcBorders>
              <w:top w:val="nil"/>
              <w:left w:val="nil"/>
              <w:bottom w:val="nil"/>
              <w:right w:val="nil"/>
            </w:tcBorders>
            <w:shd w:val="clear" w:color="auto" w:fill="auto"/>
            <w:vAlign w:val="center"/>
            <w:hideMark/>
          </w:tcPr>
          <w:p w14:paraId="65903F9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3.89</w:t>
            </w:r>
          </w:p>
        </w:tc>
      </w:tr>
      <w:tr w:rsidR="00737205" w:rsidRPr="00737205" w14:paraId="0EF598A1" w14:textId="77777777" w:rsidTr="00953F63">
        <w:trPr>
          <w:trHeight w:val="855"/>
        </w:trPr>
        <w:tc>
          <w:tcPr>
            <w:tcW w:w="1256" w:type="dxa"/>
            <w:tcBorders>
              <w:top w:val="nil"/>
              <w:left w:val="nil"/>
              <w:right w:val="nil"/>
            </w:tcBorders>
            <w:shd w:val="clear" w:color="auto" w:fill="auto"/>
            <w:vAlign w:val="center"/>
            <w:hideMark/>
          </w:tcPr>
          <w:p w14:paraId="5FB329CD" w14:textId="24CCF240"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cis-hexahydrochromene</w:t>
            </w:r>
            <w:r w:rsidR="00E52211">
              <w:rPr>
                <w:rFonts w:ascii="Calibri" w:eastAsia="Times New Roman" w:hAnsi="Calibri" w:cs="Calibri"/>
                <w:color w:val="000000"/>
                <w:sz w:val="16"/>
                <w:szCs w:val="16"/>
              </w:rPr>
              <w:t xml:space="preserve"> 23</w:t>
            </w:r>
          </w:p>
        </w:tc>
        <w:tc>
          <w:tcPr>
            <w:tcW w:w="590" w:type="dxa"/>
            <w:tcBorders>
              <w:top w:val="nil"/>
              <w:left w:val="nil"/>
              <w:right w:val="nil"/>
            </w:tcBorders>
            <w:shd w:val="clear" w:color="auto" w:fill="auto"/>
            <w:vAlign w:val="center"/>
            <w:hideMark/>
          </w:tcPr>
          <w:p w14:paraId="7757813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0.87</w:t>
            </w:r>
          </w:p>
        </w:tc>
        <w:tc>
          <w:tcPr>
            <w:tcW w:w="603" w:type="dxa"/>
            <w:tcBorders>
              <w:top w:val="nil"/>
              <w:left w:val="nil"/>
              <w:right w:val="nil"/>
            </w:tcBorders>
            <w:shd w:val="clear" w:color="auto" w:fill="auto"/>
            <w:vAlign w:val="center"/>
            <w:hideMark/>
          </w:tcPr>
          <w:p w14:paraId="730478A9"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194</w:t>
            </w:r>
          </w:p>
        </w:tc>
        <w:tc>
          <w:tcPr>
            <w:tcW w:w="559" w:type="dxa"/>
            <w:tcBorders>
              <w:top w:val="nil"/>
              <w:left w:val="nil"/>
              <w:right w:val="nil"/>
            </w:tcBorders>
            <w:shd w:val="clear" w:color="auto" w:fill="auto"/>
            <w:vAlign w:val="center"/>
            <w:hideMark/>
          </w:tcPr>
          <w:p w14:paraId="0D95E46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0.0011</w:t>
            </w:r>
          </w:p>
        </w:tc>
        <w:tc>
          <w:tcPr>
            <w:tcW w:w="559" w:type="dxa"/>
            <w:tcBorders>
              <w:top w:val="nil"/>
              <w:left w:val="nil"/>
              <w:right w:val="nil"/>
            </w:tcBorders>
            <w:shd w:val="clear" w:color="auto" w:fill="auto"/>
            <w:vAlign w:val="center"/>
            <w:hideMark/>
          </w:tcPr>
          <w:p w14:paraId="4A682AB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0.2175</w:t>
            </w:r>
          </w:p>
        </w:tc>
        <w:tc>
          <w:tcPr>
            <w:tcW w:w="448" w:type="dxa"/>
            <w:tcBorders>
              <w:top w:val="nil"/>
              <w:left w:val="nil"/>
              <w:right w:val="nil"/>
            </w:tcBorders>
            <w:shd w:val="clear" w:color="auto" w:fill="auto"/>
            <w:vAlign w:val="center"/>
            <w:hideMark/>
          </w:tcPr>
          <w:p w14:paraId="193CA75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0.25</w:t>
            </w:r>
          </w:p>
        </w:tc>
        <w:tc>
          <w:tcPr>
            <w:tcW w:w="1088" w:type="dxa"/>
            <w:tcBorders>
              <w:top w:val="nil"/>
              <w:left w:val="nil"/>
              <w:right w:val="nil"/>
            </w:tcBorders>
            <w:shd w:val="clear" w:color="auto" w:fill="auto"/>
            <w:vAlign w:val="center"/>
            <w:hideMark/>
          </w:tcPr>
          <w:p w14:paraId="46EDB403" w14:textId="6445466F"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G600</w:t>
            </w:r>
            <w:r w:rsidR="00EB59D5">
              <w:rPr>
                <w:rFonts w:ascii="Calibri" w:eastAsia="Times New Roman" w:hAnsi="Calibri" w:cs="Calibri"/>
                <w:color w:val="000000"/>
                <w:sz w:val="16"/>
                <w:szCs w:val="16"/>
              </w:rPr>
              <w:t>M</w:t>
            </w:r>
          </w:p>
        </w:tc>
        <w:tc>
          <w:tcPr>
            <w:tcW w:w="567" w:type="dxa"/>
            <w:tcBorders>
              <w:top w:val="nil"/>
              <w:left w:val="nil"/>
              <w:right w:val="nil"/>
            </w:tcBorders>
            <w:shd w:val="clear" w:color="auto" w:fill="auto"/>
            <w:vAlign w:val="center"/>
            <w:hideMark/>
          </w:tcPr>
          <w:p w14:paraId="281FC26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right w:val="nil"/>
            </w:tcBorders>
            <w:shd w:val="clear" w:color="auto" w:fill="auto"/>
            <w:vAlign w:val="center"/>
            <w:hideMark/>
          </w:tcPr>
          <w:p w14:paraId="65712DF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right w:val="nil"/>
            </w:tcBorders>
            <w:shd w:val="clear" w:color="auto" w:fill="auto"/>
            <w:vAlign w:val="center"/>
            <w:hideMark/>
          </w:tcPr>
          <w:p w14:paraId="41FE8E44" w14:textId="79E3CA10"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100 mM citrate buffer</w:t>
            </w:r>
          </w:p>
        </w:tc>
        <w:tc>
          <w:tcPr>
            <w:tcW w:w="698" w:type="dxa"/>
            <w:tcBorders>
              <w:top w:val="nil"/>
              <w:left w:val="nil"/>
              <w:right w:val="nil"/>
            </w:tcBorders>
            <w:shd w:val="clear" w:color="auto" w:fill="auto"/>
            <w:vAlign w:val="center"/>
            <w:hideMark/>
          </w:tcPr>
          <w:p w14:paraId="5DA49F7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11.2</w:t>
            </w:r>
          </w:p>
        </w:tc>
        <w:tc>
          <w:tcPr>
            <w:tcW w:w="698" w:type="dxa"/>
            <w:tcBorders>
              <w:top w:val="nil"/>
              <w:left w:val="nil"/>
              <w:right w:val="nil"/>
            </w:tcBorders>
            <w:shd w:val="clear" w:color="auto" w:fill="auto"/>
            <w:vAlign w:val="center"/>
            <w:hideMark/>
          </w:tcPr>
          <w:p w14:paraId="0F8787F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2.18</w:t>
            </w:r>
          </w:p>
        </w:tc>
        <w:tc>
          <w:tcPr>
            <w:tcW w:w="618" w:type="dxa"/>
            <w:tcBorders>
              <w:top w:val="nil"/>
              <w:left w:val="nil"/>
              <w:right w:val="nil"/>
            </w:tcBorders>
            <w:shd w:val="clear" w:color="auto" w:fill="auto"/>
            <w:vAlign w:val="center"/>
            <w:hideMark/>
          </w:tcPr>
          <w:p w14:paraId="5D786E8A" w14:textId="7186E6B0"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right w:val="nil"/>
            </w:tcBorders>
            <w:shd w:val="clear" w:color="auto" w:fill="auto"/>
            <w:vAlign w:val="center"/>
            <w:hideMark/>
          </w:tcPr>
          <w:p w14:paraId="70359379" w14:textId="771EBF2A"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w:t>
            </w:r>
          </w:p>
        </w:tc>
        <w:tc>
          <w:tcPr>
            <w:tcW w:w="618" w:type="dxa"/>
            <w:tcBorders>
              <w:top w:val="nil"/>
              <w:left w:val="nil"/>
              <w:right w:val="nil"/>
            </w:tcBorders>
            <w:shd w:val="clear" w:color="auto" w:fill="auto"/>
            <w:vAlign w:val="center"/>
            <w:hideMark/>
          </w:tcPr>
          <w:p w14:paraId="5267860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nil"/>
              <w:left w:val="nil"/>
              <w:right w:val="nil"/>
            </w:tcBorders>
            <w:shd w:val="clear" w:color="auto" w:fill="auto"/>
            <w:vAlign w:val="center"/>
            <w:hideMark/>
          </w:tcPr>
          <w:p w14:paraId="688D011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2.62</w:t>
            </w:r>
          </w:p>
        </w:tc>
        <w:tc>
          <w:tcPr>
            <w:tcW w:w="405" w:type="dxa"/>
            <w:tcBorders>
              <w:top w:val="nil"/>
              <w:left w:val="nil"/>
              <w:right w:val="nil"/>
            </w:tcBorders>
            <w:shd w:val="clear" w:color="auto" w:fill="auto"/>
            <w:vAlign w:val="center"/>
            <w:hideMark/>
          </w:tcPr>
          <w:p w14:paraId="046F0388" w14:textId="6D18BC35"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90</w:t>
            </w:r>
          </w:p>
        </w:tc>
        <w:tc>
          <w:tcPr>
            <w:tcW w:w="567" w:type="dxa"/>
            <w:tcBorders>
              <w:top w:val="nil"/>
              <w:left w:val="nil"/>
              <w:right w:val="nil"/>
            </w:tcBorders>
            <w:shd w:val="clear" w:color="auto" w:fill="auto"/>
            <w:vAlign w:val="center"/>
            <w:hideMark/>
          </w:tcPr>
          <w:p w14:paraId="31E732C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0.18</w:t>
            </w:r>
          </w:p>
        </w:tc>
        <w:tc>
          <w:tcPr>
            <w:tcW w:w="425" w:type="dxa"/>
            <w:tcBorders>
              <w:top w:val="nil"/>
              <w:left w:val="nil"/>
              <w:right w:val="nil"/>
            </w:tcBorders>
            <w:shd w:val="clear" w:color="auto" w:fill="auto"/>
            <w:vAlign w:val="center"/>
            <w:hideMark/>
          </w:tcPr>
          <w:p w14:paraId="0D93C2E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82</w:t>
            </w:r>
          </w:p>
        </w:tc>
        <w:tc>
          <w:tcPr>
            <w:tcW w:w="567" w:type="dxa"/>
            <w:tcBorders>
              <w:top w:val="nil"/>
              <w:left w:val="nil"/>
              <w:right w:val="nil"/>
            </w:tcBorders>
            <w:shd w:val="clear" w:color="auto" w:fill="auto"/>
            <w:vAlign w:val="center"/>
            <w:hideMark/>
          </w:tcPr>
          <w:p w14:paraId="78A7E94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120</w:t>
            </w:r>
          </w:p>
        </w:tc>
        <w:tc>
          <w:tcPr>
            <w:tcW w:w="567" w:type="dxa"/>
            <w:tcBorders>
              <w:top w:val="nil"/>
              <w:left w:val="nil"/>
              <w:right w:val="nil"/>
            </w:tcBorders>
            <w:shd w:val="clear" w:color="auto" w:fill="auto"/>
            <w:vAlign w:val="center"/>
            <w:hideMark/>
          </w:tcPr>
          <w:p w14:paraId="5CAC79AB"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343</w:t>
            </w:r>
          </w:p>
        </w:tc>
        <w:tc>
          <w:tcPr>
            <w:tcW w:w="537" w:type="dxa"/>
            <w:tcBorders>
              <w:top w:val="nil"/>
              <w:left w:val="nil"/>
              <w:right w:val="nil"/>
            </w:tcBorders>
            <w:shd w:val="clear" w:color="auto" w:fill="auto"/>
            <w:vAlign w:val="center"/>
            <w:hideMark/>
          </w:tcPr>
          <w:p w14:paraId="5FC4762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2.86</w:t>
            </w:r>
          </w:p>
        </w:tc>
      </w:tr>
      <w:tr w:rsidR="00737205" w:rsidRPr="00737205" w14:paraId="0F565B9E" w14:textId="77777777" w:rsidTr="00953F63">
        <w:trPr>
          <w:trHeight w:val="285"/>
        </w:trPr>
        <w:tc>
          <w:tcPr>
            <w:tcW w:w="1256" w:type="dxa"/>
            <w:tcBorders>
              <w:top w:val="nil"/>
              <w:left w:val="nil"/>
              <w:bottom w:val="single" w:sz="4" w:space="0" w:color="auto"/>
              <w:right w:val="nil"/>
            </w:tcBorders>
            <w:shd w:val="clear" w:color="auto" w:fill="auto"/>
            <w:vAlign w:val="center"/>
            <w:hideMark/>
          </w:tcPr>
          <w:p w14:paraId="7EECFF86" w14:textId="63D66544" w:rsidR="00737205" w:rsidRPr="00737205" w:rsidRDefault="00E52211" w:rsidP="00737205">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sclareoloxide 14</w:t>
            </w:r>
          </w:p>
        </w:tc>
        <w:tc>
          <w:tcPr>
            <w:tcW w:w="590" w:type="dxa"/>
            <w:tcBorders>
              <w:top w:val="nil"/>
              <w:left w:val="nil"/>
              <w:bottom w:val="single" w:sz="4" w:space="0" w:color="auto"/>
              <w:right w:val="nil"/>
            </w:tcBorders>
            <w:shd w:val="clear" w:color="auto" w:fill="auto"/>
            <w:vAlign w:val="center"/>
            <w:hideMark/>
          </w:tcPr>
          <w:p w14:paraId="6513A9D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0.87</w:t>
            </w:r>
          </w:p>
        </w:tc>
        <w:tc>
          <w:tcPr>
            <w:tcW w:w="603" w:type="dxa"/>
            <w:tcBorders>
              <w:top w:val="nil"/>
              <w:left w:val="nil"/>
              <w:bottom w:val="single" w:sz="4" w:space="0" w:color="auto"/>
              <w:right w:val="nil"/>
            </w:tcBorders>
            <w:shd w:val="clear" w:color="auto" w:fill="auto"/>
            <w:vAlign w:val="center"/>
            <w:hideMark/>
          </w:tcPr>
          <w:p w14:paraId="3E68A2F5"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262</w:t>
            </w:r>
          </w:p>
        </w:tc>
        <w:tc>
          <w:tcPr>
            <w:tcW w:w="559" w:type="dxa"/>
            <w:tcBorders>
              <w:top w:val="nil"/>
              <w:left w:val="nil"/>
              <w:bottom w:val="single" w:sz="4" w:space="0" w:color="auto"/>
              <w:right w:val="nil"/>
            </w:tcBorders>
            <w:shd w:val="clear" w:color="auto" w:fill="auto"/>
            <w:vAlign w:val="center"/>
            <w:hideMark/>
          </w:tcPr>
          <w:p w14:paraId="4F406DC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0.0017</w:t>
            </w:r>
          </w:p>
        </w:tc>
        <w:tc>
          <w:tcPr>
            <w:tcW w:w="559" w:type="dxa"/>
            <w:tcBorders>
              <w:top w:val="nil"/>
              <w:left w:val="nil"/>
              <w:bottom w:val="single" w:sz="4" w:space="0" w:color="auto"/>
              <w:right w:val="nil"/>
            </w:tcBorders>
            <w:shd w:val="clear" w:color="auto" w:fill="auto"/>
            <w:vAlign w:val="center"/>
            <w:hideMark/>
          </w:tcPr>
          <w:p w14:paraId="75BFCD1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0.435</w:t>
            </w:r>
          </w:p>
        </w:tc>
        <w:tc>
          <w:tcPr>
            <w:tcW w:w="448" w:type="dxa"/>
            <w:tcBorders>
              <w:top w:val="nil"/>
              <w:left w:val="nil"/>
              <w:bottom w:val="single" w:sz="4" w:space="0" w:color="auto"/>
              <w:right w:val="nil"/>
            </w:tcBorders>
            <w:shd w:val="clear" w:color="auto" w:fill="auto"/>
            <w:vAlign w:val="center"/>
            <w:hideMark/>
          </w:tcPr>
          <w:p w14:paraId="5A2C0A3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0.5</w:t>
            </w:r>
          </w:p>
        </w:tc>
        <w:tc>
          <w:tcPr>
            <w:tcW w:w="1088" w:type="dxa"/>
            <w:tcBorders>
              <w:top w:val="nil"/>
              <w:left w:val="nil"/>
              <w:bottom w:val="single" w:sz="4" w:space="0" w:color="auto"/>
              <w:right w:val="nil"/>
            </w:tcBorders>
            <w:shd w:val="clear" w:color="auto" w:fill="auto"/>
            <w:vAlign w:val="center"/>
            <w:hideMark/>
          </w:tcPr>
          <w:p w14:paraId="669049BA"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F601D/F605L</w:t>
            </w:r>
          </w:p>
        </w:tc>
        <w:tc>
          <w:tcPr>
            <w:tcW w:w="567" w:type="dxa"/>
            <w:tcBorders>
              <w:top w:val="nil"/>
              <w:left w:val="nil"/>
              <w:bottom w:val="single" w:sz="4" w:space="0" w:color="auto"/>
              <w:right w:val="nil"/>
            </w:tcBorders>
            <w:shd w:val="clear" w:color="auto" w:fill="auto"/>
            <w:vAlign w:val="center"/>
            <w:hideMark/>
          </w:tcPr>
          <w:p w14:paraId="4869406F"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0.1</w:t>
            </w:r>
          </w:p>
        </w:tc>
        <w:tc>
          <w:tcPr>
            <w:tcW w:w="1006" w:type="dxa"/>
            <w:tcBorders>
              <w:top w:val="nil"/>
              <w:left w:val="nil"/>
              <w:bottom w:val="single" w:sz="4" w:space="0" w:color="auto"/>
              <w:right w:val="nil"/>
            </w:tcBorders>
            <w:shd w:val="clear" w:color="auto" w:fill="auto"/>
            <w:vAlign w:val="center"/>
            <w:hideMark/>
          </w:tcPr>
          <w:p w14:paraId="08D9B054"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w:t>
            </w:r>
          </w:p>
        </w:tc>
        <w:tc>
          <w:tcPr>
            <w:tcW w:w="681" w:type="dxa"/>
            <w:tcBorders>
              <w:top w:val="nil"/>
              <w:left w:val="nil"/>
              <w:bottom w:val="single" w:sz="4" w:space="0" w:color="auto"/>
              <w:right w:val="nil"/>
            </w:tcBorders>
            <w:shd w:val="clear" w:color="auto" w:fill="auto"/>
            <w:vAlign w:val="center"/>
            <w:hideMark/>
          </w:tcPr>
          <w:p w14:paraId="224E3D5E"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50 mM CD</w:t>
            </w:r>
          </w:p>
        </w:tc>
        <w:tc>
          <w:tcPr>
            <w:tcW w:w="698" w:type="dxa"/>
            <w:tcBorders>
              <w:top w:val="nil"/>
              <w:left w:val="nil"/>
              <w:bottom w:val="single" w:sz="4" w:space="0" w:color="auto"/>
              <w:right w:val="nil"/>
            </w:tcBorders>
            <w:shd w:val="clear" w:color="auto" w:fill="auto"/>
            <w:vAlign w:val="center"/>
            <w:hideMark/>
          </w:tcPr>
          <w:p w14:paraId="2E94F121"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16.6</w:t>
            </w:r>
          </w:p>
        </w:tc>
        <w:tc>
          <w:tcPr>
            <w:tcW w:w="698" w:type="dxa"/>
            <w:tcBorders>
              <w:top w:val="nil"/>
              <w:left w:val="nil"/>
              <w:bottom w:val="single" w:sz="4" w:space="0" w:color="auto"/>
              <w:right w:val="nil"/>
            </w:tcBorders>
            <w:shd w:val="clear" w:color="auto" w:fill="auto"/>
            <w:vAlign w:val="center"/>
            <w:hideMark/>
          </w:tcPr>
          <w:p w14:paraId="22F33863"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4.35</w:t>
            </w:r>
          </w:p>
        </w:tc>
        <w:tc>
          <w:tcPr>
            <w:tcW w:w="618" w:type="dxa"/>
            <w:tcBorders>
              <w:top w:val="nil"/>
              <w:left w:val="nil"/>
              <w:bottom w:val="single" w:sz="4" w:space="0" w:color="auto"/>
              <w:right w:val="nil"/>
            </w:tcBorders>
            <w:shd w:val="clear" w:color="auto" w:fill="auto"/>
            <w:vAlign w:val="center"/>
            <w:hideMark/>
          </w:tcPr>
          <w:p w14:paraId="67C6E6AF" w14:textId="4FDBD75E"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10</w:t>
            </w:r>
          </w:p>
        </w:tc>
        <w:tc>
          <w:tcPr>
            <w:tcW w:w="618" w:type="dxa"/>
            <w:tcBorders>
              <w:top w:val="nil"/>
              <w:left w:val="nil"/>
              <w:bottom w:val="single" w:sz="4" w:space="0" w:color="auto"/>
              <w:right w:val="nil"/>
            </w:tcBorders>
            <w:shd w:val="clear" w:color="auto" w:fill="auto"/>
            <w:vAlign w:val="center"/>
            <w:hideMark/>
          </w:tcPr>
          <w:p w14:paraId="548CB4AB" w14:textId="7198B30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2.5</w:t>
            </w:r>
          </w:p>
        </w:tc>
        <w:tc>
          <w:tcPr>
            <w:tcW w:w="618" w:type="dxa"/>
            <w:tcBorders>
              <w:top w:val="nil"/>
              <w:left w:val="nil"/>
              <w:bottom w:val="single" w:sz="4" w:space="0" w:color="auto"/>
              <w:right w:val="nil"/>
            </w:tcBorders>
            <w:shd w:val="clear" w:color="auto" w:fill="auto"/>
            <w:vAlign w:val="center"/>
            <w:hideMark/>
          </w:tcPr>
          <w:p w14:paraId="34FBEFF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0.03</w:t>
            </w:r>
          </w:p>
        </w:tc>
        <w:tc>
          <w:tcPr>
            <w:tcW w:w="612" w:type="dxa"/>
            <w:tcBorders>
              <w:top w:val="nil"/>
              <w:left w:val="nil"/>
              <w:bottom w:val="single" w:sz="4" w:space="0" w:color="auto"/>
              <w:right w:val="nil"/>
            </w:tcBorders>
            <w:shd w:val="clear" w:color="auto" w:fill="auto"/>
            <w:vAlign w:val="center"/>
            <w:hideMark/>
          </w:tcPr>
          <w:p w14:paraId="4030D900"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2.11</w:t>
            </w:r>
          </w:p>
        </w:tc>
        <w:tc>
          <w:tcPr>
            <w:tcW w:w="405" w:type="dxa"/>
            <w:tcBorders>
              <w:top w:val="nil"/>
              <w:left w:val="nil"/>
              <w:bottom w:val="single" w:sz="4" w:space="0" w:color="auto"/>
              <w:right w:val="nil"/>
            </w:tcBorders>
            <w:shd w:val="clear" w:color="auto" w:fill="auto"/>
            <w:vAlign w:val="center"/>
            <w:hideMark/>
          </w:tcPr>
          <w:p w14:paraId="2D01B6C8" w14:textId="2C70BD32"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99</w:t>
            </w:r>
          </w:p>
        </w:tc>
        <w:tc>
          <w:tcPr>
            <w:tcW w:w="567" w:type="dxa"/>
            <w:tcBorders>
              <w:top w:val="nil"/>
              <w:left w:val="nil"/>
              <w:bottom w:val="single" w:sz="4" w:space="0" w:color="auto"/>
              <w:right w:val="nil"/>
            </w:tcBorders>
            <w:shd w:val="clear" w:color="auto" w:fill="auto"/>
            <w:vAlign w:val="center"/>
            <w:hideMark/>
          </w:tcPr>
          <w:p w14:paraId="35CDF21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0.40</w:t>
            </w:r>
          </w:p>
        </w:tc>
        <w:tc>
          <w:tcPr>
            <w:tcW w:w="425" w:type="dxa"/>
            <w:tcBorders>
              <w:top w:val="nil"/>
              <w:left w:val="nil"/>
              <w:bottom w:val="single" w:sz="4" w:space="0" w:color="auto"/>
              <w:right w:val="nil"/>
            </w:tcBorders>
            <w:shd w:val="clear" w:color="auto" w:fill="auto"/>
            <w:vAlign w:val="center"/>
            <w:hideMark/>
          </w:tcPr>
          <w:p w14:paraId="38CC6718"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92</w:t>
            </w:r>
          </w:p>
        </w:tc>
        <w:tc>
          <w:tcPr>
            <w:tcW w:w="567" w:type="dxa"/>
            <w:tcBorders>
              <w:top w:val="nil"/>
              <w:left w:val="nil"/>
              <w:bottom w:val="single" w:sz="4" w:space="0" w:color="auto"/>
              <w:right w:val="nil"/>
            </w:tcBorders>
            <w:shd w:val="clear" w:color="auto" w:fill="auto"/>
            <w:vAlign w:val="center"/>
            <w:hideMark/>
          </w:tcPr>
          <w:p w14:paraId="149BD34C"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72</w:t>
            </w:r>
          </w:p>
        </w:tc>
        <w:tc>
          <w:tcPr>
            <w:tcW w:w="567" w:type="dxa"/>
            <w:tcBorders>
              <w:top w:val="nil"/>
              <w:left w:val="nil"/>
              <w:bottom w:val="single" w:sz="4" w:space="0" w:color="auto"/>
              <w:right w:val="nil"/>
            </w:tcBorders>
            <w:shd w:val="clear" w:color="auto" w:fill="auto"/>
            <w:vAlign w:val="center"/>
            <w:hideMark/>
          </w:tcPr>
          <w:p w14:paraId="3905BA57"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470</w:t>
            </w:r>
          </w:p>
        </w:tc>
        <w:tc>
          <w:tcPr>
            <w:tcW w:w="537" w:type="dxa"/>
            <w:tcBorders>
              <w:top w:val="nil"/>
              <w:left w:val="nil"/>
              <w:bottom w:val="single" w:sz="4" w:space="0" w:color="auto"/>
              <w:right w:val="nil"/>
            </w:tcBorders>
            <w:shd w:val="clear" w:color="auto" w:fill="auto"/>
            <w:vAlign w:val="center"/>
            <w:hideMark/>
          </w:tcPr>
          <w:p w14:paraId="2BCA6A22" w14:textId="77777777" w:rsidR="00737205" w:rsidRPr="00737205" w:rsidRDefault="00737205" w:rsidP="00737205">
            <w:pPr>
              <w:spacing w:after="0" w:line="240" w:lineRule="auto"/>
              <w:jc w:val="center"/>
              <w:rPr>
                <w:rFonts w:ascii="Calibri" w:eastAsia="Times New Roman" w:hAnsi="Calibri" w:cs="Calibri"/>
                <w:color w:val="000000"/>
                <w:sz w:val="16"/>
                <w:szCs w:val="16"/>
              </w:rPr>
            </w:pPr>
            <w:r w:rsidRPr="00737205">
              <w:rPr>
                <w:rFonts w:ascii="Calibri" w:eastAsia="Times New Roman" w:hAnsi="Calibri" w:cs="Calibri"/>
                <w:color w:val="000000"/>
                <w:sz w:val="16"/>
                <w:szCs w:val="16"/>
              </w:rPr>
              <w:t>6.52</w:t>
            </w:r>
          </w:p>
        </w:tc>
      </w:tr>
    </w:tbl>
    <w:p w14:paraId="2D1902DC" w14:textId="644FC3C3" w:rsidR="00332427" w:rsidRPr="00332427" w:rsidRDefault="00332427" w:rsidP="00737205">
      <w:pPr>
        <w:spacing w:line="259" w:lineRule="auto"/>
        <w:jc w:val="left"/>
      </w:pPr>
    </w:p>
    <w:p w14:paraId="6B51B970" w14:textId="77777777" w:rsidR="00235914" w:rsidRDefault="00235914" w:rsidP="00FA3D6A">
      <w:pPr>
        <w:sectPr w:rsidR="00235914" w:rsidSect="0073206E">
          <w:pgSz w:w="16838" w:h="11906" w:orient="landscape"/>
          <w:pgMar w:top="1417" w:right="1417" w:bottom="1417" w:left="1134" w:header="708" w:footer="708" w:gutter="0"/>
          <w:cols w:space="708"/>
          <w:docGrid w:linePitch="360"/>
        </w:sectPr>
      </w:pPr>
    </w:p>
    <w:p w14:paraId="5BD65BA2" w14:textId="2D204C01" w:rsidR="00405D55" w:rsidRPr="00366C38" w:rsidRDefault="00405D55" w:rsidP="00EB59D5">
      <w:pPr>
        <w:spacing w:line="276" w:lineRule="auto"/>
        <w:rPr>
          <w:i/>
          <w:iCs/>
          <w:szCs w:val="20"/>
        </w:rPr>
      </w:pPr>
      <w:bookmarkStart w:id="24" w:name="_Toc129870362"/>
      <w:bookmarkStart w:id="25" w:name="_Toc134623369"/>
      <w:r w:rsidRPr="00366C38">
        <w:rPr>
          <w:rStyle w:val="Heading1Char"/>
        </w:rPr>
        <w:lastRenderedPageBreak/>
        <w:t xml:space="preserve">Supporting Table S </w:t>
      </w:r>
      <w:r w:rsidRPr="00366C38">
        <w:rPr>
          <w:rStyle w:val="Heading1Char"/>
          <w:i/>
          <w:iCs/>
        </w:rPr>
        <w:fldChar w:fldCharType="begin"/>
      </w:r>
      <w:r w:rsidRPr="00366C38">
        <w:rPr>
          <w:rStyle w:val="Heading1Char"/>
        </w:rPr>
        <w:instrText xml:space="preserve"> SEQ Supporting_Table_S \* ARABIC </w:instrText>
      </w:r>
      <w:r w:rsidRPr="00366C38">
        <w:rPr>
          <w:rStyle w:val="Heading1Char"/>
          <w:i/>
          <w:iCs/>
        </w:rPr>
        <w:fldChar w:fldCharType="separate"/>
      </w:r>
      <w:r w:rsidR="00AA5E09">
        <w:rPr>
          <w:rStyle w:val="Heading1Char"/>
          <w:noProof/>
        </w:rPr>
        <w:t>4</w:t>
      </w:r>
      <w:bookmarkEnd w:id="24"/>
      <w:bookmarkEnd w:id="25"/>
      <w:r w:rsidRPr="00366C38">
        <w:rPr>
          <w:rStyle w:val="Heading1Char"/>
          <w:i/>
          <w:iCs/>
        </w:rPr>
        <w:fldChar w:fldCharType="end"/>
      </w:r>
      <w:r w:rsidR="00366C38" w:rsidRPr="00366C38">
        <w:t>:</w:t>
      </w:r>
      <w:r w:rsidRPr="00366C38">
        <w:rPr>
          <w:bCs/>
          <w:szCs w:val="20"/>
        </w:rPr>
        <w:t xml:space="preserve"> </w:t>
      </w:r>
      <w:r w:rsidRPr="00EB59D5">
        <w:rPr>
          <w:bCs/>
          <w:sz w:val="20"/>
          <w:szCs w:val="18"/>
        </w:rPr>
        <w:t>List of buffers used in this work.</w:t>
      </w:r>
    </w:p>
    <w:tbl>
      <w:tblPr>
        <w:tblW w:w="5067" w:type="pct"/>
        <w:tblLook w:val="04A0" w:firstRow="1" w:lastRow="0" w:firstColumn="1" w:lastColumn="0" w:noHBand="0" w:noVBand="1"/>
      </w:tblPr>
      <w:tblGrid>
        <w:gridCol w:w="4597"/>
        <w:gridCol w:w="4597"/>
      </w:tblGrid>
      <w:tr w:rsidR="005A0360" w:rsidRPr="00AA7F69" w14:paraId="1AAB113E" w14:textId="77777777" w:rsidTr="005A0360">
        <w:trPr>
          <w:trHeight w:val="395"/>
        </w:trPr>
        <w:tc>
          <w:tcPr>
            <w:tcW w:w="2500" w:type="pct"/>
            <w:tcBorders>
              <w:top w:val="single" w:sz="4" w:space="0" w:color="auto"/>
              <w:bottom w:val="single" w:sz="4" w:space="0" w:color="auto"/>
            </w:tcBorders>
            <w:vAlign w:val="center"/>
          </w:tcPr>
          <w:p w14:paraId="47E95B8B" w14:textId="77777777" w:rsidR="005A0360" w:rsidRPr="00AA7F69" w:rsidRDefault="005A0360" w:rsidP="00FA3D6A">
            <w:pPr>
              <w:spacing w:after="0" w:line="240" w:lineRule="auto"/>
              <w:rPr>
                <w:rFonts w:cs="Arial"/>
                <w:b/>
              </w:rPr>
            </w:pPr>
            <w:r w:rsidRPr="00AA7F69">
              <w:rPr>
                <w:rFonts w:cs="Arial"/>
                <w:b/>
              </w:rPr>
              <w:t>Buffer</w:t>
            </w:r>
          </w:p>
        </w:tc>
        <w:tc>
          <w:tcPr>
            <w:tcW w:w="2500" w:type="pct"/>
            <w:tcBorders>
              <w:top w:val="single" w:sz="4" w:space="0" w:color="auto"/>
              <w:bottom w:val="single" w:sz="4" w:space="0" w:color="auto"/>
            </w:tcBorders>
            <w:vAlign w:val="center"/>
          </w:tcPr>
          <w:p w14:paraId="5E69C4AD" w14:textId="77777777" w:rsidR="005A0360" w:rsidRPr="00AA7F69" w:rsidRDefault="005A0360" w:rsidP="00FA3D6A">
            <w:pPr>
              <w:spacing w:after="0" w:line="240" w:lineRule="auto"/>
              <w:rPr>
                <w:rFonts w:cs="Arial"/>
                <w:b/>
              </w:rPr>
            </w:pPr>
            <w:r w:rsidRPr="00AA7F69">
              <w:rPr>
                <w:rFonts w:cs="Arial"/>
                <w:b/>
              </w:rPr>
              <w:t>Ingredients</w:t>
            </w:r>
          </w:p>
        </w:tc>
      </w:tr>
      <w:tr w:rsidR="005A0360" w:rsidRPr="00AA7F69" w14:paraId="2F27EE12" w14:textId="77777777" w:rsidTr="005A0360">
        <w:trPr>
          <w:trHeight w:val="372"/>
        </w:trPr>
        <w:tc>
          <w:tcPr>
            <w:tcW w:w="2500" w:type="pct"/>
            <w:tcBorders>
              <w:top w:val="single" w:sz="4" w:space="0" w:color="auto"/>
            </w:tcBorders>
            <w:shd w:val="clear" w:color="auto" w:fill="auto"/>
            <w:vAlign w:val="center"/>
          </w:tcPr>
          <w:p w14:paraId="2FC13CAF" w14:textId="77777777" w:rsidR="005A0360" w:rsidRPr="00AA7F69" w:rsidRDefault="005A0360" w:rsidP="00FA3D6A">
            <w:pPr>
              <w:spacing w:after="0" w:line="240" w:lineRule="auto"/>
              <w:rPr>
                <w:rFonts w:cs="Arial"/>
                <w:b/>
                <w:color w:val="000000" w:themeColor="text1"/>
              </w:rPr>
            </w:pPr>
            <w:r w:rsidRPr="00AA7F69">
              <w:rPr>
                <w:rFonts w:cs="Arial"/>
                <w:color w:val="000000" w:themeColor="text1"/>
              </w:rPr>
              <w:t>10x phosphate buffer (KP</w:t>
            </w:r>
            <w:r w:rsidRPr="00AA7F69">
              <w:rPr>
                <w:rFonts w:cs="Arial"/>
                <w:color w:val="000000" w:themeColor="text1"/>
                <w:vertAlign w:val="subscript"/>
              </w:rPr>
              <w:t>i</w:t>
            </w:r>
            <w:r w:rsidRPr="00AA7F69">
              <w:rPr>
                <w:rFonts w:cs="Arial"/>
                <w:color w:val="000000" w:themeColor="text1"/>
              </w:rPr>
              <w:t>-buffer)</w:t>
            </w:r>
          </w:p>
        </w:tc>
        <w:tc>
          <w:tcPr>
            <w:tcW w:w="2500" w:type="pct"/>
            <w:tcBorders>
              <w:top w:val="single" w:sz="4" w:space="0" w:color="auto"/>
            </w:tcBorders>
            <w:shd w:val="clear" w:color="auto" w:fill="auto"/>
            <w:vAlign w:val="center"/>
          </w:tcPr>
          <w:p w14:paraId="2341D227" w14:textId="77777777" w:rsidR="005A0360" w:rsidRPr="00AA7F69" w:rsidRDefault="005A0360" w:rsidP="00FA3D6A">
            <w:pPr>
              <w:spacing w:after="0" w:line="240" w:lineRule="auto"/>
              <w:rPr>
                <w:rFonts w:cs="Arial"/>
                <w:color w:val="000000" w:themeColor="text1"/>
              </w:rPr>
            </w:pPr>
            <w:r w:rsidRPr="00AA7F69">
              <w:rPr>
                <w:rFonts w:cs="Arial"/>
                <w:color w:val="000000" w:themeColor="text1"/>
              </w:rPr>
              <w:t>0.17 M KH</w:t>
            </w:r>
            <w:r w:rsidRPr="00AA7F69">
              <w:rPr>
                <w:rFonts w:cs="Arial"/>
                <w:color w:val="000000" w:themeColor="text1"/>
                <w:vertAlign w:val="subscript"/>
              </w:rPr>
              <w:t>2</w:t>
            </w:r>
            <w:r w:rsidRPr="00AA7F69">
              <w:rPr>
                <w:rFonts w:cs="Arial"/>
                <w:color w:val="000000" w:themeColor="text1"/>
              </w:rPr>
              <w:t>PO</w:t>
            </w:r>
            <w:r w:rsidRPr="00AA7F69">
              <w:rPr>
                <w:rFonts w:cs="Arial"/>
                <w:color w:val="000000" w:themeColor="text1"/>
                <w:vertAlign w:val="subscript"/>
              </w:rPr>
              <w:t>4</w:t>
            </w:r>
            <w:r w:rsidRPr="00AA7F69">
              <w:rPr>
                <w:rFonts w:cs="Arial"/>
                <w:color w:val="000000" w:themeColor="text1"/>
              </w:rPr>
              <w:t>, 0.72 M K</w:t>
            </w:r>
            <w:r w:rsidRPr="00AA7F69">
              <w:rPr>
                <w:rFonts w:cs="Arial"/>
                <w:color w:val="000000" w:themeColor="text1"/>
                <w:vertAlign w:val="subscript"/>
              </w:rPr>
              <w:t>2</w:t>
            </w:r>
            <w:r w:rsidRPr="00AA7F69">
              <w:rPr>
                <w:rFonts w:cs="Arial"/>
                <w:color w:val="000000" w:themeColor="text1"/>
              </w:rPr>
              <w:t>HPO</w:t>
            </w:r>
            <w:r w:rsidRPr="00AA7F69">
              <w:rPr>
                <w:rFonts w:cs="Arial"/>
                <w:color w:val="000000" w:themeColor="text1"/>
                <w:vertAlign w:val="subscript"/>
              </w:rPr>
              <w:t>4</w:t>
            </w:r>
            <w:r w:rsidRPr="00AA7F69">
              <w:rPr>
                <w:rFonts w:cs="Arial"/>
                <w:color w:val="000000" w:themeColor="text1"/>
              </w:rPr>
              <w:t>, pH=7.4</w:t>
            </w:r>
          </w:p>
        </w:tc>
      </w:tr>
      <w:tr w:rsidR="005A0360" w:rsidRPr="00AA7F69" w14:paraId="670A71EC" w14:textId="77777777" w:rsidTr="005A0360">
        <w:trPr>
          <w:trHeight w:val="344"/>
        </w:trPr>
        <w:tc>
          <w:tcPr>
            <w:tcW w:w="2500" w:type="pct"/>
            <w:shd w:val="clear" w:color="auto" w:fill="auto"/>
            <w:vAlign w:val="center"/>
          </w:tcPr>
          <w:p w14:paraId="29E50274" w14:textId="52FE4C1B" w:rsidR="005A0360" w:rsidRPr="00AA7F69" w:rsidRDefault="00AA7F69" w:rsidP="00FA3D6A">
            <w:pPr>
              <w:spacing w:after="0" w:line="240" w:lineRule="auto"/>
              <w:rPr>
                <w:rFonts w:cs="Arial"/>
                <w:b/>
                <w:color w:val="000000" w:themeColor="text1"/>
              </w:rPr>
            </w:pPr>
            <w:r>
              <w:rPr>
                <w:rFonts w:cs="Arial"/>
                <w:color w:val="000000" w:themeColor="text1"/>
              </w:rPr>
              <w:t>l</w:t>
            </w:r>
            <w:r w:rsidR="005A0360" w:rsidRPr="00AA7F69">
              <w:rPr>
                <w:rFonts w:cs="Arial"/>
                <w:color w:val="000000" w:themeColor="text1"/>
              </w:rPr>
              <w:t>ysis buffer</w:t>
            </w:r>
          </w:p>
        </w:tc>
        <w:tc>
          <w:tcPr>
            <w:tcW w:w="2500" w:type="pct"/>
            <w:shd w:val="clear" w:color="auto" w:fill="auto"/>
            <w:vAlign w:val="center"/>
          </w:tcPr>
          <w:p w14:paraId="519BF4C8" w14:textId="25A1111F" w:rsidR="005A0360" w:rsidRPr="00AA7F69" w:rsidRDefault="005A0360" w:rsidP="00FA3D6A">
            <w:pPr>
              <w:spacing w:after="0" w:line="240" w:lineRule="auto"/>
              <w:rPr>
                <w:rFonts w:cs="Arial"/>
                <w:color w:val="000000" w:themeColor="text1"/>
              </w:rPr>
            </w:pPr>
            <w:r w:rsidRPr="00AA7F69">
              <w:rPr>
                <w:rFonts w:cs="Arial"/>
                <w:color w:val="000000" w:themeColor="text1"/>
              </w:rPr>
              <w:t xml:space="preserve">200 mM </w:t>
            </w:r>
            <w:r w:rsidR="00B670E9" w:rsidRPr="00AA7F69">
              <w:rPr>
                <w:rFonts w:cs="Arial"/>
                <w:color w:val="000000" w:themeColor="text1"/>
              </w:rPr>
              <w:t>c</w:t>
            </w:r>
            <w:r w:rsidRPr="00AA7F69">
              <w:rPr>
                <w:rFonts w:cs="Arial"/>
                <w:color w:val="000000" w:themeColor="text1"/>
              </w:rPr>
              <w:t>itric acid, 0.1% EDTA, pH=6.0</w:t>
            </w:r>
          </w:p>
        </w:tc>
      </w:tr>
      <w:tr w:rsidR="005A0360" w:rsidRPr="00AA7F69" w14:paraId="5B72A7B6" w14:textId="77777777" w:rsidTr="005A0360">
        <w:trPr>
          <w:trHeight w:val="454"/>
        </w:trPr>
        <w:tc>
          <w:tcPr>
            <w:tcW w:w="2500" w:type="pct"/>
            <w:shd w:val="clear" w:color="auto" w:fill="auto"/>
            <w:vAlign w:val="center"/>
          </w:tcPr>
          <w:p w14:paraId="16C15FB3" w14:textId="27582EFD" w:rsidR="005A0360" w:rsidRPr="00AA7F69" w:rsidRDefault="00AA7F69" w:rsidP="00FA3D6A">
            <w:pPr>
              <w:spacing w:after="0" w:line="240" w:lineRule="auto"/>
              <w:rPr>
                <w:rFonts w:cs="Arial"/>
                <w:color w:val="000000" w:themeColor="text1"/>
              </w:rPr>
            </w:pPr>
            <w:r>
              <w:rPr>
                <w:rFonts w:cs="Arial"/>
                <w:color w:val="000000" w:themeColor="text1"/>
              </w:rPr>
              <w:t>e</w:t>
            </w:r>
            <w:r w:rsidR="005A0360" w:rsidRPr="00AA7F69">
              <w:rPr>
                <w:rFonts w:cs="Arial"/>
                <w:color w:val="000000" w:themeColor="text1"/>
              </w:rPr>
              <w:t>xtraction buffer</w:t>
            </w:r>
          </w:p>
        </w:tc>
        <w:tc>
          <w:tcPr>
            <w:tcW w:w="2500" w:type="pct"/>
            <w:shd w:val="clear" w:color="auto" w:fill="auto"/>
            <w:vAlign w:val="center"/>
          </w:tcPr>
          <w:p w14:paraId="13811E43" w14:textId="785F55DE" w:rsidR="005A0360" w:rsidRPr="00AA7F69" w:rsidRDefault="005A0360" w:rsidP="00FA3D6A">
            <w:pPr>
              <w:spacing w:after="0" w:line="240" w:lineRule="auto"/>
              <w:rPr>
                <w:rFonts w:cs="Arial"/>
                <w:color w:val="000000" w:themeColor="text1"/>
              </w:rPr>
            </w:pPr>
            <w:r w:rsidRPr="00AA7F69">
              <w:rPr>
                <w:rFonts w:cs="Arial"/>
                <w:color w:val="000000" w:themeColor="text1"/>
              </w:rPr>
              <w:t xml:space="preserve">100 mM </w:t>
            </w:r>
            <w:r w:rsidR="00B670E9" w:rsidRPr="00AA7F69">
              <w:rPr>
                <w:rFonts w:cs="Arial"/>
                <w:color w:val="000000" w:themeColor="text1"/>
              </w:rPr>
              <w:t>c</w:t>
            </w:r>
            <w:r w:rsidRPr="00AA7F69">
              <w:rPr>
                <w:rFonts w:cs="Arial"/>
                <w:color w:val="000000" w:themeColor="text1"/>
              </w:rPr>
              <w:t>itric acid, 1% CHAPS, pH=6.0</w:t>
            </w:r>
          </w:p>
        </w:tc>
      </w:tr>
      <w:tr w:rsidR="005A0360" w:rsidRPr="00AA7F69" w14:paraId="2C29013A" w14:textId="77777777" w:rsidTr="00B670E9">
        <w:trPr>
          <w:trHeight w:val="346"/>
        </w:trPr>
        <w:tc>
          <w:tcPr>
            <w:tcW w:w="2500" w:type="pct"/>
            <w:shd w:val="clear" w:color="auto" w:fill="auto"/>
            <w:vAlign w:val="center"/>
          </w:tcPr>
          <w:p w14:paraId="5898D3DF" w14:textId="14599B3C" w:rsidR="005A0360" w:rsidRPr="00AA7F69" w:rsidRDefault="004701B4" w:rsidP="00FA3D6A">
            <w:pPr>
              <w:spacing w:after="0" w:line="240" w:lineRule="auto"/>
              <w:rPr>
                <w:rFonts w:cs="Arial"/>
                <w:color w:val="000000" w:themeColor="text1"/>
              </w:rPr>
            </w:pPr>
            <w:r w:rsidRPr="00AA7F69">
              <w:rPr>
                <w:rFonts w:cs="Arial"/>
                <w:color w:val="000000" w:themeColor="text1"/>
              </w:rPr>
              <w:t>citrate</w:t>
            </w:r>
            <w:r w:rsidR="005A0360" w:rsidRPr="00AA7F69">
              <w:rPr>
                <w:rFonts w:cs="Arial"/>
                <w:color w:val="000000" w:themeColor="text1"/>
              </w:rPr>
              <w:t xml:space="preserve"> buffer</w:t>
            </w:r>
          </w:p>
        </w:tc>
        <w:tc>
          <w:tcPr>
            <w:tcW w:w="2500" w:type="pct"/>
            <w:shd w:val="clear" w:color="auto" w:fill="auto"/>
            <w:vAlign w:val="center"/>
          </w:tcPr>
          <w:p w14:paraId="7A04FB48" w14:textId="01EC5F29" w:rsidR="005A0360" w:rsidRPr="00AA7F69" w:rsidRDefault="005A0360" w:rsidP="00FA3D6A">
            <w:pPr>
              <w:spacing w:after="0" w:line="240" w:lineRule="auto"/>
              <w:rPr>
                <w:rFonts w:cs="Arial"/>
                <w:color w:val="000000" w:themeColor="text1"/>
              </w:rPr>
            </w:pPr>
            <w:r w:rsidRPr="00AA7F69">
              <w:rPr>
                <w:rFonts w:cs="Arial"/>
                <w:color w:val="000000" w:themeColor="text1"/>
              </w:rPr>
              <w:t xml:space="preserve">100 mM </w:t>
            </w:r>
            <w:r w:rsidR="004701B4" w:rsidRPr="00AA7F69">
              <w:rPr>
                <w:rFonts w:cs="Arial"/>
                <w:color w:val="000000" w:themeColor="text1"/>
              </w:rPr>
              <w:t>c</w:t>
            </w:r>
            <w:r w:rsidRPr="00AA7F69">
              <w:rPr>
                <w:rFonts w:cs="Arial"/>
                <w:color w:val="000000" w:themeColor="text1"/>
              </w:rPr>
              <w:t>itric acid, pH=6.0</w:t>
            </w:r>
          </w:p>
        </w:tc>
      </w:tr>
      <w:tr w:rsidR="00B670E9" w:rsidRPr="00AA7F69" w14:paraId="2FDC4492" w14:textId="77777777" w:rsidTr="001C0830">
        <w:trPr>
          <w:trHeight w:val="346"/>
        </w:trPr>
        <w:tc>
          <w:tcPr>
            <w:tcW w:w="2500" w:type="pct"/>
            <w:shd w:val="clear" w:color="auto" w:fill="auto"/>
            <w:vAlign w:val="center"/>
          </w:tcPr>
          <w:p w14:paraId="551221E1" w14:textId="2881EAE9" w:rsidR="00B670E9" w:rsidRPr="00AA7F69" w:rsidRDefault="00B670E9" w:rsidP="00FA3D6A">
            <w:pPr>
              <w:spacing w:after="0" w:line="240" w:lineRule="auto"/>
              <w:rPr>
                <w:rFonts w:cs="Arial"/>
                <w:color w:val="000000" w:themeColor="text1"/>
              </w:rPr>
            </w:pPr>
            <w:r w:rsidRPr="00AA7F69">
              <w:rPr>
                <w:rFonts w:cs="Arial"/>
                <w:color w:val="000000" w:themeColor="text1"/>
              </w:rPr>
              <w:t>acetate buffer</w:t>
            </w:r>
          </w:p>
        </w:tc>
        <w:tc>
          <w:tcPr>
            <w:tcW w:w="2500" w:type="pct"/>
            <w:shd w:val="clear" w:color="auto" w:fill="auto"/>
            <w:vAlign w:val="center"/>
          </w:tcPr>
          <w:p w14:paraId="33AA85D0" w14:textId="17DD09CF" w:rsidR="00B670E9" w:rsidRPr="00AA7F69" w:rsidRDefault="00B670E9" w:rsidP="00FA3D6A">
            <w:pPr>
              <w:spacing w:after="0" w:line="240" w:lineRule="auto"/>
              <w:rPr>
                <w:rFonts w:cs="Arial"/>
                <w:color w:val="000000" w:themeColor="text1"/>
              </w:rPr>
            </w:pPr>
            <w:r w:rsidRPr="00AA7F69">
              <w:rPr>
                <w:rFonts w:cs="Arial"/>
                <w:color w:val="000000" w:themeColor="text1"/>
              </w:rPr>
              <w:t>100 mM acetate acid, pH=6.0</w:t>
            </w:r>
          </w:p>
        </w:tc>
      </w:tr>
      <w:tr w:rsidR="001C0830" w:rsidRPr="00AA7F69" w14:paraId="149FE145" w14:textId="77777777" w:rsidTr="000F2BE0">
        <w:trPr>
          <w:trHeight w:val="346"/>
        </w:trPr>
        <w:tc>
          <w:tcPr>
            <w:tcW w:w="2500" w:type="pct"/>
            <w:shd w:val="clear" w:color="auto" w:fill="auto"/>
            <w:vAlign w:val="center"/>
          </w:tcPr>
          <w:p w14:paraId="33AA8F72" w14:textId="012B028C" w:rsidR="001C0830" w:rsidRPr="00AA7F69" w:rsidRDefault="001C0830" w:rsidP="00FA3D6A">
            <w:pPr>
              <w:spacing w:after="0" w:line="240" w:lineRule="auto"/>
              <w:rPr>
                <w:rFonts w:cs="Arial"/>
                <w:color w:val="000000" w:themeColor="text1"/>
              </w:rPr>
            </w:pPr>
            <w:r w:rsidRPr="00AA7F69">
              <w:rPr>
                <w:rFonts w:cs="Arial"/>
                <w:color w:val="000000" w:themeColor="text1"/>
              </w:rPr>
              <w:t>cyclodextrin buffer</w:t>
            </w:r>
          </w:p>
        </w:tc>
        <w:tc>
          <w:tcPr>
            <w:tcW w:w="2500" w:type="pct"/>
            <w:shd w:val="clear" w:color="auto" w:fill="auto"/>
            <w:vAlign w:val="center"/>
          </w:tcPr>
          <w:p w14:paraId="314DE6E6" w14:textId="5FA3C4CF" w:rsidR="001C0830" w:rsidRPr="00AA7F69" w:rsidRDefault="000D610E" w:rsidP="00FA3D6A">
            <w:pPr>
              <w:spacing w:after="0" w:line="240" w:lineRule="auto"/>
              <w:rPr>
                <w:rFonts w:cs="Arial"/>
                <w:color w:val="000000" w:themeColor="text1"/>
              </w:rPr>
            </w:pPr>
            <w:r w:rsidRPr="00AA7F69">
              <w:rPr>
                <w:rFonts w:cs="Arial"/>
                <w:color w:val="000000" w:themeColor="text1"/>
              </w:rPr>
              <w:t xml:space="preserve">5-50 </w:t>
            </w:r>
            <w:r w:rsidR="001C0830" w:rsidRPr="00AA7F69">
              <w:rPr>
                <w:rFonts w:cs="Arial"/>
                <w:color w:val="000000" w:themeColor="text1"/>
              </w:rPr>
              <w:t>mM 2HPCD, 100 mM citric acid, pH=6.0</w:t>
            </w:r>
          </w:p>
        </w:tc>
      </w:tr>
      <w:tr w:rsidR="000F2BE0" w:rsidRPr="00AA5E09" w14:paraId="6E996829" w14:textId="77777777" w:rsidTr="005A0360">
        <w:trPr>
          <w:trHeight w:val="346"/>
        </w:trPr>
        <w:tc>
          <w:tcPr>
            <w:tcW w:w="2500" w:type="pct"/>
            <w:tcBorders>
              <w:bottom w:val="single" w:sz="4" w:space="0" w:color="auto"/>
            </w:tcBorders>
            <w:shd w:val="clear" w:color="auto" w:fill="auto"/>
            <w:vAlign w:val="center"/>
          </w:tcPr>
          <w:p w14:paraId="607FAAD3" w14:textId="3BDB3614" w:rsidR="000F2BE0" w:rsidRPr="00AA7F69" w:rsidRDefault="000F2BE0" w:rsidP="00FA3D6A">
            <w:pPr>
              <w:spacing w:after="0" w:line="240" w:lineRule="auto"/>
              <w:rPr>
                <w:rFonts w:cs="Arial"/>
                <w:color w:val="000000" w:themeColor="text1"/>
              </w:rPr>
            </w:pPr>
            <w:r w:rsidRPr="00AA7F69">
              <w:rPr>
                <w:rFonts w:cs="Arial"/>
                <w:color w:val="000000" w:themeColor="text1"/>
              </w:rPr>
              <w:t>PBS buffer</w:t>
            </w:r>
          </w:p>
        </w:tc>
        <w:tc>
          <w:tcPr>
            <w:tcW w:w="2500" w:type="pct"/>
            <w:tcBorders>
              <w:bottom w:val="single" w:sz="4" w:space="0" w:color="auto"/>
            </w:tcBorders>
            <w:shd w:val="clear" w:color="auto" w:fill="auto"/>
            <w:vAlign w:val="center"/>
          </w:tcPr>
          <w:p w14:paraId="1CC938EC" w14:textId="5132E916" w:rsidR="000F2BE0" w:rsidRPr="00AA7F69" w:rsidRDefault="000F2BE0" w:rsidP="00FA3D6A">
            <w:pPr>
              <w:spacing w:after="0" w:line="240" w:lineRule="auto"/>
              <w:rPr>
                <w:rFonts w:cs="Arial"/>
                <w:color w:val="000000" w:themeColor="text1"/>
                <w:lang w:val="de-DE"/>
              </w:rPr>
            </w:pPr>
            <w:r w:rsidRPr="00AA7F69">
              <w:rPr>
                <w:rFonts w:cs="Arial"/>
                <w:color w:val="000000" w:themeColor="text1"/>
                <w:lang w:val="de-DE"/>
              </w:rPr>
              <w:t>137 mM NaCl</w:t>
            </w:r>
            <w:r w:rsidR="00732F91" w:rsidRPr="00AA7F69">
              <w:rPr>
                <w:rFonts w:cs="Arial"/>
                <w:color w:val="000000" w:themeColor="text1"/>
                <w:lang w:val="de-DE"/>
              </w:rPr>
              <w:t>, 2.7 mM KCl, 10 mM Na</w:t>
            </w:r>
            <w:r w:rsidR="00732F91" w:rsidRPr="00AA7F69">
              <w:rPr>
                <w:rFonts w:cs="Arial"/>
                <w:color w:val="000000" w:themeColor="text1"/>
                <w:vertAlign w:val="subscript"/>
                <w:lang w:val="de-DE"/>
              </w:rPr>
              <w:t>2</w:t>
            </w:r>
            <w:r w:rsidR="00732F91" w:rsidRPr="00AA7F69">
              <w:rPr>
                <w:rFonts w:cs="Arial"/>
                <w:color w:val="000000" w:themeColor="text1"/>
                <w:lang w:val="de-DE"/>
              </w:rPr>
              <w:t>HPO</w:t>
            </w:r>
            <w:r w:rsidR="00732F91" w:rsidRPr="00AA7F69">
              <w:rPr>
                <w:rFonts w:cs="Arial"/>
                <w:color w:val="000000" w:themeColor="text1"/>
                <w:vertAlign w:val="subscript"/>
                <w:lang w:val="de-DE"/>
              </w:rPr>
              <w:t>4</w:t>
            </w:r>
            <w:r w:rsidR="00732F91" w:rsidRPr="00AA7F69">
              <w:rPr>
                <w:rFonts w:cs="Arial"/>
                <w:color w:val="000000" w:themeColor="text1"/>
                <w:lang w:val="de-DE"/>
              </w:rPr>
              <w:t xml:space="preserve"> pH=</w:t>
            </w:r>
            <w:r w:rsidR="008623FD" w:rsidRPr="00AA7F69">
              <w:rPr>
                <w:rFonts w:cs="Arial"/>
                <w:color w:val="000000" w:themeColor="text1"/>
                <w:lang w:val="de-DE"/>
              </w:rPr>
              <w:t>7.4</w:t>
            </w:r>
          </w:p>
        </w:tc>
      </w:tr>
    </w:tbl>
    <w:p w14:paraId="30380079" w14:textId="77777777" w:rsidR="007C71F1" w:rsidRPr="00732F91" w:rsidRDefault="007C71F1" w:rsidP="00FA3D6A">
      <w:pPr>
        <w:rPr>
          <w:rFonts w:cs="Arial"/>
          <w:lang w:val="de-DE"/>
        </w:rPr>
      </w:pPr>
    </w:p>
    <w:p w14:paraId="5BFCDBCB" w14:textId="4E5C26F0" w:rsidR="008A740F" w:rsidRPr="00651F7A" w:rsidRDefault="008A740F" w:rsidP="00EB59D5">
      <w:pPr>
        <w:spacing w:line="276" w:lineRule="auto"/>
      </w:pPr>
      <w:bookmarkStart w:id="26" w:name="_Toc134623370"/>
      <w:bookmarkStart w:id="27" w:name="_Toc129870363"/>
      <w:r w:rsidRPr="00EB59D5">
        <w:rPr>
          <w:rStyle w:val="Heading1Char"/>
        </w:rPr>
        <w:t xml:space="preserve">Supporting Table S </w:t>
      </w:r>
      <w:r w:rsidRPr="00EB59D5">
        <w:rPr>
          <w:rStyle w:val="Heading1Char"/>
        </w:rPr>
        <w:fldChar w:fldCharType="begin"/>
      </w:r>
      <w:r w:rsidRPr="00EB59D5">
        <w:rPr>
          <w:rStyle w:val="Heading1Char"/>
        </w:rPr>
        <w:instrText xml:space="preserve"> SEQ Supporting_Table_S \* ARABIC </w:instrText>
      </w:r>
      <w:r w:rsidRPr="00EB59D5">
        <w:rPr>
          <w:rStyle w:val="Heading1Char"/>
        </w:rPr>
        <w:fldChar w:fldCharType="separate"/>
      </w:r>
      <w:r w:rsidR="00AA5E09">
        <w:rPr>
          <w:rStyle w:val="Heading1Char"/>
          <w:noProof/>
        </w:rPr>
        <w:t>5</w:t>
      </w:r>
      <w:r w:rsidRPr="00EB59D5">
        <w:rPr>
          <w:rStyle w:val="Heading1Char"/>
        </w:rPr>
        <w:fldChar w:fldCharType="end"/>
      </w:r>
      <w:bookmarkStart w:id="28" w:name="_Toc62475151"/>
      <w:bookmarkStart w:id="29" w:name="_Toc74843280"/>
      <w:bookmarkStart w:id="30" w:name="_Toc120012358"/>
      <w:r w:rsidR="00651F7A" w:rsidRPr="00EB59D5">
        <w:rPr>
          <w:rStyle w:val="Heading1Char"/>
        </w:rPr>
        <w:t>:</w:t>
      </w:r>
      <w:bookmarkEnd w:id="26"/>
      <w:r w:rsidRPr="00EB59D5">
        <w:t xml:space="preserve"> </w:t>
      </w:r>
      <w:r w:rsidRPr="00EB59D5">
        <w:rPr>
          <w:sz w:val="20"/>
          <w:szCs w:val="20"/>
        </w:rPr>
        <w:t>List of media used in this work.</w:t>
      </w:r>
      <w:bookmarkEnd w:id="27"/>
      <w:bookmarkEnd w:id="28"/>
      <w:bookmarkEnd w:id="29"/>
      <w:bookmarkEnd w:id="30"/>
    </w:p>
    <w:tbl>
      <w:tblPr>
        <w:tblW w:w="5000" w:type="pct"/>
        <w:tblLook w:val="04A0" w:firstRow="1" w:lastRow="0" w:firstColumn="1" w:lastColumn="0" w:noHBand="0" w:noVBand="1"/>
      </w:tblPr>
      <w:tblGrid>
        <w:gridCol w:w="3687"/>
        <w:gridCol w:w="5385"/>
      </w:tblGrid>
      <w:tr w:rsidR="005A0360" w:rsidRPr="00FA21FF" w14:paraId="1EBCF273" w14:textId="77777777" w:rsidTr="005A0360">
        <w:trPr>
          <w:trHeight w:val="454"/>
        </w:trPr>
        <w:tc>
          <w:tcPr>
            <w:tcW w:w="2032" w:type="pct"/>
            <w:tcBorders>
              <w:top w:val="single" w:sz="4" w:space="0" w:color="auto"/>
              <w:bottom w:val="single" w:sz="4" w:space="0" w:color="auto"/>
            </w:tcBorders>
            <w:vAlign w:val="center"/>
          </w:tcPr>
          <w:p w14:paraId="5B943C8D" w14:textId="77777777" w:rsidR="005A0360" w:rsidRPr="00FA21FF" w:rsidRDefault="005A0360" w:rsidP="00FA3D6A">
            <w:pPr>
              <w:spacing w:after="0" w:line="240" w:lineRule="auto"/>
              <w:rPr>
                <w:rFonts w:cs="Arial"/>
                <w:b/>
              </w:rPr>
            </w:pPr>
            <w:r w:rsidRPr="00FA21FF">
              <w:rPr>
                <w:rFonts w:cs="Arial"/>
                <w:b/>
              </w:rPr>
              <w:t>Medium</w:t>
            </w:r>
          </w:p>
        </w:tc>
        <w:tc>
          <w:tcPr>
            <w:tcW w:w="2968" w:type="pct"/>
            <w:tcBorders>
              <w:top w:val="single" w:sz="4" w:space="0" w:color="auto"/>
              <w:bottom w:val="single" w:sz="4" w:space="0" w:color="auto"/>
            </w:tcBorders>
            <w:vAlign w:val="center"/>
          </w:tcPr>
          <w:p w14:paraId="60E3D05A" w14:textId="77777777" w:rsidR="005A0360" w:rsidRPr="00FA21FF" w:rsidRDefault="005A0360" w:rsidP="00FA3D6A">
            <w:pPr>
              <w:spacing w:after="0" w:line="240" w:lineRule="auto"/>
              <w:rPr>
                <w:rFonts w:cs="Arial"/>
                <w:b/>
              </w:rPr>
            </w:pPr>
            <w:r w:rsidRPr="00FA21FF">
              <w:rPr>
                <w:rFonts w:cs="Arial"/>
                <w:b/>
              </w:rPr>
              <w:t>Ingredients</w:t>
            </w:r>
          </w:p>
        </w:tc>
      </w:tr>
      <w:tr w:rsidR="005A0360" w:rsidRPr="00FA21FF" w14:paraId="7F499483" w14:textId="77777777" w:rsidTr="005A0360">
        <w:trPr>
          <w:trHeight w:val="454"/>
        </w:trPr>
        <w:tc>
          <w:tcPr>
            <w:tcW w:w="2032" w:type="pct"/>
            <w:tcBorders>
              <w:top w:val="single" w:sz="4" w:space="0" w:color="auto"/>
            </w:tcBorders>
            <w:shd w:val="clear" w:color="auto" w:fill="auto"/>
            <w:vAlign w:val="center"/>
          </w:tcPr>
          <w:p w14:paraId="51ADF2E1" w14:textId="3C4BFC29" w:rsidR="005A0360" w:rsidRPr="00FA21FF" w:rsidRDefault="005A0360" w:rsidP="00FA3D6A">
            <w:pPr>
              <w:spacing w:after="0" w:line="240" w:lineRule="auto"/>
              <w:rPr>
                <w:rFonts w:cs="Arial"/>
                <w:b/>
                <w:color w:val="000000" w:themeColor="text1"/>
              </w:rPr>
            </w:pPr>
            <w:r w:rsidRPr="00FA21FF">
              <w:rPr>
                <w:rFonts w:cs="Arial"/>
                <w:color w:val="000000" w:themeColor="text1"/>
              </w:rPr>
              <w:t>Lysogeny broth</w:t>
            </w:r>
            <w:r w:rsidR="00A22BF2">
              <w:rPr>
                <w:rFonts w:cs="Arial"/>
                <w:color w:val="000000" w:themeColor="text1"/>
              </w:rPr>
              <w:t xml:space="preserve"> (LB)</w:t>
            </w:r>
          </w:p>
        </w:tc>
        <w:tc>
          <w:tcPr>
            <w:tcW w:w="2968" w:type="pct"/>
            <w:tcBorders>
              <w:top w:val="single" w:sz="4" w:space="0" w:color="auto"/>
            </w:tcBorders>
            <w:shd w:val="clear" w:color="auto" w:fill="auto"/>
            <w:vAlign w:val="center"/>
          </w:tcPr>
          <w:p w14:paraId="194B780F" w14:textId="77777777" w:rsidR="005A0360" w:rsidRPr="00FA21FF" w:rsidRDefault="005A0360" w:rsidP="00FA3D6A">
            <w:pPr>
              <w:spacing w:after="0" w:line="240" w:lineRule="auto"/>
              <w:rPr>
                <w:rFonts w:cs="Arial"/>
                <w:color w:val="000000" w:themeColor="text1"/>
              </w:rPr>
            </w:pPr>
            <w:r w:rsidRPr="00FA21FF">
              <w:rPr>
                <w:rFonts w:cs="Arial"/>
                <w:color w:val="000000" w:themeColor="text1"/>
              </w:rPr>
              <w:t>10 g/L tryptone, 10 g/L NaCl, 5 g/L yeast extract</w:t>
            </w:r>
          </w:p>
        </w:tc>
      </w:tr>
      <w:tr w:rsidR="005A0360" w:rsidRPr="00FA21FF" w14:paraId="0AAAF3EE" w14:textId="77777777" w:rsidTr="005A0360">
        <w:trPr>
          <w:trHeight w:val="454"/>
        </w:trPr>
        <w:tc>
          <w:tcPr>
            <w:tcW w:w="2032" w:type="pct"/>
            <w:tcBorders>
              <w:bottom w:val="single" w:sz="4" w:space="0" w:color="auto"/>
            </w:tcBorders>
            <w:shd w:val="clear" w:color="auto" w:fill="auto"/>
            <w:vAlign w:val="center"/>
          </w:tcPr>
          <w:p w14:paraId="44D36737" w14:textId="77E3EBDA" w:rsidR="005A0360" w:rsidRPr="00A22BF2" w:rsidRDefault="005A0360" w:rsidP="00FA3D6A">
            <w:pPr>
              <w:spacing w:after="0" w:line="240" w:lineRule="auto"/>
              <w:rPr>
                <w:rFonts w:cs="Arial"/>
                <w:b/>
                <w:color w:val="000000" w:themeColor="text1"/>
                <w:lang w:val="de-DE"/>
              </w:rPr>
            </w:pPr>
            <w:r w:rsidRPr="00A22BF2">
              <w:rPr>
                <w:rFonts w:cs="Arial"/>
                <w:color w:val="000000" w:themeColor="text1"/>
                <w:lang w:val="de-DE"/>
              </w:rPr>
              <w:t>Auto-induction medium</w:t>
            </w:r>
            <w:r w:rsidR="00A22BF2" w:rsidRPr="00A22BF2">
              <w:rPr>
                <w:rFonts w:cs="Arial"/>
                <w:color w:val="000000" w:themeColor="text1"/>
                <w:lang w:val="de-DE"/>
              </w:rPr>
              <w:t xml:space="preserve"> (T-DA</w:t>
            </w:r>
            <w:r w:rsidR="00A22BF2">
              <w:rPr>
                <w:rFonts w:cs="Arial"/>
                <w:color w:val="000000" w:themeColor="text1"/>
                <w:lang w:val="de-DE"/>
              </w:rPr>
              <w:t>B)</w:t>
            </w:r>
          </w:p>
        </w:tc>
        <w:tc>
          <w:tcPr>
            <w:tcW w:w="2968" w:type="pct"/>
            <w:tcBorders>
              <w:bottom w:val="single" w:sz="4" w:space="0" w:color="auto"/>
            </w:tcBorders>
            <w:shd w:val="clear" w:color="auto" w:fill="auto"/>
            <w:vAlign w:val="center"/>
          </w:tcPr>
          <w:p w14:paraId="7D2B8C1B" w14:textId="77777777" w:rsidR="005A0360" w:rsidRPr="00FA21FF" w:rsidRDefault="005A0360" w:rsidP="00FA3D6A">
            <w:pPr>
              <w:spacing w:after="0" w:line="240" w:lineRule="auto"/>
              <w:rPr>
                <w:rFonts w:cs="Arial"/>
                <w:color w:val="000000" w:themeColor="text1"/>
              </w:rPr>
            </w:pPr>
            <w:r w:rsidRPr="00FA21FF">
              <w:rPr>
                <w:rFonts w:cs="Arial"/>
                <w:color w:val="000000" w:themeColor="text1"/>
              </w:rPr>
              <w:t>12 g/L tryptone, 24 g/L yeast extract, 2.9 g/L glucose, 11.1 g/L Glycerol, 7.6 g/L Lactose</w:t>
            </w:r>
          </w:p>
        </w:tc>
      </w:tr>
    </w:tbl>
    <w:p w14:paraId="74988B99" w14:textId="77777777" w:rsidR="009563B4" w:rsidRDefault="009563B4" w:rsidP="00FA3D6A"/>
    <w:p w14:paraId="7D7B5695" w14:textId="3A808B83" w:rsidR="005F0113" w:rsidRPr="005F0113" w:rsidRDefault="005F0113" w:rsidP="00EB59D5">
      <w:pPr>
        <w:spacing w:line="276" w:lineRule="auto"/>
      </w:pPr>
      <w:bookmarkStart w:id="31" w:name="_Toc134623371"/>
      <w:r w:rsidRPr="005F0113">
        <w:rPr>
          <w:rStyle w:val="Heading1Char"/>
          <w:bCs/>
        </w:rPr>
        <w:t xml:space="preserve">Supporting Table S </w:t>
      </w:r>
      <w:r w:rsidRPr="005F0113">
        <w:rPr>
          <w:rStyle w:val="Heading1Char"/>
          <w:b w:val="0"/>
          <w:bCs/>
        </w:rPr>
        <w:fldChar w:fldCharType="begin"/>
      </w:r>
      <w:r w:rsidRPr="005F0113">
        <w:rPr>
          <w:rStyle w:val="Heading1Char"/>
          <w:bCs/>
        </w:rPr>
        <w:instrText xml:space="preserve"> SEQ Supporting_Table_S \* ARABIC </w:instrText>
      </w:r>
      <w:r w:rsidRPr="005F0113">
        <w:rPr>
          <w:rStyle w:val="Heading1Char"/>
          <w:b w:val="0"/>
          <w:bCs/>
        </w:rPr>
        <w:fldChar w:fldCharType="separate"/>
      </w:r>
      <w:r w:rsidR="00AA5E09">
        <w:rPr>
          <w:rStyle w:val="Heading1Char"/>
          <w:bCs/>
          <w:noProof/>
        </w:rPr>
        <w:t>6</w:t>
      </w:r>
      <w:r w:rsidRPr="005F0113">
        <w:rPr>
          <w:rStyle w:val="Heading1Char"/>
          <w:b w:val="0"/>
          <w:bCs/>
        </w:rPr>
        <w:fldChar w:fldCharType="end"/>
      </w:r>
      <w:r w:rsidR="00EB59D5" w:rsidRPr="00EB59D5">
        <w:rPr>
          <w:rStyle w:val="Heading1Char"/>
          <w:b w:val="0"/>
          <w:bCs/>
          <w:szCs w:val="20"/>
        </w:rPr>
        <w:t>:</w:t>
      </w:r>
      <w:bookmarkEnd w:id="31"/>
      <w:r w:rsidRPr="00EB59D5">
        <w:rPr>
          <w:sz w:val="20"/>
          <w:szCs w:val="20"/>
        </w:rPr>
        <w:t xml:space="preserve"> List of primers used in this work.</w:t>
      </w:r>
      <w:r w:rsidRPr="00B77C0B">
        <w:rPr>
          <w:sz w:val="18"/>
          <w:szCs w:val="18"/>
        </w:rPr>
        <w:t xml:space="preserve"> </w:t>
      </w:r>
    </w:p>
    <w:tbl>
      <w:tblPr>
        <w:tblStyle w:val="ListTable7Colorful"/>
        <w:tblW w:w="5000" w:type="pct"/>
        <w:tblCellSpacing w:w="56" w:type="dxa"/>
        <w:tblLayout w:type="fixed"/>
        <w:tblLook w:val="06A0" w:firstRow="1" w:lastRow="0" w:firstColumn="1" w:lastColumn="0" w:noHBand="1" w:noVBand="1"/>
      </w:tblPr>
      <w:tblGrid>
        <w:gridCol w:w="742"/>
        <w:gridCol w:w="450"/>
        <w:gridCol w:w="1302"/>
        <w:gridCol w:w="6578"/>
      </w:tblGrid>
      <w:tr w:rsidR="005F0113" w:rsidRPr="00AA7F69" w14:paraId="19F44809" w14:textId="77777777" w:rsidTr="00AA7F69">
        <w:trPr>
          <w:cnfStyle w:val="100000000000" w:firstRow="1" w:lastRow="0" w:firstColumn="0" w:lastColumn="0" w:oddVBand="0" w:evenVBand="0" w:oddHBand="0" w:evenHBand="0" w:firstRowFirstColumn="0" w:firstRowLastColumn="0" w:lastRowFirstColumn="0" w:lastRowLastColumn="0"/>
          <w:trHeight w:val="170"/>
          <w:tblCellSpacing w:w="56" w:type="dxa"/>
        </w:trPr>
        <w:tc>
          <w:tcPr>
            <w:cnfStyle w:val="001000000100" w:firstRow="0" w:lastRow="0" w:firstColumn="1" w:lastColumn="0" w:oddVBand="0" w:evenVBand="0" w:oddHBand="0" w:evenHBand="0" w:firstRowFirstColumn="1" w:firstRowLastColumn="0" w:lastRowFirstColumn="0" w:lastRowLastColumn="0"/>
            <w:tcW w:w="510" w:type="pct"/>
            <w:gridSpan w:val="2"/>
            <w:tcBorders>
              <w:top w:val="single" w:sz="4" w:space="0" w:color="auto"/>
              <w:bottom w:val="none" w:sz="0" w:space="0" w:color="auto"/>
            </w:tcBorders>
            <w:vAlign w:val="center"/>
          </w:tcPr>
          <w:p w14:paraId="2B4004EC" w14:textId="77777777" w:rsidR="005F0113" w:rsidRPr="00AA7F69" w:rsidRDefault="005F0113" w:rsidP="00693CEB">
            <w:pPr>
              <w:rPr>
                <w:rFonts w:cs="Arial"/>
                <w:b/>
                <w:i w:val="0"/>
                <w:sz w:val="22"/>
                <w:lang w:val="en-US"/>
              </w:rPr>
            </w:pPr>
            <w:r w:rsidRPr="00AA7F69">
              <w:rPr>
                <w:rFonts w:cs="Arial"/>
                <w:b/>
                <w:i w:val="0"/>
                <w:sz w:val="22"/>
                <w:lang w:val="en-US"/>
              </w:rPr>
              <w:t>Entry</w:t>
            </w:r>
          </w:p>
        </w:tc>
        <w:tc>
          <w:tcPr>
            <w:tcW w:w="664" w:type="pct"/>
            <w:tcBorders>
              <w:top w:val="single" w:sz="4" w:space="0" w:color="auto"/>
              <w:bottom w:val="none" w:sz="0" w:space="0" w:color="auto"/>
            </w:tcBorders>
            <w:vAlign w:val="center"/>
          </w:tcPr>
          <w:p w14:paraId="52099731" w14:textId="77777777" w:rsidR="005F0113" w:rsidRPr="00AA7F69" w:rsidRDefault="005F0113" w:rsidP="00693CEB">
            <w:pPr>
              <w:cnfStyle w:val="100000000000" w:firstRow="1" w:lastRow="0" w:firstColumn="0" w:lastColumn="0" w:oddVBand="0" w:evenVBand="0" w:oddHBand="0" w:evenHBand="0" w:firstRowFirstColumn="0" w:firstRowLastColumn="0" w:lastRowFirstColumn="0" w:lastRowLastColumn="0"/>
              <w:rPr>
                <w:rFonts w:cs="Arial"/>
                <w:b/>
                <w:i w:val="0"/>
                <w:sz w:val="22"/>
                <w:lang w:val="en-US"/>
              </w:rPr>
            </w:pPr>
            <w:r w:rsidRPr="00AA7F69">
              <w:rPr>
                <w:rFonts w:cs="Arial"/>
                <w:b/>
                <w:i w:val="0"/>
                <w:sz w:val="22"/>
                <w:lang w:val="en-US"/>
              </w:rPr>
              <w:t>Name</w:t>
            </w:r>
          </w:p>
        </w:tc>
        <w:tc>
          <w:tcPr>
            <w:tcW w:w="3579" w:type="pct"/>
            <w:tcBorders>
              <w:top w:val="single" w:sz="4" w:space="0" w:color="auto"/>
              <w:bottom w:val="none" w:sz="0" w:space="0" w:color="auto"/>
            </w:tcBorders>
            <w:vAlign w:val="center"/>
          </w:tcPr>
          <w:p w14:paraId="54FA1B40" w14:textId="77777777" w:rsidR="005F0113" w:rsidRPr="00AA7F69" w:rsidRDefault="005F0113" w:rsidP="00693CEB">
            <w:pPr>
              <w:cnfStyle w:val="100000000000" w:firstRow="1" w:lastRow="0" w:firstColumn="0" w:lastColumn="0" w:oddVBand="0" w:evenVBand="0" w:oddHBand="0" w:evenHBand="0" w:firstRowFirstColumn="0" w:firstRowLastColumn="0" w:lastRowFirstColumn="0" w:lastRowLastColumn="0"/>
              <w:rPr>
                <w:rFonts w:cs="Arial"/>
                <w:b/>
                <w:i w:val="0"/>
                <w:sz w:val="22"/>
                <w:lang w:val="en-US"/>
              </w:rPr>
            </w:pPr>
            <w:r w:rsidRPr="00AA7F69">
              <w:rPr>
                <w:rFonts w:cs="Arial"/>
                <w:b/>
                <w:i w:val="0"/>
                <w:sz w:val="22"/>
                <w:lang w:val="en-US"/>
              </w:rPr>
              <w:t>Sequence (5´</w:t>
            </w:r>
            <w:r w:rsidRPr="00AA7F69">
              <w:rPr>
                <w:rFonts w:cs="Arial"/>
                <w:b/>
                <w:i w:val="0"/>
                <w:sz w:val="22"/>
                <w:lang w:val="en-US"/>
              </w:rPr>
              <w:sym w:font="Wingdings" w:char="F0E0"/>
            </w:r>
            <w:r w:rsidRPr="00AA7F69">
              <w:rPr>
                <w:rFonts w:cs="Arial"/>
                <w:b/>
                <w:i w:val="0"/>
                <w:sz w:val="22"/>
                <w:lang w:val="en-US"/>
              </w:rPr>
              <w:t>3´) Forward/Reverse</w:t>
            </w:r>
          </w:p>
        </w:tc>
      </w:tr>
      <w:tr w:rsidR="005F0113" w:rsidRPr="00AA7F69" w14:paraId="0B7F0FBE" w14:textId="77777777" w:rsidTr="00AA7F69">
        <w:trPr>
          <w:tblCellSpacing w:w="56" w:type="dxa"/>
        </w:trPr>
        <w:tc>
          <w:tcPr>
            <w:cnfStyle w:val="001000000000" w:firstRow="0" w:lastRow="0" w:firstColumn="1" w:lastColumn="0" w:oddVBand="0" w:evenVBand="0" w:oddHBand="0" w:evenHBand="0" w:firstRowFirstColumn="0" w:firstRowLastColumn="0" w:lastRowFirstColumn="0" w:lastRowLastColumn="0"/>
            <w:tcW w:w="321" w:type="pct"/>
            <w:tcBorders>
              <w:top w:val="single" w:sz="4" w:space="0" w:color="auto"/>
              <w:bottom w:val="single" w:sz="4" w:space="0" w:color="auto"/>
              <w:right w:val="single" w:sz="4" w:space="0" w:color="auto"/>
            </w:tcBorders>
            <w:shd w:val="clear" w:color="auto" w:fill="auto"/>
            <w:vAlign w:val="center"/>
          </w:tcPr>
          <w:p w14:paraId="4B7C3652" w14:textId="77777777" w:rsidR="005F0113" w:rsidRPr="00AA7F69" w:rsidRDefault="005F0113" w:rsidP="00693CEB">
            <w:pPr>
              <w:rPr>
                <w:rFonts w:cs="Arial"/>
                <w:i w:val="0"/>
                <w:sz w:val="22"/>
                <w:lang w:val="en-US"/>
              </w:rPr>
            </w:pPr>
            <w:r w:rsidRPr="00AA7F69">
              <w:rPr>
                <w:rFonts w:cs="Arial"/>
                <w:sz w:val="22"/>
                <w:lang w:val="en-US"/>
              </w:rPr>
              <w:t>1</w:t>
            </w:r>
          </w:p>
        </w:tc>
        <w:tc>
          <w:tcPr>
            <w:tcW w:w="853" w:type="pct"/>
            <w:gridSpan w:val="2"/>
            <w:tcBorders>
              <w:top w:val="single" w:sz="4" w:space="0" w:color="auto"/>
              <w:bottom w:val="single" w:sz="4" w:space="0" w:color="auto"/>
            </w:tcBorders>
            <w:shd w:val="clear" w:color="auto" w:fill="auto"/>
            <w:vAlign w:val="center"/>
          </w:tcPr>
          <w:p w14:paraId="773CB257" w14:textId="7F229969" w:rsidR="005F0113" w:rsidRPr="00AA7F69" w:rsidRDefault="005F0113" w:rsidP="00693CEB">
            <w:pPr>
              <w:pStyle w:val="Default"/>
              <w:spacing w:before="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US"/>
              </w:rPr>
            </w:pPr>
            <w:r w:rsidRPr="00AA7F69">
              <w:rPr>
                <w:rFonts w:ascii="Arial" w:hAnsi="Arial" w:cs="Arial"/>
                <w:bCs/>
                <w:sz w:val="22"/>
                <w:szCs w:val="22"/>
                <w:lang w:val="en-US"/>
              </w:rPr>
              <w:t>AacSHC D432</w:t>
            </w:r>
            <w:r w:rsidR="0003381F" w:rsidRPr="00AA7F69">
              <w:rPr>
                <w:rFonts w:ascii="Arial" w:hAnsi="Arial" w:cs="Arial"/>
                <w:bCs/>
                <w:sz w:val="22"/>
                <w:szCs w:val="22"/>
                <w:lang w:val="en-US"/>
              </w:rPr>
              <w:t>NNK</w:t>
            </w:r>
          </w:p>
        </w:tc>
        <w:tc>
          <w:tcPr>
            <w:tcW w:w="3579" w:type="pct"/>
            <w:tcBorders>
              <w:top w:val="single" w:sz="4" w:space="0" w:color="auto"/>
              <w:bottom w:val="single" w:sz="4" w:space="0" w:color="auto"/>
            </w:tcBorders>
            <w:shd w:val="clear" w:color="auto" w:fill="auto"/>
          </w:tcPr>
          <w:p w14:paraId="6E92A98A" w14:textId="7340FA62" w:rsidR="005F0113" w:rsidRPr="00AA7F69" w:rsidRDefault="0003381F" w:rsidP="00693CEB">
            <w:pPr>
              <w:pStyle w:val="Default"/>
              <w:spacing w:before="0" w:after="120"/>
              <w:cnfStyle w:val="000000000000" w:firstRow="0" w:lastRow="0" w:firstColumn="0" w:lastColumn="0" w:oddVBand="0" w:evenVBand="0" w:oddHBand="0" w:evenHBand="0" w:firstRowFirstColumn="0" w:firstRowLastColumn="0" w:lastRowFirstColumn="0" w:lastRowLastColumn="0"/>
              <w:rPr>
                <w:rFonts w:ascii="Arial" w:hAnsi="Arial" w:cs="Arial"/>
                <w:caps/>
                <w:sz w:val="22"/>
                <w:szCs w:val="22"/>
                <w:lang w:val="en-US"/>
              </w:rPr>
            </w:pPr>
            <w:r w:rsidRPr="00AA7F69">
              <w:rPr>
                <w:rFonts w:ascii="Arial" w:hAnsi="Arial" w:cs="Arial"/>
                <w:caps/>
                <w:sz w:val="22"/>
                <w:szCs w:val="22"/>
                <w:lang w:val="en-US"/>
              </w:rPr>
              <w:t>GCGATCTGCCGAACCATNNKCCGTTTTGCGATTTTGGC</w:t>
            </w:r>
            <w:r w:rsidR="005F0113" w:rsidRPr="00AA7F69">
              <w:rPr>
                <w:rFonts w:ascii="Arial" w:hAnsi="Arial" w:cs="Arial"/>
                <w:caps/>
                <w:sz w:val="22"/>
                <w:szCs w:val="22"/>
                <w:lang w:val="en-US"/>
              </w:rPr>
              <w:t xml:space="preserve">/ </w:t>
            </w:r>
            <w:r w:rsidR="009024F3" w:rsidRPr="00AA7F69">
              <w:rPr>
                <w:rFonts w:ascii="Arial" w:hAnsi="Arial" w:cs="Arial"/>
                <w:caps/>
                <w:sz w:val="22"/>
                <w:szCs w:val="22"/>
                <w:lang w:val="en-US"/>
              </w:rPr>
              <w:t>GCCAAAATCGCAAAACGGMNNATGGTTCGGCAGATCGC</w:t>
            </w:r>
          </w:p>
        </w:tc>
      </w:tr>
    </w:tbl>
    <w:p w14:paraId="522F26A2" w14:textId="77777777" w:rsidR="005F0113" w:rsidRDefault="005F0113" w:rsidP="00FA3D6A"/>
    <w:p w14:paraId="286467F4" w14:textId="7ED4D001" w:rsidR="00782271" w:rsidRDefault="00782271" w:rsidP="00EB59D5">
      <w:pPr>
        <w:spacing w:line="276" w:lineRule="auto"/>
      </w:pPr>
      <w:bookmarkStart w:id="32" w:name="_Toc134623372"/>
      <w:r w:rsidRPr="00EB59D5">
        <w:rPr>
          <w:rStyle w:val="Heading1Char"/>
        </w:rPr>
        <w:t xml:space="preserve">Supporting Table S </w:t>
      </w:r>
      <w:r w:rsidRPr="00EB59D5">
        <w:rPr>
          <w:rStyle w:val="Heading1Char"/>
        </w:rPr>
        <w:fldChar w:fldCharType="begin"/>
      </w:r>
      <w:r w:rsidRPr="00EB59D5">
        <w:rPr>
          <w:rStyle w:val="Heading1Char"/>
        </w:rPr>
        <w:instrText xml:space="preserve"> SEQ Supporting_Table_S \* ARABIC </w:instrText>
      </w:r>
      <w:r w:rsidRPr="00EB59D5">
        <w:rPr>
          <w:rStyle w:val="Heading1Char"/>
        </w:rPr>
        <w:fldChar w:fldCharType="separate"/>
      </w:r>
      <w:r w:rsidR="00AA5E09">
        <w:rPr>
          <w:rStyle w:val="Heading1Char"/>
          <w:noProof/>
        </w:rPr>
        <w:t>7</w:t>
      </w:r>
      <w:bookmarkEnd w:id="32"/>
      <w:r w:rsidRPr="00EB59D5">
        <w:rPr>
          <w:rStyle w:val="Heading1Char"/>
        </w:rPr>
        <w:fldChar w:fldCharType="end"/>
      </w:r>
      <w:r w:rsidR="00366C38" w:rsidRPr="00D2110D">
        <w:rPr>
          <w:b/>
          <w:bCs/>
          <w:noProof/>
          <w:sz w:val="20"/>
          <w:szCs w:val="20"/>
        </w:rPr>
        <w:t>:</w:t>
      </w:r>
      <w:r w:rsidR="00366C38" w:rsidRPr="00D2110D">
        <w:rPr>
          <w:noProof/>
          <w:sz w:val="20"/>
          <w:szCs w:val="20"/>
        </w:rPr>
        <w:t xml:space="preserve"> </w:t>
      </w:r>
      <w:r w:rsidR="00366C38" w:rsidRPr="00EB59D5">
        <w:rPr>
          <w:rFonts w:cs="Arial"/>
          <w:sz w:val="20"/>
          <w:szCs w:val="20"/>
        </w:rPr>
        <w:t>Summary of estimated decoupling free energies (</w:t>
      </w:r>
      <m:oMath>
        <m:r>
          <m:rPr>
            <m:sty m:val="p"/>
          </m:rPr>
          <w:rPr>
            <w:rFonts w:ascii="Cambria Math" w:hAnsi="Cambria Math" w:cs="Arial"/>
            <w:sz w:val="20"/>
            <w:szCs w:val="20"/>
          </w:rPr>
          <m:t>∆</m:t>
        </m:r>
        <m:sSubSup>
          <m:sSubSupPr>
            <m:ctrlPr>
              <w:rPr>
                <w:rFonts w:ascii="Cambria Math" w:hAnsi="Cambria Math" w:cs="Arial"/>
                <w:sz w:val="20"/>
                <w:szCs w:val="20"/>
              </w:rPr>
            </m:ctrlPr>
          </m:sSubSupPr>
          <m:e>
            <m:r>
              <m:rPr>
                <m:sty m:val="p"/>
              </m:rPr>
              <w:rPr>
                <w:rFonts w:ascii="Cambria Math" w:hAnsi="Cambria Math" w:cs="Arial"/>
                <w:sz w:val="20"/>
                <w:szCs w:val="20"/>
              </w:rPr>
              <m:t>G</m:t>
            </m:r>
          </m:e>
          <m:sub>
            <m:r>
              <m:rPr>
                <m:sty m:val="p"/>
              </m:rPr>
              <w:rPr>
                <w:rFonts w:ascii="Cambria Math" w:hAnsi="Cambria Math" w:cs="Arial"/>
                <w:sz w:val="20"/>
                <w:szCs w:val="20"/>
              </w:rPr>
              <m:t>0*→1*</m:t>
            </m:r>
          </m:sub>
          <m:sup>
            <m:r>
              <m:rPr>
                <m:sty m:val="p"/>
              </m:rPr>
              <w:rPr>
                <w:rFonts w:ascii="Cambria Math" w:hAnsi="Cambria Math" w:cs="Arial"/>
                <w:sz w:val="20"/>
                <w:szCs w:val="20"/>
              </w:rPr>
              <m:t>B</m:t>
            </m:r>
          </m:sup>
        </m:sSubSup>
      </m:oMath>
      <w:r w:rsidR="00366C38" w:rsidRPr="00EB59D5">
        <w:rPr>
          <w:rFonts w:cs="Arial"/>
          <w:sz w:val="20"/>
          <w:szCs w:val="20"/>
        </w:rPr>
        <w:t>) of the guest molecules in bulk solvent (water and cyclohexane) according to Fig. S</w:t>
      </w:r>
      <w:r w:rsidR="00651F7A" w:rsidRPr="00EB59D5">
        <w:rPr>
          <w:rFonts w:cs="Arial"/>
          <w:sz w:val="20"/>
          <w:szCs w:val="20"/>
        </w:rPr>
        <w:t>18</w:t>
      </w:r>
      <w:r w:rsidR="00366C38" w:rsidRPr="00EB59D5">
        <w:rPr>
          <w:rFonts w:cs="Arial"/>
          <w:sz w:val="20"/>
          <w:szCs w:val="20"/>
        </w:rPr>
        <w:t xml:space="preserve"> (</w:t>
      </w:r>
      <w:r w:rsidR="00651F7A" w:rsidRPr="00EB59D5">
        <w:rPr>
          <w:rFonts w:cs="Arial"/>
          <w:sz w:val="20"/>
          <w:szCs w:val="20"/>
        </w:rPr>
        <w:t>a</w:t>
      </w:r>
      <w:r w:rsidR="00366C38" w:rsidRPr="00EB59D5">
        <w:rPr>
          <w:rFonts w:cs="Arial"/>
          <w:sz w:val="20"/>
          <w:szCs w:val="20"/>
        </w:rPr>
        <w:t xml:space="preserve">). The value of </w:t>
      </w:r>
      <m:oMath>
        <m:r>
          <m:rPr>
            <m:sty m:val="p"/>
          </m:rPr>
          <w:rPr>
            <w:rFonts w:ascii="Cambria Math" w:hAnsi="Cambria Math" w:cs="Arial"/>
            <w:sz w:val="20"/>
            <w:szCs w:val="20"/>
          </w:rPr>
          <m:t>∆</m:t>
        </m:r>
        <m:sSubSup>
          <m:sSubSupPr>
            <m:ctrlPr>
              <w:rPr>
                <w:rFonts w:ascii="Cambria Math" w:hAnsi="Cambria Math" w:cs="Arial"/>
                <w:sz w:val="20"/>
                <w:szCs w:val="20"/>
              </w:rPr>
            </m:ctrlPr>
          </m:sSubSupPr>
          <m:e>
            <m:r>
              <m:rPr>
                <m:sty m:val="p"/>
              </m:rPr>
              <w:rPr>
                <w:rFonts w:ascii="Cambria Math" w:hAnsi="Cambria Math" w:cs="Arial"/>
                <w:sz w:val="20"/>
                <w:szCs w:val="20"/>
              </w:rPr>
              <m:t>G</m:t>
            </m:r>
          </m:e>
          <m:sub>
            <m:r>
              <m:rPr>
                <m:sty m:val="p"/>
              </m:rPr>
              <w:rPr>
                <w:rFonts w:ascii="Cambria Math" w:hAnsi="Cambria Math" w:cs="Arial"/>
                <w:sz w:val="20"/>
                <w:szCs w:val="20"/>
              </w:rPr>
              <m:t>0*→1*</m:t>
            </m:r>
          </m:sub>
          <m:sup>
            <m:r>
              <m:rPr>
                <m:sty m:val="p"/>
              </m:rPr>
              <w:rPr>
                <w:rFonts w:ascii="Cambria Math" w:hAnsi="Cambria Math" w:cs="Arial"/>
                <w:sz w:val="20"/>
                <w:szCs w:val="20"/>
              </w:rPr>
              <m:t>B</m:t>
            </m:r>
          </m:sup>
        </m:sSubSup>
      </m:oMath>
      <w:r w:rsidR="00366C38" w:rsidRPr="00EB59D5">
        <w:rPr>
          <w:rFonts w:cs="Arial"/>
          <w:sz w:val="20"/>
          <w:szCs w:val="20"/>
        </w:rPr>
        <w:t xml:space="preserve"> corresponds to the negative solvation free energy in the corresponding solvent. Explanations for the applied abbreviated guest names can be found in the corresponding methods section. All </w:t>
      </w:r>
      <m:oMath>
        <m:r>
          <m:rPr>
            <m:sty m:val="p"/>
          </m:rPr>
          <w:rPr>
            <w:rFonts w:ascii="Cambria Math" w:hAnsi="Cambria Math" w:cs="Arial"/>
            <w:sz w:val="20"/>
            <w:szCs w:val="20"/>
          </w:rPr>
          <m:t>∆G</m:t>
        </m:r>
      </m:oMath>
      <w:r w:rsidR="00366C38" w:rsidRPr="00EB59D5">
        <w:rPr>
          <w:rFonts w:cs="Arial"/>
          <w:sz w:val="20"/>
          <w:szCs w:val="20"/>
        </w:rPr>
        <w:t xml:space="preserve"> values are given in kJ</w:t>
      </w:r>
      <w:r w:rsidR="00B77C0B" w:rsidRPr="00EB59D5">
        <w:rPr>
          <w:rFonts w:cs="Arial"/>
          <w:sz w:val="20"/>
          <w:szCs w:val="20"/>
        </w:rPr>
        <w:t>·</w:t>
      </w:r>
      <w:r w:rsidR="00366C38" w:rsidRPr="00EB59D5">
        <w:rPr>
          <w:rFonts w:cs="Arial"/>
          <w:sz w:val="20"/>
          <w:szCs w:val="20"/>
        </w:rPr>
        <w:t>mol</w:t>
      </w:r>
      <w:r w:rsidR="00366C38" w:rsidRPr="00EB59D5">
        <w:rPr>
          <w:rFonts w:cs="Arial"/>
          <w:sz w:val="20"/>
          <w:szCs w:val="20"/>
          <w:vertAlign w:val="superscript"/>
        </w:rPr>
        <w:t>-1</w:t>
      </w:r>
      <w:r w:rsidR="00366C38" w:rsidRPr="00EB59D5">
        <w:rPr>
          <w:rFonts w:cs="Arial"/>
          <w:sz w:val="20"/>
          <w:szCs w:val="20"/>
        </w:rPr>
        <w:t>.</w:t>
      </w:r>
    </w:p>
    <w:tbl>
      <w:tblPr>
        <w:tblW w:w="5000" w:type="pct"/>
        <w:tblCellMar>
          <w:left w:w="70" w:type="dxa"/>
          <w:right w:w="70" w:type="dxa"/>
        </w:tblCellMar>
        <w:tblLook w:val="04A0" w:firstRow="1" w:lastRow="0" w:firstColumn="1" w:lastColumn="0" w:noHBand="0" w:noVBand="1"/>
      </w:tblPr>
      <w:tblGrid>
        <w:gridCol w:w="1260"/>
        <w:gridCol w:w="1015"/>
        <w:gridCol w:w="1338"/>
        <w:gridCol w:w="1123"/>
        <w:gridCol w:w="1649"/>
        <w:gridCol w:w="1219"/>
        <w:gridCol w:w="1468"/>
      </w:tblGrid>
      <w:tr w:rsidR="00AA7F69" w:rsidRPr="00AA7F69" w14:paraId="1E880131" w14:textId="77777777" w:rsidTr="00AA7F69">
        <w:trPr>
          <w:trHeight w:val="320"/>
        </w:trPr>
        <w:tc>
          <w:tcPr>
            <w:tcW w:w="694" w:type="pct"/>
            <w:tcBorders>
              <w:top w:val="single" w:sz="4" w:space="0" w:color="auto"/>
              <w:left w:val="nil"/>
              <w:bottom w:val="nil"/>
              <w:right w:val="nil"/>
            </w:tcBorders>
            <w:shd w:val="clear" w:color="auto" w:fill="auto"/>
            <w:vAlign w:val="center"/>
            <w:hideMark/>
          </w:tcPr>
          <w:p w14:paraId="4EB16320" w14:textId="77777777" w:rsidR="00AA7F69" w:rsidRPr="00AA7F69" w:rsidRDefault="00AA7F69" w:rsidP="00846304">
            <w:pPr>
              <w:spacing w:after="0" w:line="240" w:lineRule="auto"/>
              <w:jc w:val="center"/>
              <w:rPr>
                <w:rFonts w:eastAsia="Times New Roman" w:cs="Arial"/>
                <w:b/>
                <w:bCs/>
                <w:color w:val="000000"/>
                <w:lang w:val="de-DE" w:eastAsia="de-DE"/>
              </w:rPr>
            </w:pPr>
            <w:r w:rsidRPr="00AA7F69">
              <w:rPr>
                <w:rFonts w:eastAsia="Times New Roman" w:cs="Arial"/>
                <w:b/>
                <w:bCs/>
                <w:color w:val="000000"/>
                <w:lang w:val="de-DE" w:eastAsia="de-DE"/>
              </w:rPr>
              <w:t>Guest</w:t>
            </w:r>
          </w:p>
        </w:tc>
        <w:tc>
          <w:tcPr>
            <w:tcW w:w="1296" w:type="pct"/>
            <w:gridSpan w:val="2"/>
            <w:tcBorders>
              <w:top w:val="single" w:sz="4" w:space="0" w:color="auto"/>
              <w:left w:val="nil"/>
              <w:bottom w:val="single" w:sz="4" w:space="0" w:color="auto"/>
              <w:right w:val="nil"/>
            </w:tcBorders>
            <w:shd w:val="clear" w:color="auto" w:fill="auto"/>
            <w:vAlign w:val="center"/>
            <w:hideMark/>
          </w:tcPr>
          <w:p w14:paraId="0634B3D8" w14:textId="77777777" w:rsidR="00AA7F69" w:rsidRPr="00AA7F69" w:rsidRDefault="00AA7F69" w:rsidP="00846304">
            <w:pPr>
              <w:spacing w:after="0" w:line="240" w:lineRule="auto"/>
              <w:jc w:val="center"/>
              <w:rPr>
                <w:rFonts w:eastAsia="Times New Roman" w:cs="Arial"/>
                <w:b/>
                <w:bCs/>
                <w:color w:val="000000"/>
                <w:lang w:val="de-DE" w:eastAsia="de-DE"/>
              </w:rPr>
            </w:pPr>
            <w:r w:rsidRPr="00AA7F69">
              <w:rPr>
                <w:rFonts w:eastAsia="Times New Roman" w:cs="Arial"/>
                <w:b/>
                <w:bCs/>
                <w:color w:val="000000"/>
                <w:lang w:val="de-DE" w:eastAsia="de-DE"/>
              </w:rPr>
              <w:t>Water</w:t>
            </w:r>
          </w:p>
        </w:tc>
        <w:tc>
          <w:tcPr>
            <w:tcW w:w="1528" w:type="pct"/>
            <w:gridSpan w:val="2"/>
            <w:tcBorders>
              <w:top w:val="single" w:sz="4" w:space="0" w:color="auto"/>
              <w:left w:val="nil"/>
              <w:bottom w:val="single" w:sz="4" w:space="0" w:color="auto"/>
              <w:right w:val="nil"/>
            </w:tcBorders>
            <w:shd w:val="clear" w:color="auto" w:fill="auto"/>
            <w:vAlign w:val="center"/>
            <w:hideMark/>
          </w:tcPr>
          <w:p w14:paraId="2EE42A8E" w14:textId="77777777" w:rsidR="00AA7F69" w:rsidRPr="00AA7F69" w:rsidRDefault="00AA7F69" w:rsidP="00846304">
            <w:pPr>
              <w:spacing w:after="0" w:line="240" w:lineRule="auto"/>
              <w:jc w:val="center"/>
              <w:rPr>
                <w:rFonts w:eastAsia="Times New Roman" w:cs="Arial"/>
                <w:b/>
                <w:bCs/>
                <w:color w:val="000000"/>
                <w:lang w:val="de-DE" w:eastAsia="de-DE"/>
              </w:rPr>
            </w:pPr>
            <w:r w:rsidRPr="00AA7F69">
              <w:rPr>
                <w:rFonts w:eastAsia="Times New Roman" w:cs="Arial"/>
                <w:b/>
                <w:bCs/>
                <w:color w:val="000000"/>
                <w:lang w:val="de-DE" w:eastAsia="de-DE"/>
              </w:rPr>
              <w:t>Cyclohexane</w:t>
            </w:r>
          </w:p>
        </w:tc>
        <w:tc>
          <w:tcPr>
            <w:tcW w:w="1481" w:type="pct"/>
            <w:gridSpan w:val="2"/>
            <w:tcBorders>
              <w:top w:val="single" w:sz="4" w:space="0" w:color="auto"/>
              <w:left w:val="nil"/>
              <w:bottom w:val="single" w:sz="4" w:space="0" w:color="auto"/>
              <w:right w:val="nil"/>
            </w:tcBorders>
            <w:shd w:val="clear" w:color="auto" w:fill="auto"/>
            <w:vAlign w:val="center"/>
            <w:hideMark/>
          </w:tcPr>
          <w:p w14:paraId="02414F33" w14:textId="77777777" w:rsidR="00AA7F69" w:rsidRPr="00AA7F69" w:rsidRDefault="00AA7F69" w:rsidP="00846304">
            <w:pPr>
              <w:spacing w:after="0" w:line="240" w:lineRule="auto"/>
              <w:jc w:val="center"/>
              <w:rPr>
                <w:rFonts w:eastAsia="Times New Roman" w:cs="Arial"/>
                <w:b/>
                <w:bCs/>
                <w:color w:val="000000"/>
                <w:lang w:val="de-DE" w:eastAsia="de-DE"/>
              </w:rPr>
            </w:pPr>
            <w:r w:rsidRPr="00AA7F69">
              <w:rPr>
                <w:rFonts w:eastAsia="Times New Roman" w:cs="Arial"/>
                <w:b/>
                <w:bCs/>
                <w:color w:val="000000"/>
                <w:lang w:val="de-DE" w:eastAsia="de-DE"/>
              </w:rPr>
              <w:t>ΔG</w:t>
            </w:r>
            <w:r w:rsidRPr="00AA7F69">
              <w:rPr>
                <w:rFonts w:eastAsia="Times New Roman" w:cs="Arial"/>
                <w:b/>
                <w:bCs/>
                <w:color w:val="000000"/>
                <w:vertAlign w:val="subscript"/>
                <w:lang w:val="de-DE" w:eastAsia="de-DE"/>
              </w:rPr>
              <w:t>H2O-&gt;CH</w:t>
            </w:r>
          </w:p>
        </w:tc>
      </w:tr>
      <w:tr w:rsidR="00AA7F69" w:rsidRPr="00AA7F69" w14:paraId="7F945FF4" w14:textId="77777777" w:rsidTr="00AA7F69">
        <w:trPr>
          <w:trHeight w:val="310"/>
        </w:trPr>
        <w:tc>
          <w:tcPr>
            <w:tcW w:w="694" w:type="pct"/>
            <w:tcBorders>
              <w:top w:val="nil"/>
              <w:left w:val="nil"/>
              <w:bottom w:val="single" w:sz="4" w:space="0" w:color="auto"/>
              <w:right w:val="nil"/>
            </w:tcBorders>
            <w:shd w:val="clear" w:color="auto" w:fill="auto"/>
            <w:vAlign w:val="center"/>
            <w:hideMark/>
          </w:tcPr>
          <w:p w14:paraId="62A267FA" w14:textId="77777777" w:rsidR="00AA7F69" w:rsidRPr="00AA7F69" w:rsidRDefault="00AA7F69" w:rsidP="00846304">
            <w:pPr>
              <w:spacing w:after="0" w:line="240" w:lineRule="auto"/>
              <w:jc w:val="center"/>
              <w:rPr>
                <w:rFonts w:eastAsia="Times New Roman" w:cs="Arial"/>
                <w:b/>
                <w:bCs/>
                <w:color w:val="000000"/>
                <w:lang w:val="de-DE" w:eastAsia="de-DE"/>
              </w:rPr>
            </w:pPr>
            <w:r w:rsidRPr="00AA7F69">
              <w:rPr>
                <w:rFonts w:eastAsia="Times New Roman" w:cs="Arial"/>
                <w:b/>
                <w:bCs/>
                <w:color w:val="000000"/>
                <w:lang w:val="de-DE" w:eastAsia="de-DE"/>
              </w:rPr>
              <w:t> </w:t>
            </w:r>
          </w:p>
        </w:tc>
        <w:tc>
          <w:tcPr>
            <w:tcW w:w="559" w:type="pct"/>
            <w:tcBorders>
              <w:top w:val="nil"/>
              <w:left w:val="nil"/>
              <w:bottom w:val="single" w:sz="4" w:space="0" w:color="auto"/>
              <w:right w:val="nil"/>
            </w:tcBorders>
            <w:shd w:val="clear" w:color="auto" w:fill="auto"/>
            <w:noWrap/>
            <w:vAlign w:val="center"/>
            <w:hideMark/>
          </w:tcPr>
          <w:p w14:paraId="0B7BD4F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mean</w:t>
            </w:r>
          </w:p>
        </w:tc>
        <w:tc>
          <w:tcPr>
            <w:tcW w:w="737" w:type="pct"/>
            <w:tcBorders>
              <w:top w:val="nil"/>
              <w:left w:val="nil"/>
              <w:bottom w:val="single" w:sz="4" w:space="0" w:color="auto"/>
              <w:right w:val="nil"/>
            </w:tcBorders>
            <w:shd w:val="clear" w:color="auto" w:fill="auto"/>
            <w:vAlign w:val="center"/>
            <w:hideMark/>
          </w:tcPr>
          <w:p w14:paraId="28A6A85B"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w:t>
            </w:r>
          </w:p>
        </w:tc>
        <w:tc>
          <w:tcPr>
            <w:tcW w:w="619" w:type="pct"/>
            <w:tcBorders>
              <w:top w:val="nil"/>
              <w:left w:val="nil"/>
              <w:bottom w:val="single" w:sz="4" w:space="0" w:color="auto"/>
              <w:right w:val="nil"/>
            </w:tcBorders>
            <w:shd w:val="clear" w:color="auto" w:fill="auto"/>
            <w:noWrap/>
            <w:vAlign w:val="center"/>
            <w:hideMark/>
          </w:tcPr>
          <w:p w14:paraId="1C95789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mean</w:t>
            </w:r>
          </w:p>
        </w:tc>
        <w:tc>
          <w:tcPr>
            <w:tcW w:w="909" w:type="pct"/>
            <w:tcBorders>
              <w:top w:val="nil"/>
              <w:left w:val="nil"/>
              <w:bottom w:val="single" w:sz="4" w:space="0" w:color="auto"/>
              <w:right w:val="nil"/>
            </w:tcBorders>
            <w:shd w:val="clear" w:color="auto" w:fill="auto"/>
            <w:vAlign w:val="center"/>
            <w:hideMark/>
          </w:tcPr>
          <w:p w14:paraId="2D40D270"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w:t>
            </w:r>
          </w:p>
        </w:tc>
        <w:tc>
          <w:tcPr>
            <w:tcW w:w="672" w:type="pct"/>
            <w:tcBorders>
              <w:top w:val="nil"/>
              <w:left w:val="nil"/>
              <w:bottom w:val="single" w:sz="4" w:space="0" w:color="auto"/>
              <w:right w:val="nil"/>
            </w:tcBorders>
            <w:shd w:val="clear" w:color="auto" w:fill="auto"/>
            <w:noWrap/>
            <w:vAlign w:val="center"/>
            <w:hideMark/>
          </w:tcPr>
          <w:p w14:paraId="2AD5DD65"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mean</w:t>
            </w:r>
          </w:p>
        </w:tc>
        <w:tc>
          <w:tcPr>
            <w:tcW w:w="809" w:type="pct"/>
            <w:tcBorders>
              <w:top w:val="nil"/>
              <w:left w:val="nil"/>
              <w:bottom w:val="single" w:sz="4" w:space="0" w:color="auto"/>
              <w:right w:val="nil"/>
            </w:tcBorders>
            <w:shd w:val="clear" w:color="auto" w:fill="auto"/>
            <w:vAlign w:val="center"/>
            <w:hideMark/>
          </w:tcPr>
          <w:p w14:paraId="699B22D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w:t>
            </w:r>
          </w:p>
        </w:tc>
      </w:tr>
      <w:tr w:rsidR="00AA7F69" w:rsidRPr="00AA7F69" w14:paraId="45BCB26C" w14:textId="77777777" w:rsidTr="00AA7F69">
        <w:trPr>
          <w:trHeight w:val="310"/>
        </w:trPr>
        <w:tc>
          <w:tcPr>
            <w:tcW w:w="694" w:type="pct"/>
            <w:tcBorders>
              <w:top w:val="nil"/>
              <w:left w:val="nil"/>
              <w:bottom w:val="nil"/>
              <w:right w:val="nil"/>
            </w:tcBorders>
            <w:shd w:val="clear" w:color="auto" w:fill="auto"/>
            <w:noWrap/>
            <w:vAlign w:val="center"/>
            <w:hideMark/>
          </w:tcPr>
          <w:p w14:paraId="7A32094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6</w:t>
            </w:r>
          </w:p>
        </w:tc>
        <w:tc>
          <w:tcPr>
            <w:tcW w:w="559" w:type="pct"/>
            <w:tcBorders>
              <w:top w:val="nil"/>
              <w:left w:val="nil"/>
              <w:bottom w:val="nil"/>
              <w:right w:val="nil"/>
            </w:tcBorders>
            <w:shd w:val="clear" w:color="auto" w:fill="auto"/>
            <w:noWrap/>
            <w:vAlign w:val="center"/>
            <w:hideMark/>
          </w:tcPr>
          <w:p w14:paraId="6C9AC98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15.26</w:t>
            </w:r>
          </w:p>
        </w:tc>
        <w:tc>
          <w:tcPr>
            <w:tcW w:w="737" w:type="pct"/>
            <w:tcBorders>
              <w:top w:val="nil"/>
              <w:left w:val="nil"/>
              <w:bottom w:val="nil"/>
              <w:right w:val="nil"/>
            </w:tcBorders>
            <w:shd w:val="clear" w:color="auto" w:fill="auto"/>
            <w:noWrap/>
            <w:vAlign w:val="center"/>
            <w:hideMark/>
          </w:tcPr>
          <w:p w14:paraId="093206B4"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0.10</w:t>
            </w:r>
          </w:p>
        </w:tc>
        <w:tc>
          <w:tcPr>
            <w:tcW w:w="619" w:type="pct"/>
            <w:tcBorders>
              <w:top w:val="nil"/>
              <w:left w:val="nil"/>
              <w:bottom w:val="nil"/>
              <w:right w:val="nil"/>
            </w:tcBorders>
            <w:shd w:val="clear" w:color="auto" w:fill="auto"/>
            <w:noWrap/>
            <w:vAlign w:val="center"/>
            <w:hideMark/>
          </w:tcPr>
          <w:p w14:paraId="5F37E5F4"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48.10</w:t>
            </w:r>
          </w:p>
        </w:tc>
        <w:tc>
          <w:tcPr>
            <w:tcW w:w="909" w:type="pct"/>
            <w:tcBorders>
              <w:top w:val="nil"/>
              <w:left w:val="nil"/>
              <w:bottom w:val="nil"/>
              <w:right w:val="nil"/>
            </w:tcBorders>
            <w:shd w:val="clear" w:color="auto" w:fill="auto"/>
            <w:noWrap/>
            <w:vAlign w:val="center"/>
            <w:hideMark/>
          </w:tcPr>
          <w:p w14:paraId="7E7DB52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0.70</w:t>
            </w:r>
          </w:p>
        </w:tc>
        <w:tc>
          <w:tcPr>
            <w:tcW w:w="672" w:type="pct"/>
            <w:tcBorders>
              <w:top w:val="nil"/>
              <w:left w:val="nil"/>
              <w:bottom w:val="nil"/>
              <w:right w:val="nil"/>
            </w:tcBorders>
            <w:shd w:val="clear" w:color="auto" w:fill="auto"/>
            <w:noWrap/>
            <w:vAlign w:val="center"/>
            <w:hideMark/>
          </w:tcPr>
          <w:p w14:paraId="379C82FF"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-32.84</w:t>
            </w:r>
          </w:p>
        </w:tc>
        <w:tc>
          <w:tcPr>
            <w:tcW w:w="809" w:type="pct"/>
            <w:tcBorders>
              <w:top w:val="nil"/>
              <w:left w:val="nil"/>
              <w:bottom w:val="nil"/>
              <w:right w:val="nil"/>
            </w:tcBorders>
            <w:shd w:val="clear" w:color="auto" w:fill="auto"/>
            <w:noWrap/>
            <w:vAlign w:val="center"/>
            <w:hideMark/>
          </w:tcPr>
          <w:p w14:paraId="0A5A500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0.71</w:t>
            </w:r>
          </w:p>
        </w:tc>
      </w:tr>
      <w:tr w:rsidR="00AA7F69" w:rsidRPr="00AA7F69" w14:paraId="7F80C33C" w14:textId="77777777" w:rsidTr="00AA7F69">
        <w:trPr>
          <w:trHeight w:val="310"/>
        </w:trPr>
        <w:tc>
          <w:tcPr>
            <w:tcW w:w="694" w:type="pct"/>
            <w:tcBorders>
              <w:top w:val="nil"/>
              <w:left w:val="nil"/>
              <w:bottom w:val="nil"/>
              <w:right w:val="nil"/>
            </w:tcBorders>
            <w:shd w:val="clear" w:color="auto" w:fill="auto"/>
            <w:noWrap/>
            <w:vAlign w:val="center"/>
            <w:hideMark/>
          </w:tcPr>
          <w:p w14:paraId="7315B492"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10</w:t>
            </w:r>
          </w:p>
        </w:tc>
        <w:tc>
          <w:tcPr>
            <w:tcW w:w="559" w:type="pct"/>
            <w:tcBorders>
              <w:top w:val="nil"/>
              <w:left w:val="nil"/>
              <w:bottom w:val="nil"/>
              <w:right w:val="nil"/>
            </w:tcBorders>
            <w:shd w:val="clear" w:color="auto" w:fill="auto"/>
            <w:noWrap/>
            <w:vAlign w:val="center"/>
            <w:hideMark/>
          </w:tcPr>
          <w:p w14:paraId="22BD2EF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7.92</w:t>
            </w:r>
          </w:p>
        </w:tc>
        <w:tc>
          <w:tcPr>
            <w:tcW w:w="737" w:type="pct"/>
            <w:tcBorders>
              <w:top w:val="nil"/>
              <w:left w:val="nil"/>
              <w:bottom w:val="nil"/>
              <w:right w:val="nil"/>
            </w:tcBorders>
            <w:shd w:val="clear" w:color="auto" w:fill="auto"/>
            <w:noWrap/>
            <w:vAlign w:val="center"/>
            <w:hideMark/>
          </w:tcPr>
          <w:p w14:paraId="4EC073C1"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0.14</w:t>
            </w:r>
          </w:p>
        </w:tc>
        <w:tc>
          <w:tcPr>
            <w:tcW w:w="619" w:type="pct"/>
            <w:tcBorders>
              <w:top w:val="nil"/>
              <w:left w:val="nil"/>
              <w:bottom w:val="nil"/>
              <w:right w:val="nil"/>
            </w:tcBorders>
            <w:shd w:val="clear" w:color="auto" w:fill="auto"/>
            <w:noWrap/>
            <w:vAlign w:val="center"/>
            <w:hideMark/>
          </w:tcPr>
          <w:p w14:paraId="482596C5"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68.20</w:t>
            </w:r>
          </w:p>
        </w:tc>
        <w:tc>
          <w:tcPr>
            <w:tcW w:w="909" w:type="pct"/>
            <w:tcBorders>
              <w:top w:val="nil"/>
              <w:left w:val="nil"/>
              <w:bottom w:val="nil"/>
              <w:right w:val="nil"/>
            </w:tcBorders>
            <w:shd w:val="clear" w:color="auto" w:fill="auto"/>
            <w:noWrap/>
            <w:vAlign w:val="center"/>
            <w:hideMark/>
          </w:tcPr>
          <w:p w14:paraId="6515CD5E"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1.70</w:t>
            </w:r>
          </w:p>
        </w:tc>
        <w:tc>
          <w:tcPr>
            <w:tcW w:w="672" w:type="pct"/>
            <w:tcBorders>
              <w:top w:val="nil"/>
              <w:left w:val="nil"/>
              <w:bottom w:val="nil"/>
              <w:right w:val="nil"/>
            </w:tcBorders>
            <w:shd w:val="clear" w:color="auto" w:fill="auto"/>
            <w:noWrap/>
            <w:vAlign w:val="center"/>
            <w:hideMark/>
          </w:tcPr>
          <w:p w14:paraId="10748C22"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-60.28</w:t>
            </w:r>
          </w:p>
        </w:tc>
        <w:tc>
          <w:tcPr>
            <w:tcW w:w="809" w:type="pct"/>
            <w:tcBorders>
              <w:top w:val="nil"/>
              <w:left w:val="nil"/>
              <w:bottom w:val="nil"/>
              <w:right w:val="nil"/>
            </w:tcBorders>
            <w:shd w:val="clear" w:color="auto" w:fill="auto"/>
            <w:noWrap/>
            <w:vAlign w:val="center"/>
            <w:hideMark/>
          </w:tcPr>
          <w:p w14:paraId="6230A6E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1.71</w:t>
            </w:r>
          </w:p>
        </w:tc>
      </w:tr>
      <w:tr w:rsidR="00AA7F69" w:rsidRPr="00AA7F69" w14:paraId="75F6256B" w14:textId="77777777" w:rsidTr="00AA7F69">
        <w:trPr>
          <w:trHeight w:val="310"/>
        </w:trPr>
        <w:tc>
          <w:tcPr>
            <w:tcW w:w="694" w:type="pct"/>
            <w:tcBorders>
              <w:top w:val="nil"/>
              <w:left w:val="nil"/>
              <w:bottom w:val="nil"/>
              <w:right w:val="nil"/>
            </w:tcBorders>
            <w:shd w:val="clear" w:color="auto" w:fill="auto"/>
            <w:noWrap/>
            <w:vAlign w:val="center"/>
            <w:hideMark/>
          </w:tcPr>
          <w:p w14:paraId="09CEDFA5"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17</w:t>
            </w:r>
          </w:p>
        </w:tc>
        <w:tc>
          <w:tcPr>
            <w:tcW w:w="559" w:type="pct"/>
            <w:tcBorders>
              <w:top w:val="nil"/>
              <w:left w:val="nil"/>
              <w:bottom w:val="nil"/>
              <w:right w:val="nil"/>
            </w:tcBorders>
            <w:shd w:val="clear" w:color="auto" w:fill="auto"/>
            <w:noWrap/>
            <w:vAlign w:val="center"/>
            <w:hideMark/>
          </w:tcPr>
          <w:p w14:paraId="60666061"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13.19</w:t>
            </w:r>
          </w:p>
        </w:tc>
        <w:tc>
          <w:tcPr>
            <w:tcW w:w="737" w:type="pct"/>
            <w:tcBorders>
              <w:top w:val="nil"/>
              <w:left w:val="nil"/>
              <w:bottom w:val="nil"/>
              <w:right w:val="nil"/>
            </w:tcBorders>
            <w:shd w:val="clear" w:color="auto" w:fill="auto"/>
            <w:noWrap/>
            <w:vAlign w:val="center"/>
            <w:hideMark/>
          </w:tcPr>
          <w:p w14:paraId="528C6638"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0.11</w:t>
            </w:r>
          </w:p>
        </w:tc>
        <w:tc>
          <w:tcPr>
            <w:tcW w:w="619" w:type="pct"/>
            <w:tcBorders>
              <w:top w:val="nil"/>
              <w:left w:val="nil"/>
              <w:bottom w:val="nil"/>
              <w:right w:val="nil"/>
            </w:tcBorders>
            <w:shd w:val="clear" w:color="auto" w:fill="auto"/>
            <w:noWrap/>
            <w:vAlign w:val="center"/>
            <w:hideMark/>
          </w:tcPr>
          <w:p w14:paraId="6F3A4B48"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47.30</w:t>
            </w:r>
          </w:p>
        </w:tc>
        <w:tc>
          <w:tcPr>
            <w:tcW w:w="909" w:type="pct"/>
            <w:tcBorders>
              <w:top w:val="nil"/>
              <w:left w:val="nil"/>
              <w:bottom w:val="nil"/>
              <w:right w:val="nil"/>
            </w:tcBorders>
            <w:shd w:val="clear" w:color="auto" w:fill="auto"/>
            <w:noWrap/>
            <w:vAlign w:val="center"/>
            <w:hideMark/>
          </w:tcPr>
          <w:p w14:paraId="2A66FA4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0.90</w:t>
            </w:r>
          </w:p>
        </w:tc>
        <w:tc>
          <w:tcPr>
            <w:tcW w:w="672" w:type="pct"/>
            <w:tcBorders>
              <w:top w:val="nil"/>
              <w:left w:val="nil"/>
              <w:bottom w:val="nil"/>
              <w:right w:val="nil"/>
            </w:tcBorders>
            <w:shd w:val="clear" w:color="auto" w:fill="auto"/>
            <w:noWrap/>
            <w:vAlign w:val="center"/>
            <w:hideMark/>
          </w:tcPr>
          <w:p w14:paraId="4B9D1A3D"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-34.11</w:t>
            </w:r>
          </w:p>
        </w:tc>
        <w:tc>
          <w:tcPr>
            <w:tcW w:w="809" w:type="pct"/>
            <w:tcBorders>
              <w:top w:val="nil"/>
              <w:left w:val="nil"/>
              <w:bottom w:val="nil"/>
              <w:right w:val="nil"/>
            </w:tcBorders>
            <w:shd w:val="clear" w:color="auto" w:fill="auto"/>
            <w:noWrap/>
            <w:vAlign w:val="center"/>
            <w:hideMark/>
          </w:tcPr>
          <w:p w14:paraId="65046DD3"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0.91</w:t>
            </w:r>
          </w:p>
        </w:tc>
      </w:tr>
      <w:tr w:rsidR="00AA7F69" w:rsidRPr="00AA7F69" w14:paraId="2C491DCC" w14:textId="77777777" w:rsidTr="00AA7F69">
        <w:trPr>
          <w:trHeight w:val="313"/>
        </w:trPr>
        <w:tc>
          <w:tcPr>
            <w:tcW w:w="694" w:type="pct"/>
            <w:tcBorders>
              <w:top w:val="nil"/>
              <w:left w:val="nil"/>
              <w:bottom w:val="nil"/>
              <w:right w:val="nil"/>
            </w:tcBorders>
            <w:shd w:val="clear" w:color="auto" w:fill="auto"/>
            <w:noWrap/>
            <w:vAlign w:val="center"/>
            <w:hideMark/>
          </w:tcPr>
          <w:p w14:paraId="7F067E0B"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Z-17</w:t>
            </w:r>
          </w:p>
        </w:tc>
        <w:tc>
          <w:tcPr>
            <w:tcW w:w="559" w:type="pct"/>
            <w:tcBorders>
              <w:top w:val="nil"/>
              <w:left w:val="nil"/>
              <w:bottom w:val="nil"/>
              <w:right w:val="nil"/>
            </w:tcBorders>
            <w:shd w:val="clear" w:color="auto" w:fill="auto"/>
            <w:noWrap/>
            <w:vAlign w:val="center"/>
            <w:hideMark/>
          </w:tcPr>
          <w:p w14:paraId="371E55B9"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13.00</w:t>
            </w:r>
          </w:p>
        </w:tc>
        <w:tc>
          <w:tcPr>
            <w:tcW w:w="737" w:type="pct"/>
            <w:tcBorders>
              <w:top w:val="nil"/>
              <w:left w:val="nil"/>
              <w:bottom w:val="nil"/>
              <w:right w:val="nil"/>
            </w:tcBorders>
            <w:shd w:val="clear" w:color="auto" w:fill="auto"/>
            <w:noWrap/>
            <w:vAlign w:val="center"/>
            <w:hideMark/>
          </w:tcPr>
          <w:p w14:paraId="21CB5913"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0.11</w:t>
            </w:r>
          </w:p>
        </w:tc>
        <w:tc>
          <w:tcPr>
            <w:tcW w:w="619" w:type="pct"/>
            <w:tcBorders>
              <w:top w:val="nil"/>
              <w:left w:val="nil"/>
              <w:bottom w:val="nil"/>
              <w:right w:val="nil"/>
            </w:tcBorders>
            <w:shd w:val="clear" w:color="auto" w:fill="auto"/>
            <w:noWrap/>
            <w:vAlign w:val="center"/>
            <w:hideMark/>
          </w:tcPr>
          <w:p w14:paraId="1124F097"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47.10</w:t>
            </w:r>
          </w:p>
        </w:tc>
        <w:tc>
          <w:tcPr>
            <w:tcW w:w="909" w:type="pct"/>
            <w:tcBorders>
              <w:top w:val="nil"/>
              <w:left w:val="nil"/>
              <w:bottom w:val="nil"/>
              <w:right w:val="nil"/>
            </w:tcBorders>
            <w:shd w:val="clear" w:color="auto" w:fill="auto"/>
            <w:noWrap/>
            <w:vAlign w:val="center"/>
            <w:hideMark/>
          </w:tcPr>
          <w:p w14:paraId="512E9DA8"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1.10</w:t>
            </w:r>
          </w:p>
        </w:tc>
        <w:tc>
          <w:tcPr>
            <w:tcW w:w="672" w:type="pct"/>
            <w:tcBorders>
              <w:top w:val="nil"/>
              <w:left w:val="nil"/>
              <w:bottom w:val="nil"/>
              <w:right w:val="nil"/>
            </w:tcBorders>
            <w:shd w:val="clear" w:color="auto" w:fill="auto"/>
            <w:noWrap/>
            <w:vAlign w:val="center"/>
            <w:hideMark/>
          </w:tcPr>
          <w:p w14:paraId="046316D8"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-34.10</w:t>
            </w:r>
          </w:p>
        </w:tc>
        <w:tc>
          <w:tcPr>
            <w:tcW w:w="809" w:type="pct"/>
            <w:tcBorders>
              <w:top w:val="nil"/>
              <w:left w:val="nil"/>
              <w:bottom w:val="nil"/>
              <w:right w:val="nil"/>
            </w:tcBorders>
            <w:shd w:val="clear" w:color="auto" w:fill="auto"/>
            <w:noWrap/>
            <w:vAlign w:val="center"/>
            <w:hideMark/>
          </w:tcPr>
          <w:p w14:paraId="687003A7"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1.11</w:t>
            </w:r>
          </w:p>
        </w:tc>
      </w:tr>
      <w:tr w:rsidR="00AA7F69" w:rsidRPr="00AA7F69" w14:paraId="4464CFDF" w14:textId="77777777" w:rsidTr="00AA7F69">
        <w:trPr>
          <w:trHeight w:val="310"/>
        </w:trPr>
        <w:tc>
          <w:tcPr>
            <w:tcW w:w="694" w:type="pct"/>
            <w:tcBorders>
              <w:top w:val="nil"/>
              <w:left w:val="nil"/>
              <w:bottom w:val="nil"/>
              <w:right w:val="nil"/>
            </w:tcBorders>
            <w:shd w:val="clear" w:color="auto" w:fill="auto"/>
            <w:noWrap/>
            <w:vAlign w:val="center"/>
            <w:hideMark/>
          </w:tcPr>
          <w:p w14:paraId="0C08E5D1"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22</w:t>
            </w:r>
          </w:p>
        </w:tc>
        <w:tc>
          <w:tcPr>
            <w:tcW w:w="559" w:type="pct"/>
            <w:tcBorders>
              <w:top w:val="nil"/>
              <w:left w:val="nil"/>
              <w:bottom w:val="nil"/>
              <w:right w:val="nil"/>
            </w:tcBorders>
            <w:shd w:val="clear" w:color="auto" w:fill="auto"/>
            <w:noWrap/>
            <w:vAlign w:val="center"/>
            <w:hideMark/>
          </w:tcPr>
          <w:p w14:paraId="4C653A13"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12.04</w:t>
            </w:r>
          </w:p>
        </w:tc>
        <w:tc>
          <w:tcPr>
            <w:tcW w:w="737" w:type="pct"/>
            <w:tcBorders>
              <w:top w:val="nil"/>
              <w:left w:val="nil"/>
              <w:bottom w:val="nil"/>
              <w:right w:val="nil"/>
            </w:tcBorders>
            <w:shd w:val="clear" w:color="auto" w:fill="auto"/>
            <w:noWrap/>
            <w:vAlign w:val="center"/>
            <w:hideMark/>
          </w:tcPr>
          <w:p w14:paraId="6271B8C0"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0.11</w:t>
            </w:r>
          </w:p>
        </w:tc>
        <w:tc>
          <w:tcPr>
            <w:tcW w:w="619" w:type="pct"/>
            <w:tcBorders>
              <w:top w:val="nil"/>
              <w:left w:val="nil"/>
              <w:bottom w:val="nil"/>
              <w:right w:val="nil"/>
            </w:tcBorders>
            <w:shd w:val="clear" w:color="auto" w:fill="auto"/>
            <w:noWrap/>
            <w:vAlign w:val="center"/>
            <w:hideMark/>
          </w:tcPr>
          <w:p w14:paraId="3FC99363"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49.70</w:t>
            </w:r>
          </w:p>
        </w:tc>
        <w:tc>
          <w:tcPr>
            <w:tcW w:w="909" w:type="pct"/>
            <w:tcBorders>
              <w:top w:val="nil"/>
              <w:left w:val="nil"/>
              <w:bottom w:val="nil"/>
              <w:right w:val="nil"/>
            </w:tcBorders>
            <w:shd w:val="clear" w:color="auto" w:fill="auto"/>
            <w:noWrap/>
            <w:vAlign w:val="center"/>
            <w:hideMark/>
          </w:tcPr>
          <w:p w14:paraId="33281D8C"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0.50</w:t>
            </w:r>
          </w:p>
        </w:tc>
        <w:tc>
          <w:tcPr>
            <w:tcW w:w="672" w:type="pct"/>
            <w:tcBorders>
              <w:top w:val="nil"/>
              <w:left w:val="nil"/>
              <w:bottom w:val="nil"/>
              <w:right w:val="nil"/>
            </w:tcBorders>
            <w:shd w:val="clear" w:color="auto" w:fill="auto"/>
            <w:noWrap/>
            <w:vAlign w:val="center"/>
            <w:hideMark/>
          </w:tcPr>
          <w:p w14:paraId="250262DF"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-37.66</w:t>
            </w:r>
          </w:p>
        </w:tc>
        <w:tc>
          <w:tcPr>
            <w:tcW w:w="809" w:type="pct"/>
            <w:tcBorders>
              <w:top w:val="nil"/>
              <w:left w:val="nil"/>
              <w:bottom w:val="nil"/>
              <w:right w:val="nil"/>
            </w:tcBorders>
            <w:shd w:val="clear" w:color="auto" w:fill="auto"/>
            <w:noWrap/>
            <w:vAlign w:val="center"/>
            <w:hideMark/>
          </w:tcPr>
          <w:p w14:paraId="6797C4C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0.51</w:t>
            </w:r>
          </w:p>
        </w:tc>
      </w:tr>
      <w:tr w:rsidR="00AA7F69" w:rsidRPr="00AA7F69" w14:paraId="784C770B" w14:textId="77777777" w:rsidTr="00AA7F69">
        <w:trPr>
          <w:trHeight w:val="310"/>
        </w:trPr>
        <w:tc>
          <w:tcPr>
            <w:tcW w:w="694" w:type="pct"/>
            <w:tcBorders>
              <w:top w:val="nil"/>
              <w:left w:val="nil"/>
              <w:bottom w:val="nil"/>
              <w:right w:val="nil"/>
            </w:tcBorders>
            <w:shd w:val="clear" w:color="auto" w:fill="auto"/>
            <w:noWrap/>
            <w:vAlign w:val="center"/>
            <w:hideMark/>
          </w:tcPr>
          <w:p w14:paraId="6A87861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21</w:t>
            </w:r>
          </w:p>
        </w:tc>
        <w:tc>
          <w:tcPr>
            <w:tcW w:w="559" w:type="pct"/>
            <w:tcBorders>
              <w:top w:val="nil"/>
              <w:left w:val="nil"/>
              <w:bottom w:val="nil"/>
              <w:right w:val="nil"/>
            </w:tcBorders>
            <w:shd w:val="clear" w:color="auto" w:fill="auto"/>
            <w:noWrap/>
            <w:vAlign w:val="center"/>
            <w:hideMark/>
          </w:tcPr>
          <w:p w14:paraId="6C2FDF4B"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9.47</w:t>
            </w:r>
          </w:p>
        </w:tc>
        <w:tc>
          <w:tcPr>
            <w:tcW w:w="737" w:type="pct"/>
            <w:tcBorders>
              <w:top w:val="nil"/>
              <w:left w:val="nil"/>
              <w:bottom w:val="nil"/>
              <w:right w:val="nil"/>
            </w:tcBorders>
            <w:shd w:val="clear" w:color="auto" w:fill="auto"/>
            <w:noWrap/>
            <w:vAlign w:val="center"/>
            <w:hideMark/>
          </w:tcPr>
          <w:p w14:paraId="03963045"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0.12</w:t>
            </w:r>
          </w:p>
        </w:tc>
        <w:tc>
          <w:tcPr>
            <w:tcW w:w="619" w:type="pct"/>
            <w:tcBorders>
              <w:top w:val="nil"/>
              <w:left w:val="nil"/>
              <w:bottom w:val="nil"/>
              <w:right w:val="nil"/>
            </w:tcBorders>
            <w:shd w:val="clear" w:color="auto" w:fill="auto"/>
            <w:noWrap/>
            <w:vAlign w:val="center"/>
            <w:hideMark/>
          </w:tcPr>
          <w:p w14:paraId="33C66976"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55.10</w:t>
            </w:r>
          </w:p>
        </w:tc>
        <w:tc>
          <w:tcPr>
            <w:tcW w:w="909" w:type="pct"/>
            <w:tcBorders>
              <w:top w:val="nil"/>
              <w:left w:val="nil"/>
              <w:bottom w:val="nil"/>
              <w:right w:val="nil"/>
            </w:tcBorders>
            <w:shd w:val="clear" w:color="auto" w:fill="auto"/>
            <w:noWrap/>
            <w:vAlign w:val="center"/>
            <w:hideMark/>
          </w:tcPr>
          <w:p w14:paraId="5DC895A7"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1.10</w:t>
            </w:r>
          </w:p>
        </w:tc>
        <w:tc>
          <w:tcPr>
            <w:tcW w:w="672" w:type="pct"/>
            <w:tcBorders>
              <w:top w:val="nil"/>
              <w:left w:val="nil"/>
              <w:bottom w:val="nil"/>
              <w:right w:val="nil"/>
            </w:tcBorders>
            <w:shd w:val="clear" w:color="auto" w:fill="auto"/>
            <w:noWrap/>
            <w:vAlign w:val="center"/>
            <w:hideMark/>
          </w:tcPr>
          <w:p w14:paraId="732213F0"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-45.63</w:t>
            </w:r>
          </w:p>
        </w:tc>
        <w:tc>
          <w:tcPr>
            <w:tcW w:w="809" w:type="pct"/>
            <w:tcBorders>
              <w:top w:val="nil"/>
              <w:left w:val="nil"/>
              <w:bottom w:val="nil"/>
              <w:right w:val="nil"/>
            </w:tcBorders>
            <w:shd w:val="clear" w:color="auto" w:fill="auto"/>
            <w:noWrap/>
            <w:vAlign w:val="center"/>
            <w:hideMark/>
          </w:tcPr>
          <w:p w14:paraId="7D63CA15"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1.11</w:t>
            </w:r>
          </w:p>
        </w:tc>
      </w:tr>
      <w:tr w:rsidR="00AA7F69" w:rsidRPr="00AA7F69" w14:paraId="24FC93F3" w14:textId="77777777" w:rsidTr="00AA7F69">
        <w:trPr>
          <w:trHeight w:val="310"/>
        </w:trPr>
        <w:tc>
          <w:tcPr>
            <w:tcW w:w="694" w:type="pct"/>
            <w:tcBorders>
              <w:top w:val="nil"/>
              <w:left w:val="nil"/>
              <w:bottom w:val="single" w:sz="4" w:space="0" w:color="auto"/>
              <w:right w:val="nil"/>
            </w:tcBorders>
            <w:shd w:val="clear" w:color="auto" w:fill="auto"/>
            <w:noWrap/>
            <w:vAlign w:val="center"/>
            <w:hideMark/>
          </w:tcPr>
          <w:p w14:paraId="287FE519"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24</w:t>
            </w:r>
          </w:p>
        </w:tc>
        <w:tc>
          <w:tcPr>
            <w:tcW w:w="559" w:type="pct"/>
            <w:tcBorders>
              <w:top w:val="nil"/>
              <w:left w:val="nil"/>
              <w:bottom w:val="single" w:sz="4" w:space="0" w:color="auto"/>
              <w:right w:val="nil"/>
            </w:tcBorders>
            <w:shd w:val="clear" w:color="auto" w:fill="auto"/>
            <w:noWrap/>
            <w:vAlign w:val="center"/>
            <w:hideMark/>
          </w:tcPr>
          <w:p w14:paraId="4D84AC8C"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13.00</w:t>
            </w:r>
          </w:p>
        </w:tc>
        <w:tc>
          <w:tcPr>
            <w:tcW w:w="737" w:type="pct"/>
            <w:tcBorders>
              <w:top w:val="nil"/>
              <w:left w:val="nil"/>
              <w:bottom w:val="single" w:sz="4" w:space="0" w:color="auto"/>
              <w:right w:val="nil"/>
            </w:tcBorders>
            <w:shd w:val="clear" w:color="auto" w:fill="auto"/>
            <w:noWrap/>
            <w:vAlign w:val="center"/>
            <w:hideMark/>
          </w:tcPr>
          <w:p w14:paraId="75DC6719"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0.15</w:t>
            </w:r>
          </w:p>
        </w:tc>
        <w:tc>
          <w:tcPr>
            <w:tcW w:w="619" w:type="pct"/>
            <w:tcBorders>
              <w:top w:val="nil"/>
              <w:left w:val="nil"/>
              <w:bottom w:val="single" w:sz="4" w:space="0" w:color="auto"/>
              <w:right w:val="nil"/>
            </w:tcBorders>
            <w:shd w:val="clear" w:color="auto" w:fill="auto"/>
            <w:noWrap/>
            <w:vAlign w:val="center"/>
            <w:hideMark/>
          </w:tcPr>
          <w:p w14:paraId="236C2E08"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40.60</w:t>
            </w:r>
          </w:p>
        </w:tc>
        <w:tc>
          <w:tcPr>
            <w:tcW w:w="909" w:type="pct"/>
            <w:tcBorders>
              <w:top w:val="nil"/>
              <w:left w:val="nil"/>
              <w:bottom w:val="single" w:sz="4" w:space="0" w:color="auto"/>
              <w:right w:val="nil"/>
            </w:tcBorders>
            <w:shd w:val="clear" w:color="auto" w:fill="auto"/>
            <w:noWrap/>
            <w:vAlign w:val="center"/>
            <w:hideMark/>
          </w:tcPr>
          <w:p w14:paraId="082EBDCE"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1.00</w:t>
            </w:r>
          </w:p>
        </w:tc>
        <w:tc>
          <w:tcPr>
            <w:tcW w:w="672" w:type="pct"/>
            <w:tcBorders>
              <w:top w:val="nil"/>
              <w:left w:val="nil"/>
              <w:bottom w:val="single" w:sz="4" w:space="0" w:color="auto"/>
              <w:right w:val="nil"/>
            </w:tcBorders>
            <w:shd w:val="clear" w:color="auto" w:fill="auto"/>
            <w:noWrap/>
            <w:vAlign w:val="center"/>
            <w:hideMark/>
          </w:tcPr>
          <w:p w14:paraId="04343399"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-27.60</w:t>
            </w:r>
          </w:p>
        </w:tc>
        <w:tc>
          <w:tcPr>
            <w:tcW w:w="809" w:type="pct"/>
            <w:tcBorders>
              <w:top w:val="nil"/>
              <w:left w:val="nil"/>
              <w:bottom w:val="single" w:sz="4" w:space="0" w:color="auto"/>
              <w:right w:val="nil"/>
            </w:tcBorders>
            <w:shd w:val="clear" w:color="auto" w:fill="auto"/>
            <w:noWrap/>
            <w:vAlign w:val="center"/>
            <w:hideMark/>
          </w:tcPr>
          <w:p w14:paraId="61AC2B0E" w14:textId="77777777" w:rsidR="00AA7F69" w:rsidRPr="00AA7F69" w:rsidRDefault="00AA7F69" w:rsidP="00846304">
            <w:pPr>
              <w:spacing w:after="0" w:line="240" w:lineRule="auto"/>
              <w:jc w:val="center"/>
              <w:rPr>
                <w:rFonts w:eastAsia="Times New Roman" w:cs="Arial"/>
                <w:color w:val="000000"/>
                <w:lang w:val="de-DE" w:eastAsia="de-DE"/>
              </w:rPr>
            </w:pPr>
            <w:r w:rsidRPr="00AA7F69">
              <w:rPr>
                <w:rFonts w:eastAsia="Times New Roman" w:cs="Arial"/>
                <w:color w:val="000000"/>
                <w:lang w:val="de-DE" w:eastAsia="de-DE"/>
              </w:rPr>
              <w:t>1.01</w:t>
            </w:r>
          </w:p>
        </w:tc>
      </w:tr>
    </w:tbl>
    <w:p w14:paraId="20639384" w14:textId="61F9D1F3" w:rsidR="00EB58FC" w:rsidRDefault="00EB58FC" w:rsidP="00FA3D6A"/>
    <w:p w14:paraId="3CC3DA9C" w14:textId="24C65426" w:rsidR="009024F3" w:rsidRPr="009007F9" w:rsidRDefault="009024F3" w:rsidP="009024F3">
      <w:pPr>
        <w:spacing w:line="276" w:lineRule="auto"/>
        <w:rPr>
          <w:sz w:val="20"/>
          <w:szCs w:val="20"/>
        </w:rPr>
      </w:pPr>
      <w:bookmarkStart w:id="33" w:name="_Toc134623373"/>
      <w:r w:rsidRPr="009007F9">
        <w:rPr>
          <w:rStyle w:val="Heading1Char"/>
          <w:szCs w:val="20"/>
        </w:rPr>
        <w:lastRenderedPageBreak/>
        <w:t xml:space="preserve">Supporting Table S </w:t>
      </w:r>
      <w:r w:rsidRPr="009007F9">
        <w:rPr>
          <w:rStyle w:val="Heading1Char"/>
          <w:szCs w:val="20"/>
        </w:rPr>
        <w:fldChar w:fldCharType="begin"/>
      </w:r>
      <w:r w:rsidRPr="009007F9">
        <w:rPr>
          <w:rStyle w:val="Heading1Char"/>
          <w:szCs w:val="20"/>
        </w:rPr>
        <w:instrText xml:space="preserve"> SEQ Supporting_Table_S \* ARABIC </w:instrText>
      </w:r>
      <w:r w:rsidRPr="009007F9">
        <w:rPr>
          <w:rStyle w:val="Heading1Char"/>
          <w:szCs w:val="20"/>
        </w:rPr>
        <w:fldChar w:fldCharType="separate"/>
      </w:r>
      <w:r w:rsidR="00AA5E09">
        <w:rPr>
          <w:rStyle w:val="Heading1Char"/>
          <w:noProof/>
          <w:szCs w:val="20"/>
        </w:rPr>
        <w:t>8</w:t>
      </w:r>
      <w:bookmarkEnd w:id="33"/>
      <w:r w:rsidRPr="009007F9">
        <w:rPr>
          <w:rStyle w:val="Heading1Char"/>
          <w:szCs w:val="20"/>
        </w:rPr>
        <w:fldChar w:fldCharType="end"/>
      </w:r>
      <w:r w:rsidRPr="009007F9">
        <w:rPr>
          <w:sz w:val="20"/>
          <w:szCs w:val="20"/>
        </w:rPr>
        <w:t xml:space="preserve">: </w:t>
      </w:r>
      <w:r w:rsidRPr="009007F9">
        <w:rPr>
          <w:rFonts w:cs="Arial"/>
          <w:color w:val="000000" w:themeColor="text1"/>
          <w:sz w:val="20"/>
          <w:szCs w:val="20"/>
        </w:rPr>
        <w:t>Summary of estimated free energy differences according to Fig. S</w:t>
      </w:r>
      <w:r w:rsidR="00AB7794">
        <w:rPr>
          <w:rFonts w:cs="Arial"/>
          <w:color w:val="000000" w:themeColor="text1"/>
          <w:sz w:val="20"/>
          <w:szCs w:val="20"/>
        </w:rPr>
        <w:t>18</w:t>
      </w:r>
      <w:r w:rsidRPr="009007F9">
        <w:rPr>
          <w:rFonts w:cs="Arial"/>
          <w:color w:val="000000" w:themeColor="text1"/>
          <w:sz w:val="20"/>
          <w:szCs w:val="20"/>
        </w:rPr>
        <w:t xml:space="preserve"> (A) for different combinations of host and guest molecules forming a 1:1 complex solvated in water. Explanations for the applied abbreviated guest and host names can be found in the corresponding methods section. All </w:t>
      </w:r>
      <m:oMath>
        <m:r>
          <m:rPr>
            <m:sty m:val="p"/>
          </m:rPr>
          <w:rPr>
            <w:rFonts w:ascii="Cambria Math" w:hAnsi="Cambria Math" w:cs="Arial"/>
            <w:color w:val="000000" w:themeColor="text1"/>
            <w:sz w:val="20"/>
            <w:szCs w:val="20"/>
          </w:rPr>
          <m:t>∆G</m:t>
        </m:r>
      </m:oMath>
      <w:r w:rsidRPr="009007F9">
        <w:rPr>
          <w:rFonts w:eastAsiaTheme="minorEastAsia" w:cs="Arial"/>
          <w:color w:val="000000" w:themeColor="text1"/>
          <w:sz w:val="20"/>
          <w:szCs w:val="20"/>
        </w:rPr>
        <w:t xml:space="preserve"> values are given in kJ mol</w:t>
      </w:r>
      <w:r w:rsidRPr="009007F9">
        <w:rPr>
          <w:rFonts w:eastAsiaTheme="minorEastAsia" w:cs="Arial"/>
          <w:color w:val="000000" w:themeColor="text1"/>
          <w:sz w:val="20"/>
          <w:szCs w:val="20"/>
          <w:vertAlign w:val="superscript"/>
        </w:rPr>
        <w:t>-1</w:t>
      </w:r>
      <w:r w:rsidRPr="009007F9">
        <w:rPr>
          <w:rFonts w:eastAsiaTheme="minorEastAsia" w:cs="Arial"/>
          <w:color w:val="000000" w:themeColor="text1"/>
          <w:sz w:val="20"/>
          <w:szCs w:val="20"/>
        </w:rPr>
        <w:t xml:space="preserve">. The standard binding free energy was calculated as </w:t>
      </w:r>
      <m:oMath>
        <m:r>
          <m:rPr>
            <m:sty m:val="p"/>
          </m:rPr>
          <w:rPr>
            <w:rFonts w:ascii="Cambria Math" w:hAnsi="Cambria Math" w:cs="Arial"/>
            <w:sz w:val="20"/>
            <w:szCs w:val="20"/>
          </w:rPr>
          <m:t>∆</m:t>
        </m:r>
        <m:sSubSup>
          <m:sSubSupPr>
            <m:ctrlPr>
              <w:rPr>
                <w:rFonts w:ascii="Cambria Math" w:hAnsi="Cambria Math" w:cs="Arial"/>
                <w:sz w:val="20"/>
                <w:szCs w:val="20"/>
              </w:rPr>
            </m:ctrlPr>
          </m:sSubSupPr>
          <m:e>
            <m:r>
              <m:rPr>
                <m:sty m:val="p"/>
              </m:rPr>
              <w:rPr>
                <w:rFonts w:ascii="Cambria Math" w:hAnsi="Cambria Math" w:cs="Arial"/>
                <w:sz w:val="20"/>
                <w:szCs w:val="20"/>
              </w:rPr>
              <m:t>G</m:t>
            </m:r>
          </m:e>
          <m:sub>
            <m:r>
              <m:rPr>
                <m:sty m:val="p"/>
              </m:rPr>
              <w:rPr>
                <w:rFonts w:ascii="Cambria Math" w:hAnsi="Cambria Math" w:cs="Arial"/>
                <w:sz w:val="20"/>
                <w:szCs w:val="20"/>
              </w:rPr>
              <m:t>bind</m:t>
            </m:r>
          </m:sub>
          <m:sup>
            <m:r>
              <m:rPr>
                <m:sty m:val="p"/>
              </m:rPr>
              <w:rPr>
                <w:rFonts w:ascii="Cambria Math" w:hAnsi="Cambria Math" w:cs="Arial"/>
                <w:sz w:val="20"/>
                <w:szCs w:val="20"/>
              </w:rPr>
              <m:t>0</m:t>
            </m:r>
          </m:sup>
        </m:sSubSup>
        <m:r>
          <m:rPr>
            <m:sty m:val="p"/>
          </m:rPr>
          <w:rPr>
            <w:rFonts w:ascii="Cambria Math" w:eastAsiaTheme="minorEastAsia" w:hAnsi="Cambria Math" w:cs="Arial"/>
            <w:sz w:val="20"/>
            <w:szCs w:val="20"/>
          </w:rPr>
          <m:t>=</m:t>
        </m:r>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sSup>
              <m:sSupPr>
                <m:ctrlPr>
                  <w:rPr>
                    <w:rFonts w:ascii="Cambria Math" w:hAnsi="Cambria Math" w:cs="Arial"/>
                    <w:color w:val="000000" w:themeColor="text1"/>
                    <w:sz w:val="20"/>
                    <w:szCs w:val="20"/>
                  </w:rPr>
                </m:ctrlPr>
              </m:sSupPr>
              <m:e>
                <m:r>
                  <m:rPr>
                    <m:sty m:val="p"/>
                  </m:rPr>
                  <w:rPr>
                    <w:rFonts w:ascii="Cambria Math" w:hAnsi="Cambria Math" w:cs="Arial"/>
                    <w:color w:val="000000" w:themeColor="text1"/>
                    <w:sz w:val="20"/>
                    <w:szCs w:val="20"/>
                  </w:rPr>
                  <m:t>0</m:t>
                </m:r>
              </m:e>
              <m:sup>
                <m:r>
                  <m:rPr>
                    <m:sty m:val="p"/>
                  </m:rPr>
                  <w:rPr>
                    <w:rFonts w:ascii="Cambria Math" w:hAnsi="Cambria Math" w:cs="Arial"/>
                    <w:color w:val="000000" w:themeColor="text1"/>
                    <w:sz w:val="20"/>
                    <w:szCs w:val="20"/>
                  </w:rPr>
                  <m:t>*</m:t>
                </m:r>
              </m:sup>
            </m:sSup>
            <m:r>
              <m:rPr>
                <m:sty m:val="p"/>
              </m:rPr>
              <w:rPr>
                <w:rFonts w:ascii="Cambria Math" w:hAnsi="Cambria Math" w:cs="Arial"/>
                <w:color w:val="000000" w:themeColor="text1"/>
                <w:sz w:val="20"/>
                <w:szCs w:val="20"/>
              </w:rPr>
              <m:t>→</m:t>
            </m:r>
            <m:sSup>
              <m:sSupPr>
                <m:ctrlPr>
                  <w:rPr>
                    <w:rFonts w:ascii="Cambria Math" w:hAnsi="Cambria Math" w:cs="Arial"/>
                    <w:color w:val="000000" w:themeColor="text1"/>
                    <w:sz w:val="20"/>
                    <w:szCs w:val="20"/>
                  </w:rPr>
                </m:ctrlPr>
              </m:sSupPr>
              <m:e>
                <m:r>
                  <m:rPr>
                    <m:sty m:val="p"/>
                  </m:rPr>
                  <w:rPr>
                    <w:rFonts w:ascii="Cambria Math" w:hAnsi="Cambria Math" w:cs="Arial"/>
                    <w:color w:val="000000" w:themeColor="text1"/>
                    <w:sz w:val="20"/>
                    <w:szCs w:val="20"/>
                  </w:rPr>
                  <m:t>1</m:t>
                </m:r>
              </m:e>
              <m:sup>
                <m:r>
                  <m:rPr>
                    <m:sty m:val="p"/>
                  </m:rPr>
                  <w:rPr>
                    <w:rFonts w:ascii="Cambria Math" w:hAnsi="Cambria Math" w:cs="Arial"/>
                    <w:color w:val="000000" w:themeColor="text1"/>
                    <w:sz w:val="20"/>
                    <w:szCs w:val="20"/>
                  </w:rPr>
                  <m:t>*</m:t>
                </m:r>
              </m:sup>
            </m:sSup>
          </m:sub>
          <m:sup>
            <m:r>
              <m:rPr>
                <m:sty m:val="p"/>
              </m:rPr>
              <w:rPr>
                <w:rFonts w:ascii="Cambria Math" w:eastAsiaTheme="minorEastAsia" w:hAnsi="Cambria Math" w:cs="Arial"/>
                <w:color w:val="000000" w:themeColor="text1"/>
                <w:sz w:val="20"/>
                <w:szCs w:val="20"/>
              </w:rPr>
              <m:t>B</m:t>
            </m:r>
          </m:sup>
        </m:sSubSup>
        <m:r>
          <m:rPr>
            <m:sty m:val="p"/>
          </m:rPr>
          <w:rPr>
            <w:rFonts w:ascii="Cambria Math" w:eastAsiaTheme="minorEastAsia" w:hAnsi="Cambria Math" w:cs="Arial"/>
            <w:color w:val="000000" w:themeColor="text1"/>
            <w:sz w:val="20"/>
            <w:szCs w:val="20"/>
          </w:rPr>
          <m:t>-</m:t>
        </m:r>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0→3</m:t>
            </m:r>
          </m:sub>
          <m:sup>
            <m:r>
              <m:rPr>
                <m:sty m:val="p"/>
              </m:rPr>
              <w:rPr>
                <w:rFonts w:ascii="Cambria Math" w:eastAsiaTheme="minorEastAsia" w:hAnsi="Cambria Math" w:cs="Arial"/>
                <w:color w:val="000000" w:themeColor="text1"/>
                <w:sz w:val="20"/>
                <w:szCs w:val="20"/>
              </w:rPr>
              <m:t>H</m:t>
            </m:r>
          </m:sup>
        </m:sSubSup>
      </m:oMath>
      <w:r w:rsidRPr="009007F9">
        <w:rPr>
          <w:rFonts w:eastAsiaTheme="minorEastAsia" w:cs="Arial"/>
          <w:color w:val="000000" w:themeColor="text1"/>
          <w:sz w:val="20"/>
          <w:szCs w:val="20"/>
        </w:rPr>
        <w:t xml:space="preserve">, where </w:t>
      </w:r>
      <m:oMath>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0→3</m:t>
            </m:r>
          </m:sub>
          <m:sup>
            <m:r>
              <m:rPr>
                <m:sty m:val="p"/>
              </m:rPr>
              <w:rPr>
                <w:rFonts w:ascii="Cambria Math" w:eastAsiaTheme="minorEastAsia" w:hAnsi="Cambria Math" w:cs="Arial"/>
                <w:color w:val="000000" w:themeColor="text1"/>
                <w:sz w:val="20"/>
                <w:szCs w:val="20"/>
              </w:rPr>
              <m:t>H</m:t>
            </m:r>
          </m:sup>
        </m:sSubSup>
      </m:oMath>
      <w:r w:rsidRPr="009007F9">
        <w:rPr>
          <w:rFonts w:eastAsiaTheme="minorEastAsia" w:cs="Arial"/>
          <w:color w:val="000000" w:themeColor="text1"/>
          <w:sz w:val="20"/>
          <w:szCs w:val="20"/>
        </w:rPr>
        <w:t xml:space="preserve"> is given by the sum: </w:t>
      </w:r>
      <m:oMath>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0→3</m:t>
            </m:r>
          </m:sub>
          <m:sup>
            <m:r>
              <m:rPr>
                <m:sty m:val="p"/>
              </m:rPr>
              <w:rPr>
                <w:rFonts w:ascii="Cambria Math" w:eastAsiaTheme="minorEastAsia" w:hAnsi="Cambria Math" w:cs="Arial"/>
                <w:color w:val="000000" w:themeColor="text1"/>
                <w:sz w:val="20"/>
                <w:szCs w:val="20"/>
              </w:rPr>
              <m:t>H</m:t>
            </m:r>
          </m:sup>
        </m:sSubSup>
        <m:r>
          <m:rPr>
            <m:sty m:val="p"/>
          </m:rPr>
          <w:rPr>
            <w:rFonts w:ascii="Cambria Math" w:eastAsiaTheme="minorEastAsia" w:hAnsi="Cambria Math" w:cs="Arial"/>
            <w:color w:val="000000" w:themeColor="text1"/>
            <w:sz w:val="20"/>
            <w:szCs w:val="20"/>
          </w:rPr>
          <m:t>=</m:t>
        </m:r>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0→1</m:t>
            </m:r>
          </m:sub>
          <m:sup>
            <m:r>
              <m:rPr>
                <m:sty m:val="p"/>
              </m:rPr>
              <w:rPr>
                <w:rFonts w:ascii="Cambria Math" w:eastAsiaTheme="minorEastAsia" w:hAnsi="Cambria Math" w:cs="Arial"/>
                <w:color w:val="000000" w:themeColor="text1"/>
                <w:sz w:val="20"/>
                <w:szCs w:val="20"/>
              </w:rPr>
              <m:t>H</m:t>
            </m:r>
          </m:sup>
        </m:sSubSup>
        <m:r>
          <m:rPr>
            <m:sty m:val="p"/>
          </m:rPr>
          <w:rPr>
            <w:rFonts w:ascii="Cambria Math" w:eastAsiaTheme="minorEastAsia" w:hAnsi="Cambria Math" w:cs="Arial"/>
            <w:color w:val="000000" w:themeColor="text1"/>
            <w:sz w:val="20"/>
            <w:szCs w:val="20"/>
          </w:rPr>
          <m:t>+</m:t>
        </m:r>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1→2</m:t>
            </m:r>
          </m:sub>
          <m:sup>
            <m:r>
              <m:rPr>
                <m:sty m:val="p"/>
              </m:rPr>
              <w:rPr>
                <w:rFonts w:ascii="Cambria Math" w:eastAsiaTheme="minorEastAsia" w:hAnsi="Cambria Math" w:cs="Arial"/>
                <w:color w:val="000000" w:themeColor="text1"/>
                <w:sz w:val="20"/>
                <w:szCs w:val="20"/>
              </w:rPr>
              <m:t>H</m:t>
            </m:r>
          </m:sup>
        </m:sSubSup>
        <m:r>
          <m:rPr>
            <m:sty m:val="p"/>
          </m:rPr>
          <w:rPr>
            <w:rFonts w:ascii="Cambria Math" w:eastAsiaTheme="minorEastAsia" w:hAnsi="Cambria Math" w:cs="Arial"/>
            <w:color w:val="000000" w:themeColor="text1"/>
            <w:sz w:val="20"/>
            <w:szCs w:val="20"/>
          </w:rPr>
          <m:t>+</m:t>
        </m:r>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2→3</m:t>
            </m:r>
          </m:sub>
          <m:sup>
            <m:r>
              <m:rPr>
                <m:sty m:val="p"/>
              </m:rPr>
              <w:rPr>
                <w:rFonts w:ascii="Cambria Math" w:eastAsiaTheme="minorEastAsia" w:hAnsi="Cambria Math" w:cs="Arial"/>
                <w:color w:val="000000" w:themeColor="text1"/>
                <w:sz w:val="20"/>
                <w:szCs w:val="20"/>
              </w:rPr>
              <m:t>H</m:t>
            </m:r>
          </m:sup>
        </m:sSubSup>
      </m:oMath>
      <w:r w:rsidRPr="009007F9">
        <w:rPr>
          <w:rFonts w:eastAsiaTheme="minorEastAsia" w:cs="Arial"/>
          <w:color w:val="000000" w:themeColor="text1"/>
          <w:sz w:val="20"/>
          <w:szCs w:val="20"/>
        </w:rPr>
        <w:t>. Values for the decoupling free energies in bulk water (</w:t>
      </w:r>
      <m:oMath>
        <m:r>
          <m:rPr>
            <m:sty m:val="p"/>
          </m:rPr>
          <w:rPr>
            <w:rFonts w:ascii="Cambria Math" w:hAnsi="Cambria Math" w:cs="Arial"/>
            <w:sz w:val="20"/>
            <w:szCs w:val="20"/>
          </w:rPr>
          <m:t>∆</m:t>
        </m:r>
        <m:sSubSup>
          <m:sSubSupPr>
            <m:ctrlPr>
              <w:rPr>
                <w:rFonts w:ascii="Cambria Math" w:hAnsi="Cambria Math" w:cs="Arial"/>
                <w:sz w:val="20"/>
                <w:szCs w:val="20"/>
              </w:rPr>
            </m:ctrlPr>
          </m:sSubSupPr>
          <m:e>
            <m:r>
              <m:rPr>
                <m:sty m:val="p"/>
              </m:rPr>
              <w:rPr>
                <w:rFonts w:ascii="Cambria Math" w:hAnsi="Cambria Math" w:cs="Arial"/>
                <w:sz w:val="20"/>
                <w:szCs w:val="20"/>
              </w:rPr>
              <m:t>G</m:t>
            </m:r>
          </m:e>
          <m:sub>
            <m:r>
              <m:rPr>
                <m:sty m:val="p"/>
              </m:rPr>
              <w:rPr>
                <w:rFonts w:ascii="Cambria Math" w:hAnsi="Cambria Math" w:cs="Arial"/>
                <w:sz w:val="20"/>
                <w:szCs w:val="20"/>
              </w:rPr>
              <m:t>0*→1*</m:t>
            </m:r>
          </m:sub>
          <m:sup>
            <m:r>
              <m:rPr>
                <m:sty m:val="p"/>
              </m:rPr>
              <w:rPr>
                <w:rFonts w:ascii="Cambria Math" w:hAnsi="Cambria Math" w:cs="Arial"/>
                <w:sz w:val="20"/>
                <w:szCs w:val="20"/>
              </w:rPr>
              <m:t>B</m:t>
            </m:r>
          </m:sup>
        </m:sSubSup>
      </m:oMath>
      <w:r w:rsidRPr="009007F9">
        <w:rPr>
          <w:rFonts w:eastAsiaTheme="minorEastAsia" w:cs="Arial"/>
          <w:sz w:val="20"/>
          <w:szCs w:val="20"/>
        </w:rPr>
        <w:t xml:space="preserve">) were taken from </w:t>
      </w:r>
      <w:r w:rsidRPr="009007F9">
        <w:rPr>
          <w:rFonts w:cs="Arial"/>
          <w:color w:val="000000" w:themeColor="text1"/>
          <w:sz w:val="20"/>
          <w:szCs w:val="20"/>
        </w:rPr>
        <w:t>Tab. S</w:t>
      </w:r>
      <w:r w:rsidR="00AB7794">
        <w:rPr>
          <w:rFonts w:cs="Arial"/>
          <w:color w:val="000000" w:themeColor="text1"/>
          <w:sz w:val="20"/>
          <w:szCs w:val="20"/>
        </w:rPr>
        <w:t>7</w:t>
      </w:r>
      <w:r w:rsidRPr="009007F9">
        <w:rPr>
          <w:rFonts w:cs="Arial"/>
          <w:color w:val="000000" w:themeColor="text1"/>
          <w:sz w:val="20"/>
          <w:szCs w:val="20"/>
        </w:rPr>
        <w:t xml:space="preserve">. Uncertainties for </w:t>
      </w:r>
      <m:oMath>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0→3</m:t>
            </m:r>
          </m:sub>
          <m:sup>
            <m:r>
              <m:rPr>
                <m:sty m:val="p"/>
              </m:rPr>
              <w:rPr>
                <w:rFonts w:ascii="Cambria Math" w:eastAsiaTheme="minorEastAsia" w:hAnsi="Cambria Math" w:cs="Arial"/>
                <w:color w:val="000000" w:themeColor="text1"/>
                <w:sz w:val="20"/>
                <w:szCs w:val="20"/>
              </w:rPr>
              <m:t>H</m:t>
            </m:r>
          </m:sup>
        </m:sSubSup>
      </m:oMath>
      <w:r w:rsidRPr="009007F9">
        <w:rPr>
          <w:rFonts w:eastAsiaTheme="minorEastAsia" w:cs="Arial"/>
          <w:color w:val="000000" w:themeColor="text1"/>
          <w:sz w:val="20"/>
          <w:szCs w:val="20"/>
        </w:rPr>
        <w:t xml:space="preserve"> and </w:t>
      </w:r>
      <m:oMath>
        <m:r>
          <m:rPr>
            <m:sty m:val="p"/>
          </m:rPr>
          <w:rPr>
            <w:rFonts w:ascii="Cambria Math" w:hAnsi="Cambria Math" w:cs="Arial"/>
            <w:sz w:val="20"/>
            <w:szCs w:val="20"/>
          </w:rPr>
          <m:t>∆</m:t>
        </m:r>
        <m:sSubSup>
          <m:sSubSupPr>
            <m:ctrlPr>
              <w:rPr>
                <w:rFonts w:ascii="Cambria Math" w:hAnsi="Cambria Math" w:cs="Arial"/>
                <w:sz w:val="20"/>
                <w:szCs w:val="20"/>
              </w:rPr>
            </m:ctrlPr>
          </m:sSubSupPr>
          <m:e>
            <m:r>
              <m:rPr>
                <m:sty m:val="p"/>
              </m:rPr>
              <w:rPr>
                <w:rFonts w:ascii="Cambria Math" w:hAnsi="Cambria Math" w:cs="Arial"/>
                <w:sz w:val="20"/>
                <w:szCs w:val="20"/>
              </w:rPr>
              <m:t>G</m:t>
            </m:r>
          </m:e>
          <m:sub>
            <m:r>
              <m:rPr>
                <m:sty m:val="p"/>
              </m:rPr>
              <w:rPr>
                <w:rFonts w:ascii="Cambria Math" w:hAnsi="Cambria Math" w:cs="Arial"/>
                <w:sz w:val="20"/>
                <w:szCs w:val="20"/>
              </w:rPr>
              <m:t>bind</m:t>
            </m:r>
          </m:sub>
          <m:sup>
            <m:r>
              <m:rPr>
                <m:sty m:val="p"/>
              </m:rPr>
              <w:rPr>
                <w:rFonts w:ascii="Cambria Math" w:hAnsi="Cambria Math" w:cs="Arial"/>
                <w:sz w:val="20"/>
                <w:szCs w:val="20"/>
              </w:rPr>
              <m:t>0</m:t>
            </m:r>
          </m:sup>
        </m:sSubSup>
      </m:oMath>
      <w:r w:rsidRPr="009007F9">
        <w:rPr>
          <w:rFonts w:eastAsiaTheme="minorEastAsia" w:cs="Arial"/>
          <w:sz w:val="20"/>
          <w:szCs w:val="20"/>
        </w:rPr>
        <w:t xml:space="preserve"> were estimated from the corresponding statistical uncertainties of </w:t>
      </w:r>
      <m:oMath>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0→1</m:t>
            </m:r>
          </m:sub>
          <m:sup>
            <m:r>
              <m:rPr>
                <m:sty m:val="p"/>
              </m:rPr>
              <w:rPr>
                <w:rFonts w:ascii="Cambria Math" w:eastAsiaTheme="minorEastAsia" w:hAnsi="Cambria Math" w:cs="Arial"/>
                <w:color w:val="000000" w:themeColor="text1"/>
                <w:sz w:val="20"/>
                <w:szCs w:val="20"/>
              </w:rPr>
              <m:t>H</m:t>
            </m:r>
          </m:sup>
        </m:sSubSup>
      </m:oMath>
      <w:r w:rsidRPr="009007F9">
        <w:rPr>
          <w:rFonts w:eastAsiaTheme="minorEastAsia" w:cs="Arial"/>
          <w:color w:val="000000" w:themeColor="text1"/>
          <w:sz w:val="20"/>
          <w:szCs w:val="20"/>
        </w:rPr>
        <w:t xml:space="preserve">, </w:t>
      </w:r>
      <m:oMath>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r>
              <m:rPr>
                <m:sty m:val="p"/>
              </m:rPr>
              <w:rPr>
                <w:rFonts w:ascii="Cambria Math" w:hAnsi="Cambria Math" w:cs="Arial"/>
                <w:color w:val="000000" w:themeColor="text1"/>
                <w:sz w:val="20"/>
                <w:szCs w:val="20"/>
              </w:rPr>
              <m:t>1→2</m:t>
            </m:r>
          </m:sub>
          <m:sup>
            <m:r>
              <m:rPr>
                <m:sty m:val="p"/>
              </m:rPr>
              <w:rPr>
                <w:rFonts w:ascii="Cambria Math" w:eastAsiaTheme="minorEastAsia" w:hAnsi="Cambria Math" w:cs="Arial"/>
                <w:color w:val="000000" w:themeColor="text1"/>
                <w:sz w:val="20"/>
                <w:szCs w:val="20"/>
              </w:rPr>
              <m:t>H</m:t>
            </m:r>
          </m:sup>
        </m:sSubSup>
      </m:oMath>
      <w:r w:rsidRPr="009007F9">
        <w:rPr>
          <w:rFonts w:eastAsiaTheme="minorEastAsia" w:cs="Arial"/>
          <w:color w:val="000000" w:themeColor="text1"/>
          <w:sz w:val="20"/>
          <w:szCs w:val="20"/>
        </w:rPr>
        <w:t xml:space="preserve"> and </w:t>
      </w:r>
      <m:oMath>
        <m:sSubSup>
          <m:sSubSupPr>
            <m:ctrlPr>
              <w:rPr>
                <w:rFonts w:ascii="Cambria Math" w:eastAsiaTheme="minorEastAsia" w:hAnsi="Cambria Math" w:cs="Arial"/>
                <w:color w:val="000000" w:themeColor="text1"/>
                <w:sz w:val="20"/>
                <w:szCs w:val="20"/>
              </w:rPr>
            </m:ctrlPr>
          </m:sSubSupPr>
          <m:e>
            <m:r>
              <m:rPr>
                <m:sty m:val="p"/>
              </m:rPr>
              <w:rPr>
                <w:rFonts w:ascii="Cambria Math" w:hAnsi="Cambria Math" w:cs="Arial"/>
                <w:color w:val="000000" w:themeColor="text1"/>
                <w:sz w:val="20"/>
                <w:szCs w:val="20"/>
              </w:rPr>
              <m:t>∆G</m:t>
            </m:r>
          </m:e>
          <m:sub>
            <m:sSup>
              <m:sSupPr>
                <m:ctrlPr>
                  <w:rPr>
                    <w:rFonts w:ascii="Cambria Math" w:hAnsi="Cambria Math" w:cs="Arial"/>
                    <w:color w:val="000000" w:themeColor="text1"/>
                    <w:sz w:val="20"/>
                    <w:szCs w:val="20"/>
                  </w:rPr>
                </m:ctrlPr>
              </m:sSupPr>
              <m:e>
                <m:r>
                  <m:rPr>
                    <m:sty m:val="p"/>
                  </m:rPr>
                  <w:rPr>
                    <w:rFonts w:ascii="Cambria Math" w:hAnsi="Cambria Math" w:cs="Arial"/>
                    <w:color w:val="000000" w:themeColor="text1"/>
                    <w:sz w:val="20"/>
                    <w:szCs w:val="20"/>
                  </w:rPr>
                  <m:t>0</m:t>
                </m:r>
              </m:e>
              <m:sup>
                <m:r>
                  <m:rPr>
                    <m:sty m:val="p"/>
                  </m:rPr>
                  <w:rPr>
                    <w:rFonts w:ascii="Cambria Math" w:hAnsi="Cambria Math" w:cs="Arial"/>
                    <w:color w:val="000000" w:themeColor="text1"/>
                    <w:sz w:val="20"/>
                    <w:szCs w:val="20"/>
                  </w:rPr>
                  <m:t>*</m:t>
                </m:r>
              </m:sup>
            </m:sSup>
            <m:r>
              <m:rPr>
                <m:sty m:val="p"/>
              </m:rPr>
              <w:rPr>
                <w:rFonts w:ascii="Cambria Math" w:hAnsi="Cambria Math" w:cs="Arial"/>
                <w:color w:val="000000" w:themeColor="text1"/>
                <w:sz w:val="20"/>
                <w:szCs w:val="20"/>
              </w:rPr>
              <m:t>→</m:t>
            </m:r>
            <m:sSup>
              <m:sSupPr>
                <m:ctrlPr>
                  <w:rPr>
                    <w:rFonts w:ascii="Cambria Math" w:hAnsi="Cambria Math" w:cs="Arial"/>
                    <w:color w:val="000000" w:themeColor="text1"/>
                    <w:sz w:val="20"/>
                    <w:szCs w:val="20"/>
                  </w:rPr>
                </m:ctrlPr>
              </m:sSupPr>
              <m:e>
                <m:r>
                  <m:rPr>
                    <m:sty m:val="p"/>
                  </m:rPr>
                  <w:rPr>
                    <w:rFonts w:ascii="Cambria Math" w:hAnsi="Cambria Math" w:cs="Arial"/>
                    <w:color w:val="000000" w:themeColor="text1"/>
                    <w:sz w:val="20"/>
                    <w:szCs w:val="20"/>
                  </w:rPr>
                  <m:t>1</m:t>
                </m:r>
              </m:e>
              <m:sup>
                <m:r>
                  <m:rPr>
                    <m:sty m:val="p"/>
                  </m:rPr>
                  <w:rPr>
                    <w:rFonts w:ascii="Cambria Math" w:hAnsi="Cambria Math" w:cs="Arial"/>
                    <w:color w:val="000000" w:themeColor="text1"/>
                    <w:sz w:val="20"/>
                    <w:szCs w:val="20"/>
                  </w:rPr>
                  <m:t>*</m:t>
                </m:r>
              </m:sup>
            </m:sSup>
          </m:sub>
          <m:sup>
            <m:r>
              <m:rPr>
                <m:sty m:val="p"/>
              </m:rPr>
              <w:rPr>
                <w:rFonts w:ascii="Cambria Math" w:eastAsiaTheme="minorEastAsia" w:hAnsi="Cambria Math" w:cs="Arial"/>
                <w:color w:val="000000" w:themeColor="text1"/>
                <w:sz w:val="20"/>
                <w:szCs w:val="20"/>
              </w:rPr>
              <m:t>B</m:t>
            </m:r>
          </m:sup>
        </m:sSubSup>
      </m:oMath>
      <w:r w:rsidRPr="009007F9">
        <w:rPr>
          <w:rFonts w:eastAsiaTheme="minorEastAsia" w:cs="Arial"/>
          <w:color w:val="000000" w:themeColor="text1"/>
          <w:sz w:val="20"/>
          <w:szCs w:val="20"/>
        </w:rPr>
        <w:t xml:space="preserve"> according to standard error propagation rules.</w:t>
      </w:r>
    </w:p>
    <w:tbl>
      <w:tblPr>
        <w:tblW w:w="9072" w:type="dxa"/>
        <w:tblCellMar>
          <w:left w:w="70" w:type="dxa"/>
          <w:right w:w="70" w:type="dxa"/>
        </w:tblCellMar>
        <w:tblLook w:val="04A0" w:firstRow="1" w:lastRow="0" w:firstColumn="1" w:lastColumn="0" w:noHBand="0" w:noVBand="1"/>
      </w:tblPr>
      <w:tblGrid>
        <w:gridCol w:w="1052"/>
        <w:gridCol w:w="755"/>
        <w:gridCol w:w="885"/>
        <w:gridCol w:w="767"/>
        <w:gridCol w:w="768"/>
        <w:gridCol w:w="735"/>
        <w:gridCol w:w="571"/>
        <w:gridCol w:w="846"/>
        <w:gridCol w:w="649"/>
        <w:gridCol w:w="646"/>
        <w:gridCol w:w="733"/>
        <w:gridCol w:w="665"/>
      </w:tblGrid>
      <w:tr w:rsidR="00665A4B" w:rsidRPr="001F0BEA" w14:paraId="7224FEA7" w14:textId="77777777" w:rsidTr="006041E2">
        <w:trPr>
          <w:trHeight w:val="310"/>
        </w:trPr>
        <w:tc>
          <w:tcPr>
            <w:tcW w:w="1052" w:type="dxa"/>
            <w:tcBorders>
              <w:top w:val="single" w:sz="4" w:space="0" w:color="auto"/>
              <w:left w:val="nil"/>
              <w:bottom w:val="nil"/>
              <w:right w:val="nil"/>
            </w:tcBorders>
            <w:shd w:val="clear" w:color="auto" w:fill="auto"/>
            <w:vAlign w:val="center"/>
            <w:hideMark/>
          </w:tcPr>
          <w:p w14:paraId="440BEFEF"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Host</w:t>
            </w:r>
          </w:p>
        </w:tc>
        <w:tc>
          <w:tcPr>
            <w:tcW w:w="755" w:type="dxa"/>
            <w:tcBorders>
              <w:top w:val="single" w:sz="4" w:space="0" w:color="auto"/>
              <w:left w:val="nil"/>
              <w:bottom w:val="nil"/>
              <w:right w:val="nil"/>
            </w:tcBorders>
            <w:shd w:val="clear" w:color="auto" w:fill="auto"/>
            <w:vAlign w:val="center"/>
            <w:hideMark/>
          </w:tcPr>
          <w:p w14:paraId="19007593"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Guest</w:t>
            </w:r>
          </w:p>
        </w:tc>
        <w:tc>
          <w:tcPr>
            <w:tcW w:w="885" w:type="dxa"/>
            <w:tcBorders>
              <w:top w:val="single" w:sz="4" w:space="0" w:color="auto"/>
              <w:left w:val="nil"/>
              <w:bottom w:val="nil"/>
              <w:right w:val="nil"/>
            </w:tcBorders>
            <w:shd w:val="clear" w:color="auto" w:fill="auto"/>
            <w:vAlign w:val="center"/>
            <w:hideMark/>
          </w:tcPr>
          <w:p w14:paraId="41AB4266"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Guest ID</w:t>
            </w:r>
          </w:p>
        </w:tc>
        <w:tc>
          <w:tcPr>
            <w:tcW w:w="1535" w:type="dxa"/>
            <w:gridSpan w:val="2"/>
            <w:tcBorders>
              <w:top w:val="single" w:sz="4" w:space="0" w:color="auto"/>
              <w:left w:val="nil"/>
              <w:bottom w:val="single" w:sz="4" w:space="0" w:color="auto"/>
              <w:right w:val="nil"/>
            </w:tcBorders>
            <w:shd w:val="clear" w:color="auto" w:fill="auto"/>
            <w:vAlign w:val="center"/>
            <w:hideMark/>
          </w:tcPr>
          <w:p w14:paraId="621F0D28"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ΔG</w:t>
            </w:r>
            <w:r w:rsidRPr="001F0BEA">
              <w:rPr>
                <w:rFonts w:eastAsia="Times New Roman" w:cs="Arial"/>
                <w:b/>
                <w:bCs/>
                <w:color w:val="000000"/>
                <w:sz w:val="20"/>
                <w:szCs w:val="20"/>
                <w:vertAlign w:val="superscript"/>
                <w:lang w:eastAsia="de-DE"/>
              </w:rPr>
              <w:t>H</w:t>
            </w:r>
            <w:r w:rsidRPr="001F0BEA">
              <w:rPr>
                <w:rFonts w:eastAsia="Times New Roman" w:cs="Arial"/>
                <w:b/>
                <w:bCs/>
                <w:color w:val="000000"/>
                <w:sz w:val="20"/>
                <w:szCs w:val="20"/>
                <w:vertAlign w:val="subscript"/>
                <w:lang w:eastAsia="de-DE"/>
              </w:rPr>
              <w:t>0-&gt;1</w:t>
            </w:r>
          </w:p>
        </w:tc>
        <w:tc>
          <w:tcPr>
            <w:tcW w:w="1306" w:type="dxa"/>
            <w:gridSpan w:val="2"/>
            <w:tcBorders>
              <w:top w:val="single" w:sz="4" w:space="0" w:color="auto"/>
              <w:left w:val="nil"/>
              <w:bottom w:val="single" w:sz="4" w:space="0" w:color="auto"/>
              <w:right w:val="nil"/>
            </w:tcBorders>
            <w:shd w:val="clear" w:color="auto" w:fill="auto"/>
            <w:vAlign w:val="center"/>
            <w:hideMark/>
          </w:tcPr>
          <w:p w14:paraId="5C48AA05"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ΔG</w:t>
            </w:r>
            <w:r w:rsidRPr="001F0BEA">
              <w:rPr>
                <w:rFonts w:eastAsia="Times New Roman" w:cs="Arial"/>
                <w:b/>
                <w:bCs/>
                <w:color w:val="000000"/>
                <w:sz w:val="20"/>
                <w:szCs w:val="20"/>
                <w:vertAlign w:val="superscript"/>
                <w:lang w:eastAsia="de-DE"/>
              </w:rPr>
              <w:t>H</w:t>
            </w:r>
            <w:r w:rsidRPr="001F0BEA">
              <w:rPr>
                <w:rFonts w:eastAsia="Times New Roman" w:cs="Arial"/>
                <w:b/>
                <w:bCs/>
                <w:color w:val="000000"/>
                <w:sz w:val="20"/>
                <w:szCs w:val="20"/>
                <w:vertAlign w:val="subscript"/>
                <w:lang w:eastAsia="de-DE"/>
              </w:rPr>
              <w:t>1-&gt;2</w:t>
            </w:r>
          </w:p>
        </w:tc>
        <w:tc>
          <w:tcPr>
            <w:tcW w:w="846" w:type="dxa"/>
            <w:tcBorders>
              <w:top w:val="single" w:sz="4" w:space="0" w:color="auto"/>
              <w:left w:val="nil"/>
              <w:bottom w:val="single" w:sz="4" w:space="0" w:color="auto"/>
              <w:right w:val="nil"/>
            </w:tcBorders>
            <w:shd w:val="clear" w:color="auto" w:fill="auto"/>
            <w:vAlign w:val="center"/>
            <w:hideMark/>
          </w:tcPr>
          <w:p w14:paraId="6AAF70A2"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ΔG</w:t>
            </w:r>
            <w:r w:rsidRPr="001F0BEA">
              <w:rPr>
                <w:rFonts w:eastAsia="Times New Roman" w:cs="Arial"/>
                <w:b/>
                <w:bCs/>
                <w:color w:val="000000"/>
                <w:sz w:val="20"/>
                <w:szCs w:val="20"/>
                <w:vertAlign w:val="superscript"/>
                <w:lang w:eastAsia="de-DE"/>
              </w:rPr>
              <w:t>H</w:t>
            </w:r>
            <w:r w:rsidRPr="001F0BEA">
              <w:rPr>
                <w:rFonts w:eastAsia="Times New Roman" w:cs="Arial"/>
                <w:b/>
                <w:bCs/>
                <w:color w:val="000000"/>
                <w:sz w:val="20"/>
                <w:szCs w:val="20"/>
                <w:vertAlign w:val="subscript"/>
                <w:lang w:eastAsia="de-DE"/>
              </w:rPr>
              <w:t>2-&gt;3</w:t>
            </w:r>
          </w:p>
        </w:tc>
        <w:tc>
          <w:tcPr>
            <w:tcW w:w="1295" w:type="dxa"/>
            <w:gridSpan w:val="2"/>
            <w:tcBorders>
              <w:top w:val="single" w:sz="4" w:space="0" w:color="auto"/>
              <w:left w:val="nil"/>
              <w:bottom w:val="single" w:sz="4" w:space="0" w:color="auto"/>
              <w:right w:val="nil"/>
            </w:tcBorders>
            <w:shd w:val="clear" w:color="auto" w:fill="auto"/>
            <w:vAlign w:val="center"/>
            <w:hideMark/>
          </w:tcPr>
          <w:p w14:paraId="6780E97D"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ΔG</w:t>
            </w:r>
            <w:r w:rsidRPr="001F0BEA">
              <w:rPr>
                <w:rFonts w:eastAsia="Times New Roman" w:cs="Arial"/>
                <w:b/>
                <w:bCs/>
                <w:color w:val="000000"/>
                <w:sz w:val="20"/>
                <w:szCs w:val="20"/>
                <w:vertAlign w:val="superscript"/>
                <w:lang w:eastAsia="de-DE"/>
              </w:rPr>
              <w:t>H</w:t>
            </w:r>
            <w:r w:rsidRPr="001F0BEA">
              <w:rPr>
                <w:rFonts w:eastAsia="Times New Roman" w:cs="Arial"/>
                <w:b/>
                <w:bCs/>
                <w:color w:val="000000"/>
                <w:sz w:val="20"/>
                <w:szCs w:val="20"/>
                <w:vertAlign w:val="subscript"/>
                <w:lang w:eastAsia="de-DE"/>
              </w:rPr>
              <w:t>0-&gt;3</w:t>
            </w:r>
          </w:p>
        </w:tc>
        <w:tc>
          <w:tcPr>
            <w:tcW w:w="1398" w:type="dxa"/>
            <w:gridSpan w:val="2"/>
            <w:tcBorders>
              <w:top w:val="single" w:sz="4" w:space="0" w:color="auto"/>
              <w:left w:val="nil"/>
              <w:bottom w:val="single" w:sz="4" w:space="0" w:color="auto"/>
              <w:right w:val="nil"/>
            </w:tcBorders>
            <w:shd w:val="clear" w:color="auto" w:fill="auto"/>
            <w:vAlign w:val="center"/>
            <w:hideMark/>
          </w:tcPr>
          <w:p w14:paraId="578A5D2A"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ΔG</w:t>
            </w:r>
            <w:r w:rsidRPr="001F0BEA">
              <w:rPr>
                <w:rFonts w:eastAsia="Times New Roman" w:cs="Arial"/>
                <w:b/>
                <w:bCs/>
                <w:color w:val="000000"/>
                <w:sz w:val="20"/>
                <w:szCs w:val="20"/>
                <w:vertAlign w:val="superscript"/>
                <w:lang w:eastAsia="de-DE"/>
              </w:rPr>
              <w:t>0</w:t>
            </w:r>
            <w:r w:rsidRPr="001F0BEA">
              <w:rPr>
                <w:rFonts w:eastAsia="Times New Roman" w:cs="Arial"/>
                <w:b/>
                <w:bCs/>
                <w:color w:val="000000"/>
                <w:sz w:val="20"/>
                <w:szCs w:val="20"/>
                <w:vertAlign w:val="subscript"/>
                <w:lang w:eastAsia="de-DE"/>
              </w:rPr>
              <w:t>bind</w:t>
            </w:r>
          </w:p>
        </w:tc>
      </w:tr>
      <w:tr w:rsidR="006041E2" w:rsidRPr="001F0BEA" w14:paraId="3F037C59" w14:textId="77777777" w:rsidTr="006041E2">
        <w:trPr>
          <w:trHeight w:val="310"/>
        </w:trPr>
        <w:tc>
          <w:tcPr>
            <w:tcW w:w="1052" w:type="dxa"/>
            <w:tcBorders>
              <w:top w:val="nil"/>
              <w:left w:val="nil"/>
              <w:bottom w:val="single" w:sz="4" w:space="0" w:color="auto"/>
              <w:right w:val="nil"/>
            </w:tcBorders>
            <w:shd w:val="clear" w:color="auto" w:fill="auto"/>
            <w:vAlign w:val="center"/>
            <w:hideMark/>
          </w:tcPr>
          <w:p w14:paraId="104A4A2D"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 </w:t>
            </w:r>
          </w:p>
        </w:tc>
        <w:tc>
          <w:tcPr>
            <w:tcW w:w="755" w:type="dxa"/>
            <w:tcBorders>
              <w:top w:val="nil"/>
              <w:left w:val="nil"/>
              <w:bottom w:val="single" w:sz="4" w:space="0" w:color="auto"/>
              <w:right w:val="nil"/>
            </w:tcBorders>
            <w:shd w:val="clear" w:color="auto" w:fill="auto"/>
            <w:vAlign w:val="center"/>
            <w:hideMark/>
          </w:tcPr>
          <w:p w14:paraId="0D0C5D6B"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 </w:t>
            </w:r>
          </w:p>
        </w:tc>
        <w:tc>
          <w:tcPr>
            <w:tcW w:w="885" w:type="dxa"/>
            <w:tcBorders>
              <w:top w:val="nil"/>
              <w:left w:val="nil"/>
              <w:bottom w:val="single" w:sz="4" w:space="0" w:color="auto"/>
              <w:right w:val="nil"/>
            </w:tcBorders>
            <w:shd w:val="clear" w:color="auto" w:fill="auto"/>
            <w:vAlign w:val="center"/>
            <w:hideMark/>
          </w:tcPr>
          <w:p w14:paraId="2E6886C6" w14:textId="77777777" w:rsidR="00665A4B" w:rsidRPr="001F0BEA" w:rsidRDefault="00665A4B" w:rsidP="00BA2B7C">
            <w:pPr>
              <w:spacing w:after="0" w:line="240" w:lineRule="auto"/>
              <w:jc w:val="center"/>
              <w:rPr>
                <w:rFonts w:eastAsia="Times New Roman" w:cs="Arial"/>
                <w:b/>
                <w:bCs/>
                <w:color w:val="000000"/>
                <w:sz w:val="20"/>
                <w:szCs w:val="20"/>
                <w:lang w:eastAsia="de-DE"/>
              </w:rPr>
            </w:pPr>
            <w:r w:rsidRPr="001F0BEA">
              <w:rPr>
                <w:rFonts w:eastAsia="Times New Roman" w:cs="Arial"/>
                <w:b/>
                <w:bCs/>
                <w:color w:val="000000"/>
                <w:sz w:val="20"/>
                <w:szCs w:val="20"/>
                <w:lang w:eastAsia="de-DE"/>
              </w:rPr>
              <w:t> </w:t>
            </w:r>
          </w:p>
        </w:tc>
        <w:tc>
          <w:tcPr>
            <w:tcW w:w="767" w:type="dxa"/>
            <w:tcBorders>
              <w:top w:val="nil"/>
              <w:left w:val="nil"/>
              <w:bottom w:val="single" w:sz="4" w:space="0" w:color="auto"/>
              <w:right w:val="nil"/>
            </w:tcBorders>
            <w:shd w:val="clear" w:color="auto" w:fill="auto"/>
            <w:noWrap/>
            <w:vAlign w:val="center"/>
            <w:hideMark/>
          </w:tcPr>
          <w:p w14:paraId="7B07168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mean</w:t>
            </w:r>
          </w:p>
        </w:tc>
        <w:tc>
          <w:tcPr>
            <w:tcW w:w="768" w:type="dxa"/>
            <w:tcBorders>
              <w:top w:val="nil"/>
              <w:left w:val="nil"/>
              <w:bottom w:val="single" w:sz="4" w:space="0" w:color="auto"/>
              <w:right w:val="nil"/>
            </w:tcBorders>
            <w:shd w:val="clear" w:color="auto" w:fill="auto"/>
            <w:vAlign w:val="center"/>
            <w:hideMark/>
          </w:tcPr>
          <w:p w14:paraId="59F8D0A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w:t>
            </w:r>
          </w:p>
        </w:tc>
        <w:tc>
          <w:tcPr>
            <w:tcW w:w="735" w:type="dxa"/>
            <w:tcBorders>
              <w:top w:val="nil"/>
              <w:left w:val="nil"/>
              <w:bottom w:val="single" w:sz="4" w:space="0" w:color="auto"/>
              <w:right w:val="nil"/>
            </w:tcBorders>
            <w:shd w:val="clear" w:color="auto" w:fill="auto"/>
            <w:noWrap/>
            <w:vAlign w:val="center"/>
            <w:hideMark/>
          </w:tcPr>
          <w:p w14:paraId="396A523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mean</w:t>
            </w:r>
          </w:p>
        </w:tc>
        <w:tc>
          <w:tcPr>
            <w:tcW w:w="571" w:type="dxa"/>
            <w:tcBorders>
              <w:top w:val="nil"/>
              <w:left w:val="nil"/>
              <w:bottom w:val="single" w:sz="4" w:space="0" w:color="auto"/>
              <w:right w:val="nil"/>
            </w:tcBorders>
            <w:shd w:val="clear" w:color="auto" w:fill="auto"/>
            <w:vAlign w:val="center"/>
            <w:hideMark/>
          </w:tcPr>
          <w:p w14:paraId="3EDFF75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w:t>
            </w:r>
          </w:p>
        </w:tc>
        <w:tc>
          <w:tcPr>
            <w:tcW w:w="846" w:type="dxa"/>
            <w:tcBorders>
              <w:top w:val="nil"/>
              <w:left w:val="nil"/>
              <w:bottom w:val="single" w:sz="4" w:space="0" w:color="auto"/>
              <w:right w:val="nil"/>
            </w:tcBorders>
            <w:shd w:val="clear" w:color="auto" w:fill="auto"/>
            <w:vAlign w:val="center"/>
            <w:hideMark/>
          </w:tcPr>
          <w:p w14:paraId="3121BB9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 </w:t>
            </w:r>
          </w:p>
        </w:tc>
        <w:tc>
          <w:tcPr>
            <w:tcW w:w="649" w:type="dxa"/>
            <w:tcBorders>
              <w:top w:val="nil"/>
              <w:left w:val="nil"/>
              <w:bottom w:val="single" w:sz="4" w:space="0" w:color="auto"/>
              <w:right w:val="nil"/>
            </w:tcBorders>
            <w:shd w:val="clear" w:color="auto" w:fill="auto"/>
            <w:noWrap/>
            <w:vAlign w:val="center"/>
            <w:hideMark/>
          </w:tcPr>
          <w:p w14:paraId="7627A0D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mean</w:t>
            </w:r>
          </w:p>
        </w:tc>
        <w:tc>
          <w:tcPr>
            <w:tcW w:w="646" w:type="dxa"/>
            <w:tcBorders>
              <w:top w:val="nil"/>
              <w:left w:val="nil"/>
              <w:bottom w:val="single" w:sz="4" w:space="0" w:color="auto"/>
              <w:right w:val="nil"/>
            </w:tcBorders>
            <w:shd w:val="clear" w:color="auto" w:fill="auto"/>
            <w:vAlign w:val="center"/>
            <w:hideMark/>
          </w:tcPr>
          <w:p w14:paraId="69536A3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w:t>
            </w:r>
          </w:p>
        </w:tc>
        <w:tc>
          <w:tcPr>
            <w:tcW w:w="733" w:type="dxa"/>
            <w:tcBorders>
              <w:top w:val="nil"/>
              <w:left w:val="nil"/>
              <w:bottom w:val="single" w:sz="4" w:space="0" w:color="auto"/>
              <w:right w:val="nil"/>
            </w:tcBorders>
            <w:shd w:val="clear" w:color="auto" w:fill="auto"/>
            <w:noWrap/>
            <w:vAlign w:val="center"/>
            <w:hideMark/>
          </w:tcPr>
          <w:p w14:paraId="401FC7A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mean</w:t>
            </w:r>
          </w:p>
        </w:tc>
        <w:tc>
          <w:tcPr>
            <w:tcW w:w="665" w:type="dxa"/>
            <w:tcBorders>
              <w:top w:val="nil"/>
              <w:left w:val="nil"/>
              <w:bottom w:val="single" w:sz="4" w:space="0" w:color="auto"/>
              <w:right w:val="nil"/>
            </w:tcBorders>
            <w:shd w:val="clear" w:color="auto" w:fill="auto"/>
            <w:vAlign w:val="center"/>
            <w:hideMark/>
          </w:tcPr>
          <w:p w14:paraId="1E3A560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w:t>
            </w:r>
          </w:p>
        </w:tc>
      </w:tr>
      <w:tr w:rsidR="006041E2" w:rsidRPr="001F0BEA" w14:paraId="73CB2D54" w14:textId="77777777" w:rsidTr="006041E2">
        <w:trPr>
          <w:trHeight w:val="310"/>
        </w:trPr>
        <w:tc>
          <w:tcPr>
            <w:tcW w:w="1052" w:type="dxa"/>
            <w:tcBorders>
              <w:top w:val="nil"/>
              <w:left w:val="nil"/>
              <w:bottom w:val="nil"/>
              <w:right w:val="nil"/>
            </w:tcBorders>
            <w:shd w:val="clear" w:color="auto" w:fill="auto"/>
            <w:noWrap/>
            <w:vAlign w:val="center"/>
            <w:hideMark/>
          </w:tcPr>
          <w:p w14:paraId="03C63D7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αCD</w:t>
            </w:r>
          </w:p>
        </w:tc>
        <w:tc>
          <w:tcPr>
            <w:tcW w:w="755" w:type="dxa"/>
            <w:tcBorders>
              <w:top w:val="nil"/>
              <w:left w:val="nil"/>
              <w:bottom w:val="nil"/>
              <w:right w:val="nil"/>
            </w:tcBorders>
            <w:shd w:val="clear" w:color="auto" w:fill="auto"/>
            <w:noWrap/>
            <w:vAlign w:val="center"/>
            <w:hideMark/>
          </w:tcPr>
          <w:p w14:paraId="6730137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GACE</w:t>
            </w:r>
          </w:p>
        </w:tc>
        <w:tc>
          <w:tcPr>
            <w:tcW w:w="885" w:type="dxa"/>
            <w:tcBorders>
              <w:top w:val="nil"/>
              <w:left w:val="nil"/>
              <w:bottom w:val="nil"/>
              <w:right w:val="nil"/>
            </w:tcBorders>
            <w:shd w:val="clear" w:color="auto" w:fill="auto"/>
            <w:noWrap/>
            <w:vAlign w:val="center"/>
            <w:hideMark/>
          </w:tcPr>
          <w:p w14:paraId="3A674F9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w:t>
            </w:r>
          </w:p>
        </w:tc>
        <w:tc>
          <w:tcPr>
            <w:tcW w:w="767" w:type="dxa"/>
            <w:tcBorders>
              <w:top w:val="nil"/>
              <w:left w:val="nil"/>
              <w:bottom w:val="nil"/>
              <w:right w:val="nil"/>
            </w:tcBorders>
            <w:shd w:val="clear" w:color="auto" w:fill="auto"/>
            <w:noWrap/>
            <w:vAlign w:val="center"/>
            <w:hideMark/>
          </w:tcPr>
          <w:p w14:paraId="28641BE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1.79</w:t>
            </w:r>
          </w:p>
        </w:tc>
        <w:tc>
          <w:tcPr>
            <w:tcW w:w="768" w:type="dxa"/>
            <w:tcBorders>
              <w:top w:val="nil"/>
              <w:left w:val="nil"/>
              <w:bottom w:val="nil"/>
              <w:right w:val="nil"/>
            </w:tcBorders>
            <w:shd w:val="clear" w:color="auto" w:fill="auto"/>
            <w:noWrap/>
            <w:vAlign w:val="center"/>
            <w:hideMark/>
          </w:tcPr>
          <w:p w14:paraId="238F6FE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0.01</w:t>
            </w:r>
          </w:p>
        </w:tc>
        <w:tc>
          <w:tcPr>
            <w:tcW w:w="735" w:type="dxa"/>
            <w:tcBorders>
              <w:top w:val="nil"/>
              <w:left w:val="nil"/>
              <w:bottom w:val="nil"/>
              <w:right w:val="nil"/>
            </w:tcBorders>
            <w:shd w:val="clear" w:color="auto" w:fill="auto"/>
            <w:noWrap/>
            <w:vAlign w:val="center"/>
            <w:hideMark/>
          </w:tcPr>
          <w:p w14:paraId="50C46B2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46.27</w:t>
            </w:r>
          </w:p>
        </w:tc>
        <w:tc>
          <w:tcPr>
            <w:tcW w:w="571" w:type="dxa"/>
            <w:tcBorders>
              <w:top w:val="nil"/>
              <w:left w:val="nil"/>
              <w:bottom w:val="nil"/>
              <w:right w:val="nil"/>
            </w:tcBorders>
            <w:shd w:val="clear" w:color="auto" w:fill="auto"/>
            <w:noWrap/>
            <w:vAlign w:val="center"/>
            <w:hideMark/>
          </w:tcPr>
          <w:p w14:paraId="1A4F6B2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846" w:type="dxa"/>
            <w:tcBorders>
              <w:top w:val="nil"/>
              <w:left w:val="nil"/>
              <w:bottom w:val="nil"/>
              <w:right w:val="nil"/>
            </w:tcBorders>
            <w:shd w:val="clear" w:color="auto" w:fill="auto"/>
            <w:noWrap/>
            <w:vAlign w:val="center"/>
            <w:hideMark/>
          </w:tcPr>
          <w:p w14:paraId="73CF2CB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DF2FEA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41.25</w:t>
            </w:r>
          </w:p>
        </w:tc>
        <w:tc>
          <w:tcPr>
            <w:tcW w:w="646" w:type="dxa"/>
            <w:tcBorders>
              <w:top w:val="nil"/>
              <w:left w:val="nil"/>
              <w:bottom w:val="nil"/>
              <w:right w:val="nil"/>
            </w:tcBorders>
            <w:shd w:val="clear" w:color="auto" w:fill="auto"/>
            <w:noWrap/>
            <w:vAlign w:val="center"/>
            <w:hideMark/>
          </w:tcPr>
          <w:p w14:paraId="1E206A3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3" w:type="dxa"/>
            <w:tcBorders>
              <w:top w:val="nil"/>
              <w:left w:val="nil"/>
              <w:bottom w:val="nil"/>
              <w:right w:val="nil"/>
            </w:tcBorders>
            <w:shd w:val="clear" w:color="auto" w:fill="auto"/>
            <w:noWrap/>
            <w:vAlign w:val="center"/>
            <w:hideMark/>
          </w:tcPr>
          <w:p w14:paraId="5C98A61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-28.06</w:t>
            </w:r>
          </w:p>
        </w:tc>
        <w:tc>
          <w:tcPr>
            <w:tcW w:w="665" w:type="dxa"/>
            <w:tcBorders>
              <w:top w:val="nil"/>
              <w:left w:val="nil"/>
              <w:bottom w:val="nil"/>
              <w:right w:val="nil"/>
            </w:tcBorders>
            <w:shd w:val="clear" w:color="auto" w:fill="auto"/>
            <w:noWrap/>
            <w:vAlign w:val="center"/>
            <w:hideMark/>
          </w:tcPr>
          <w:p w14:paraId="67278FF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0.11</w:t>
            </w:r>
          </w:p>
        </w:tc>
      </w:tr>
      <w:tr w:rsidR="006041E2" w:rsidRPr="001F0BEA" w14:paraId="4F0CB126" w14:textId="77777777" w:rsidTr="006041E2">
        <w:trPr>
          <w:trHeight w:val="310"/>
        </w:trPr>
        <w:tc>
          <w:tcPr>
            <w:tcW w:w="1052" w:type="dxa"/>
            <w:tcBorders>
              <w:top w:val="nil"/>
              <w:left w:val="nil"/>
              <w:bottom w:val="nil"/>
              <w:right w:val="nil"/>
            </w:tcBorders>
            <w:shd w:val="clear" w:color="auto" w:fill="auto"/>
            <w:noWrap/>
            <w:vAlign w:val="center"/>
            <w:hideMark/>
          </w:tcPr>
          <w:p w14:paraId="5496E29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αCD</w:t>
            </w:r>
          </w:p>
        </w:tc>
        <w:tc>
          <w:tcPr>
            <w:tcW w:w="755" w:type="dxa"/>
            <w:tcBorders>
              <w:top w:val="nil"/>
              <w:left w:val="nil"/>
              <w:bottom w:val="nil"/>
              <w:right w:val="nil"/>
            </w:tcBorders>
            <w:shd w:val="clear" w:color="auto" w:fill="auto"/>
            <w:noWrap/>
            <w:vAlign w:val="center"/>
            <w:hideMark/>
          </w:tcPr>
          <w:p w14:paraId="3B802E2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NACE</w:t>
            </w:r>
          </w:p>
        </w:tc>
        <w:tc>
          <w:tcPr>
            <w:tcW w:w="885" w:type="dxa"/>
            <w:tcBorders>
              <w:top w:val="nil"/>
              <w:left w:val="nil"/>
              <w:bottom w:val="nil"/>
              <w:right w:val="nil"/>
            </w:tcBorders>
            <w:shd w:val="clear" w:color="auto" w:fill="auto"/>
            <w:noWrap/>
            <w:vAlign w:val="center"/>
            <w:hideMark/>
          </w:tcPr>
          <w:p w14:paraId="3F77397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Z-17</w:t>
            </w:r>
          </w:p>
        </w:tc>
        <w:tc>
          <w:tcPr>
            <w:tcW w:w="767" w:type="dxa"/>
            <w:tcBorders>
              <w:top w:val="nil"/>
              <w:left w:val="nil"/>
              <w:bottom w:val="nil"/>
              <w:right w:val="nil"/>
            </w:tcBorders>
            <w:shd w:val="clear" w:color="auto" w:fill="auto"/>
            <w:noWrap/>
            <w:vAlign w:val="center"/>
            <w:hideMark/>
          </w:tcPr>
          <w:p w14:paraId="5BE4D6B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0.70</w:t>
            </w:r>
          </w:p>
        </w:tc>
        <w:tc>
          <w:tcPr>
            <w:tcW w:w="768" w:type="dxa"/>
            <w:tcBorders>
              <w:top w:val="nil"/>
              <w:left w:val="nil"/>
              <w:bottom w:val="nil"/>
              <w:right w:val="nil"/>
            </w:tcBorders>
            <w:shd w:val="clear" w:color="auto" w:fill="auto"/>
            <w:noWrap/>
            <w:vAlign w:val="center"/>
            <w:hideMark/>
          </w:tcPr>
          <w:p w14:paraId="750DD25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0.00</w:t>
            </w:r>
          </w:p>
        </w:tc>
        <w:tc>
          <w:tcPr>
            <w:tcW w:w="735" w:type="dxa"/>
            <w:tcBorders>
              <w:top w:val="nil"/>
              <w:left w:val="nil"/>
              <w:bottom w:val="nil"/>
              <w:right w:val="nil"/>
            </w:tcBorders>
            <w:shd w:val="clear" w:color="auto" w:fill="auto"/>
            <w:noWrap/>
            <w:vAlign w:val="center"/>
            <w:hideMark/>
          </w:tcPr>
          <w:p w14:paraId="2E4B45B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39.95</w:t>
            </w:r>
          </w:p>
        </w:tc>
        <w:tc>
          <w:tcPr>
            <w:tcW w:w="571" w:type="dxa"/>
            <w:tcBorders>
              <w:top w:val="nil"/>
              <w:left w:val="nil"/>
              <w:bottom w:val="nil"/>
              <w:right w:val="nil"/>
            </w:tcBorders>
            <w:shd w:val="clear" w:color="auto" w:fill="auto"/>
            <w:noWrap/>
            <w:vAlign w:val="center"/>
            <w:hideMark/>
          </w:tcPr>
          <w:p w14:paraId="18BE964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0.26</w:t>
            </w:r>
          </w:p>
        </w:tc>
        <w:tc>
          <w:tcPr>
            <w:tcW w:w="846" w:type="dxa"/>
            <w:tcBorders>
              <w:top w:val="nil"/>
              <w:left w:val="nil"/>
              <w:bottom w:val="nil"/>
              <w:right w:val="nil"/>
            </w:tcBorders>
            <w:shd w:val="clear" w:color="auto" w:fill="auto"/>
            <w:noWrap/>
            <w:vAlign w:val="center"/>
            <w:hideMark/>
          </w:tcPr>
          <w:p w14:paraId="629749D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0F81A6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33.85</w:t>
            </w:r>
          </w:p>
        </w:tc>
        <w:tc>
          <w:tcPr>
            <w:tcW w:w="646" w:type="dxa"/>
            <w:tcBorders>
              <w:top w:val="nil"/>
              <w:left w:val="nil"/>
              <w:bottom w:val="nil"/>
              <w:right w:val="nil"/>
            </w:tcBorders>
            <w:shd w:val="clear" w:color="auto" w:fill="auto"/>
            <w:noWrap/>
            <w:vAlign w:val="center"/>
            <w:hideMark/>
          </w:tcPr>
          <w:p w14:paraId="291A2A8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0.26</w:t>
            </w:r>
          </w:p>
        </w:tc>
        <w:tc>
          <w:tcPr>
            <w:tcW w:w="733" w:type="dxa"/>
            <w:tcBorders>
              <w:top w:val="nil"/>
              <w:left w:val="nil"/>
              <w:bottom w:val="nil"/>
              <w:right w:val="nil"/>
            </w:tcBorders>
            <w:shd w:val="clear" w:color="auto" w:fill="auto"/>
            <w:noWrap/>
            <w:vAlign w:val="center"/>
            <w:hideMark/>
          </w:tcPr>
          <w:p w14:paraId="6BDE449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-20.85</w:t>
            </w:r>
          </w:p>
        </w:tc>
        <w:tc>
          <w:tcPr>
            <w:tcW w:w="665" w:type="dxa"/>
            <w:tcBorders>
              <w:top w:val="nil"/>
              <w:left w:val="nil"/>
              <w:bottom w:val="nil"/>
              <w:right w:val="nil"/>
            </w:tcBorders>
            <w:shd w:val="clear" w:color="auto" w:fill="auto"/>
            <w:noWrap/>
            <w:vAlign w:val="center"/>
            <w:hideMark/>
          </w:tcPr>
          <w:p w14:paraId="48FA8D5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0.28</w:t>
            </w:r>
          </w:p>
        </w:tc>
      </w:tr>
      <w:tr w:rsidR="006041E2" w:rsidRPr="001F0BEA" w14:paraId="35B2493B" w14:textId="77777777" w:rsidTr="006041E2">
        <w:trPr>
          <w:trHeight w:val="310"/>
        </w:trPr>
        <w:tc>
          <w:tcPr>
            <w:tcW w:w="1052" w:type="dxa"/>
            <w:tcBorders>
              <w:top w:val="nil"/>
              <w:left w:val="nil"/>
              <w:bottom w:val="nil"/>
              <w:right w:val="nil"/>
            </w:tcBorders>
            <w:shd w:val="clear" w:color="auto" w:fill="auto"/>
            <w:noWrap/>
            <w:vAlign w:val="center"/>
            <w:hideMark/>
          </w:tcPr>
          <w:p w14:paraId="34F4CC4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αCD</w:t>
            </w:r>
          </w:p>
        </w:tc>
        <w:tc>
          <w:tcPr>
            <w:tcW w:w="755" w:type="dxa"/>
            <w:tcBorders>
              <w:top w:val="nil"/>
              <w:left w:val="nil"/>
              <w:bottom w:val="nil"/>
              <w:right w:val="nil"/>
            </w:tcBorders>
            <w:shd w:val="clear" w:color="auto" w:fill="auto"/>
            <w:noWrap/>
            <w:vAlign w:val="center"/>
            <w:hideMark/>
          </w:tcPr>
          <w:p w14:paraId="2E4DB8F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AMB</w:t>
            </w:r>
          </w:p>
        </w:tc>
        <w:tc>
          <w:tcPr>
            <w:tcW w:w="885" w:type="dxa"/>
            <w:tcBorders>
              <w:top w:val="nil"/>
              <w:left w:val="nil"/>
              <w:bottom w:val="nil"/>
              <w:right w:val="nil"/>
            </w:tcBorders>
            <w:shd w:val="clear" w:color="auto" w:fill="auto"/>
            <w:noWrap/>
            <w:vAlign w:val="center"/>
            <w:hideMark/>
          </w:tcPr>
          <w:p w14:paraId="76BD3776" w14:textId="607D20FA"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w:t>
            </w:r>
            <w:r w:rsidR="006041E2" w:rsidRPr="001F0BEA">
              <w:rPr>
                <w:rFonts w:eastAsia="Times New Roman" w:cs="Arial"/>
                <w:color w:val="000000"/>
                <w:sz w:val="20"/>
                <w:szCs w:val="20"/>
                <w:lang w:eastAsia="de-DE"/>
              </w:rPr>
              <w:t>0</w:t>
            </w:r>
          </w:p>
        </w:tc>
        <w:tc>
          <w:tcPr>
            <w:tcW w:w="767" w:type="dxa"/>
            <w:tcBorders>
              <w:top w:val="nil"/>
              <w:left w:val="nil"/>
              <w:bottom w:val="nil"/>
              <w:right w:val="nil"/>
            </w:tcBorders>
            <w:shd w:val="clear" w:color="auto" w:fill="auto"/>
            <w:noWrap/>
            <w:vAlign w:val="center"/>
            <w:hideMark/>
          </w:tcPr>
          <w:p w14:paraId="5405AD5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54.15</w:t>
            </w:r>
          </w:p>
        </w:tc>
        <w:tc>
          <w:tcPr>
            <w:tcW w:w="768" w:type="dxa"/>
            <w:tcBorders>
              <w:top w:val="nil"/>
              <w:left w:val="nil"/>
              <w:bottom w:val="nil"/>
              <w:right w:val="nil"/>
            </w:tcBorders>
            <w:shd w:val="clear" w:color="auto" w:fill="auto"/>
            <w:noWrap/>
            <w:vAlign w:val="center"/>
            <w:hideMark/>
          </w:tcPr>
          <w:p w14:paraId="78D8C09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0.15</w:t>
            </w:r>
          </w:p>
        </w:tc>
        <w:tc>
          <w:tcPr>
            <w:tcW w:w="735" w:type="dxa"/>
            <w:tcBorders>
              <w:top w:val="nil"/>
              <w:left w:val="nil"/>
              <w:bottom w:val="nil"/>
              <w:right w:val="nil"/>
            </w:tcBorders>
            <w:shd w:val="clear" w:color="auto" w:fill="auto"/>
            <w:noWrap/>
            <w:vAlign w:val="center"/>
            <w:hideMark/>
          </w:tcPr>
          <w:p w14:paraId="2E61721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-13.25</w:t>
            </w:r>
          </w:p>
        </w:tc>
        <w:tc>
          <w:tcPr>
            <w:tcW w:w="571" w:type="dxa"/>
            <w:tcBorders>
              <w:top w:val="nil"/>
              <w:left w:val="nil"/>
              <w:bottom w:val="nil"/>
              <w:right w:val="nil"/>
            </w:tcBorders>
            <w:shd w:val="clear" w:color="auto" w:fill="auto"/>
            <w:noWrap/>
            <w:vAlign w:val="center"/>
            <w:hideMark/>
          </w:tcPr>
          <w:p w14:paraId="6B61D0E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846" w:type="dxa"/>
            <w:tcBorders>
              <w:top w:val="nil"/>
              <w:left w:val="nil"/>
              <w:bottom w:val="nil"/>
              <w:right w:val="nil"/>
            </w:tcBorders>
            <w:shd w:val="clear" w:color="auto" w:fill="auto"/>
            <w:noWrap/>
            <w:vAlign w:val="center"/>
            <w:hideMark/>
          </w:tcPr>
          <w:p w14:paraId="2298799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4E7CCAD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34.10</w:t>
            </w:r>
          </w:p>
        </w:tc>
        <w:tc>
          <w:tcPr>
            <w:tcW w:w="646" w:type="dxa"/>
            <w:tcBorders>
              <w:top w:val="nil"/>
              <w:left w:val="nil"/>
              <w:bottom w:val="nil"/>
              <w:right w:val="nil"/>
            </w:tcBorders>
            <w:shd w:val="clear" w:color="auto" w:fill="auto"/>
            <w:noWrap/>
            <w:vAlign w:val="center"/>
            <w:hideMark/>
          </w:tcPr>
          <w:p w14:paraId="247EEDD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0.24</w:t>
            </w:r>
          </w:p>
        </w:tc>
        <w:tc>
          <w:tcPr>
            <w:tcW w:w="733" w:type="dxa"/>
            <w:tcBorders>
              <w:top w:val="nil"/>
              <w:left w:val="nil"/>
              <w:bottom w:val="nil"/>
              <w:right w:val="nil"/>
            </w:tcBorders>
            <w:shd w:val="clear" w:color="auto" w:fill="auto"/>
            <w:noWrap/>
            <w:vAlign w:val="center"/>
            <w:hideMark/>
          </w:tcPr>
          <w:p w14:paraId="3477AA2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-22.06</w:t>
            </w:r>
          </w:p>
        </w:tc>
        <w:tc>
          <w:tcPr>
            <w:tcW w:w="665" w:type="dxa"/>
            <w:tcBorders>
              <w:top w:val="nil"/>
              <w:left w:val="nil"/>
              <w:bottom w:val="nil"/>
              <w:right w:val="nil"/>
            </w:tcBorders>
            <w:shd w:val="clear" w:color="auto" w:fill="auto"/>
            <w:noWrap/>
            <w:vAlign w:val="center"/>
            <w:hideMark/>
          </w:tcPr>
          <w:p w14:paraId="6DC83BF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0.26</w:t>
            </w:r>
          </w:p>
        </w:tc>
      </w:tr>
      <w:tr w:rsidR="006041E2" w:rsidRPr="001F0BEA" w14:paraId="19B24D1C" w14:textId="77777777" w:rsidTr="006041E2">
        <w:trPr>
          <w:trHeight w:val="313"/>
        </w:trPr>
        <w:tc>
          <w:tcPr>
            <w:tcW w:w="1052" w:type="dxa"/>
            <w:tcBorders>
              <w:top w:val="nil"/>
              <w:left w:val="nil"/>
              <w:bottom w:val="nil"/>
              <w:right w:val="nil"/>
            </w:tcBorders>
            <w:shd w:val="clear" w:color="auto" w:fill="auto"/>
            <w:noWrap/>
            <w:vAlign w:val="center"/>
            <w:hideMark/>
          </w:tcPr>
          <w:p w14:paraId="13B01AB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αCD</w:t>
            </w:r>
          </w:p>
        </w:tc>
        <w:tc>
          <w:tcPr>
            <w:tcW w:w="755" w:type="dxa"/>
            <w:tcBorders>
              <w:top w:val="nil"/>
              <w:left w:val="nil"/>
              <w:bottom w:val="nil"/>
              <w:right w:val="nil"/>
            </w:tcBorders>
            <w:shd w:val="clear" w:color="auto" w:fill="auto"/>
            <w:noWrap/>
            <w:vAlign w:val="center"/>
            <w:hideMark/>
          </w:tcPr>
          <w:p w14:paraId="65FD1CB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HFL</w:t>
            </w:r>
          </w:p>
        </w:tc>
        <w:tc>
          <w:tcPr>
            <w:tcW w:w="885" w:type="dxa"/>
            <w:tcBorders>
              <w:top w:val="nil"/>
              <w:left w:val="nil"/>
              <w:bottom w:val="nil"/>
              <w:right w:val="nil"/>
            </w:tcBorders>
            <w:shd w:val="clear" w:color="auto" w:fill="auto"/>
            <w:noWrap/>
            <w:vAlign w:val="center"/>
            <w:hideMark/>
          </w:tcPr>
          <w:p w14:paraId="3A42A012" w14:textId="7861C719"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w:t>
            </w:r>
            <w:r w:rsidR="006041E2" w:rsidRPr="001F0BEA">
              <w:rPr>
                <w:rFonts w:eastAsia="Times New Roman" w:cs="Arial"/>
                <w:color w:val="000000"/>
                <w:sz w:val="20"/>
                <w:szCs w:val="20"/>
                <w:lang w:eastAsia="de-DE"/>
              </w:rPr>
              <w:t>1</w:t>
            </w:r>
          </w:p>
        </w:tc>
        <w:tc>
          <w:tcPr>
            <w:tcW w:w="767" w:type="dxa"/>
            <w:tcBorders>
              <w:top w:val="nil"/>
              <w:left w:val="nil"/>
              <w:bottom w:val="nil"/>
              <w:right w:val="nil"/>
            </w:tcBorders>
            <w:shd w:val="clear" w:color="auto" w:fill="auto"/>
            <w:noWrap/>
            <w:vAlign w:val="center"/>
            <w:hideMark/>
          </w:tcPr>
          <w:p w14:paraId="2903B05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7.08</w:t>
            </w:r>
          </w:p>
        </w:tc>
        <w:tc>
          <w:tcPr>
            <w:tcW w:w="768" w:type="dxa"/>
            <w:tcBorders>
              <w:top w:val="nil"/>
              <w:left w:val="nil"/>
              <w:bottom w:val="nil"/>
              <w:right w:val="nil"/>
            </w:tcBorders>
            <w:shd w:val="clear" w:color="auto" w:fill="auto"/>
            <w:noWrap/>
            <w:vAlign w:val="center"/>
            <w:hideMark/>
          </w:tcPr>
          <w:p w14:paraId="0D91300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5" w:type="dxa"/>
            <w:tcBorders>
              <w:top w:val="nil"/>
              <w:left w:val="nil"/>
              <w:bottom w:val="nil"/>
              <w:right w:val="nil"/>
            </w:tcBorders>
            <w:shd w:val="clear" w:color="auto" w:fill="auto"/>
            <w:noWrap/>
            <w:vAlign w:val="center"/>
            <w:hideMark/>
          </w:tcPr>
          <w:p w14:paraId="15ED6E3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44.80</w:t>
            </w:r>
          </w:p>
        </w:tc>
        <w:tc>
          <w:tcPr>
            <w:tcW w:w="571" w:type="dxa"/>
            <w:tcBorders>
              <w:top w:val="nil"/>
              <w:left w:val="nil"/>
              <w:bottom w:val="nil"/>
              <w:right w:val="nil"/>
            </w:tcBorders>
            <w:shd w:val="clear" w:color="auto" w:fill="auto"/>
            <w:noWrap/>
            <w:vAlign w:val="center"/>
            <w:hideMark/>
          </w:tcPr>
          <w:p w14:paraId="50AAFC3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846" w:type="dxa"/>
            <w:tcBorders>
              <w:top w:val="nil"/>
              <w:left w:val="nil"/>
              <w:bottom w:val="nil"/>
              <w:right w:val="nil"/>
            </w:tcBorders>
            <w:shd w:val="clear" w:color="auto" w:fill="auto"/>
            <w:noWrap/>
            <w:vAlign w:val="center"/>
            <w:hideMark/>
          </w:tcPr>
          <w:p w14:paraId="4A9BA77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5073A0D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45.08</w:t>
            </w:r>
          </w:p>
        </w:tc>
        <w:tc>
          <w:tcPr>
            <w:tcW w:w="646" w:type="dxa"/>
            <w:tcBorders>
              <w:top w:val="nil"/>
              <w:left w:val="nil"/>
              <w:bottom w:val="nil"/>
              <w:right w:val="nil"/>
            </w:tcBorders>
            <w:shd w:val="clear" w:color="auto" w:fill="auto"/>
            <w:noWrap/>
            <w:vAlign w:val="center"/>
            <w:hideMark/>
          </w:tcPr>
          <w:p w14:paraId="7EEE75E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733" w:type="dxa"/>
            <w:tcBorders>
              <w:top w:val="nil"/>
              <w:left w:val="nil"/>
              <w:bottom w:val="nil"/>
              <w:right w:val="nil"/>
            </w:tcBorders>
            <w:shd w:val="clear" w:color="auto" w:fill="auto"/>
            <w:noWrap/>
            <w:vAlign w:val="center"/>
            <w:hideMark/>
          </w:tcPr>
          <w:p w14:paraId="1D2E0D4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-35.61</w:t>
            </w:r>
          </w:p>
        </w:tc>
        <w:tc>
          <w:tcPr>
            <w:tcW w:w="665" w:type="dxa"/>
            <w:tcBorders>
              <w:top w:val="nil"/>
              <w:left w:val="nil"/>
              <w:bottom w:val="nil"/>
              <w:right w:val="nil"/>
            </w:tcBorders>
            <w:shd w:val="clear" w:color="auto" w:fill="auto"/>
            <w:noWrap/>
            <w:vAlign w:val="center"/>
            <w:hideMark/>
          </w:tcPr>
          <w:p w14:paraId="0AC098C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r>
      <w:tr w:rsidR="006041E2" w:rsidRPr="001F0BEA" w14:paraId="2119D1BA" w14:textId="77777777" w:rsidTr="006041E2">
        <w:trPr>
          <w:trHeight w:val="310"/>
        </w:trPr>
        <w:tc>
          <w:tcPr>
            <w:tcW w:w="1052" w:type="dxa"/>
            <w:tcBorders>
              <w:top w:val="nil"/>
              <w:left w:val="nil"/>
              <w:bottom w:val="nil"/>
              <w:right w:val="nil"/>
            </w:tcBorders>
            <w:shd w:val="clear" w:color="auto" w:fill="auto"/>
            <w:noWrap/>
            <w:vAlign w:val="center"/>
            <w:hideMark/>
          </w:tcPr>
          <w:p w14:paraId="6844E8D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36A5466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w:t>
            </w:r>
          </w:p>
        </w:tc>
        <w:tc>
          <w:tcPr>
            <w:tcW w:w="885" w:type="dxa"/>
            <w:tcBorders>
              <w:top w:val="nil"/>
              <w:left w:val="nil"/>
              <w:bottom w:val="nil"/>
              <w:right w:val="nil"/>
            </w:tcBorders>
            <w:shd w:val="clear" w:color="auto" w:fill="auto"/>
            <w:noWrap/>
            <w:vAlign w:val="center"/>
            <w:hideMark/>
          </w:tcPr>
          <w:p w14:paraId="7D8A2C5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w:t>
            </w:r>
          </w:p>
        </w:tc>
        <w:tc>
          <w:tcPr>
            <w:tcW w:w="767" w:type="dxa"/>
            <w:tcBorders>
              <w:top w:val="nil"/>
              <w:left w:val="nil"/>
              <w:bottom w:val="nil"/>
              <w:right w:val="nil"/>
            </w:tcBorders>
            <w:shd w:val="clear" w:color="auto" w:fill="auto"/>
            <w:noWrap/>
            <w:vAlign w:val="center"/>
            <w:hideMark/>
          </w:tcPr>
          <w:p w14:paraId="38D3E06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2.15</w:t>
            </w:r>
          </w:p>
        </w:tc>
        <w:tc>
          <w:tcPr>
            <w:tcW w:w="768" w:type="dxa"/>
            <w:tcBorders>
              <w:top w:val="nil"/>
              <w:left w:val="nil"/>
              <w:bottom w:val="nil"/>
              <w:right w:val="nil"/>
            </w:tcBorders>
            <w:shd w:val="clear" w:color="auto" w:fill="auto"/>
            <w:noWrap/>
            <w:vAlign w:val="center"/>
            <w:hideMark/>
          </w:tcPr>
          <w:p w14:paraId="3355486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0.04</w:t>
            </w:r>
          </w:p>
        </w:tc>
        <w:tc>
          <w:tcPr>
            <w:tcW w:w="735" w:type="dxa"/>
            <w:tcBorders>
              <w:top w:val="nil"/>
              <w:left w:val="nil"/>
              <w:bottom w:val="nil"/>
              <w:right w:val="nil"/>
            </w:tcBorders>
            <w:shd w:val="clear" w:color="auto" w:fill="auto"/>
            <w:noWrap/>
            <w:vAlign w:val="center"/>
            <w:hideMark/>
          </w:tcPr>
          <w:p w14:paraId="69C787F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48.42</w:t>
            </w:r>
          </w:p>
        </w:tc>
        <w:tc>
          <w:tcPr>
            <w:tcW w:w="571" w:type="dxa"/>
            <w:tcBorders>
              <w:top w:val="nil"/>
              <w:left w:val="nil"/>
              <w:bottom w:val="nil"/>
              <w:right w:val="nil"/>
            </w:tcBorders>
            <w:shd w:val="clear" w:color="auto" w:fill="auto"/>
            <w:noWrap/>
            <w:vAlign w:val="center"/>
            <w:hideMark/>
          </w:tcPr>
          <w:p w14:paraId="26B7BB7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846" w:type="dxa"/>
            <w:tcBorders>
              <w:top w:val="nil"/>
              <w:left w:val="nil"/>
              <w:bottom w:val="nil"/>
              <w:right w:val="nil"/>
            </w:tcBorders>
            <w:shd w:val="clear" w:color="auto" w:fill="auto"/>
            <w:noWrap/>
            <w:vAlign w:val="center"/>
            <w:hideMark/>
          </w:tcPr>
          <w:p w14:paraId="719F889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1046EF5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43.77</w:t>
            </w:r>
          </w:p>
        </w:tc>
        <w:tc>
          <w:tcPr>
            <w:tcW w:w="646" w:type="dxa"/>
            <w:tcBorders>
              <w:top w:val="nil"/>
              <w:left w:val="nil"/>
              <w:bottom w:val="nil"/>
              <w:right w:val="nil"/>
            </w:tcBorders>
            <w:shd w:val="clear" w:color="auto" w:fill="auto"/>
            <w:noWrap/>
            <w:vAlign w:val="center"/>
            <w:hideMark/>
          </w:tcPr>
          <w:p w14:paraId="0C583C7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733" w:type="dxa"/>
            <w:tcBorders>
              <w:top w:val="nil"/>
              <w:left w:val="nil"/>
              <w:bottom w:val="nil"/>
              <w:right w:val="nil"/>
            </w:tcBorders>
            <w:shd w:val="clear" w:color="auto" w:fill="auto"/>
            <w:noWrap/>
            <w:vAlign w:val="center"/>
            <w:hideMark/>
          </w:tcPr>
          <w:p w14:paraId="301457A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-28.51</w:t>
            </w:r>
          </w:p>
        </w:tc>
        <w:tc>
          <w:tcPr>
            <w:tcW w:w="665" w:type="dxa"/>
            <w:tcBorders>
              <w:top w:val="nil"/>
              <w:left w:val="nil"/>
              <w:bottom w:val="nil"/>
              <w:right w:val="nil"/>
            </w:tcBorders>
            <w:shd w:val="clear" w:color="auto" w:fill="auto"/>
            <w:noWrap/>
            <w:vAlign w:val="center"/>
            <w:hideMark/>
          </w:tcPr>
          <w:p w14:paraId="1772906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0.20</w:t>
            </w:r>
          </w:p>
        </w:tc>
      </w:tr>
      <w:tr w:rsidR="006041E2" w:rsidRPr="001F0BEA" w14:paraId="04BE746A" w14:textId="77777777" w:rsidTr="006041E2">
        <w:trPr>
          <w:trHeight w:val="310"/>
        </w:trPr>
        <w:tc>
          <w:tcPr>
            <w:tcW w:w="1052" w:type="dxa"/>
            <w:tcBorders>
              <w:top w:val="nil"/>
              <w:left w:val="nil"/>
              <w:bottom w:val="nil"/>
              <w:right w:val="nil"/>
            </w:tcBorders>
            <w:shd w:val="clear" w:color="auto" w:fill="auto"/>
            <w:noWrap/>
            <w:vAlign w:val="center"/>
            <w:hideMark/>
          </w:tcPr>
          <w:p w14:paraId="768F830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7AA318D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GACE</w:t>
            </w:r>
          </w:p>
        </w:tc>
        <w:tc>
          <w:tcPr>
            <w:tcW w:w="885" w:type="dxa"/>
            <w:tcBorders>
              <w:top w:val="nil"/>
              <w:left w:val="nil"/>
              <w:bottom w:val="nil"/>
              <w:right w:val="nil"/>
            </w:tcBorders>
            <w:shd w:val="clear" w:color="auto" w:fill="auto"/>
            <w:noWrap/>
            <w:vAlign w:val="center"/>
            <w:hideMark/>
          </w:tcPr>
          <w:p w14:paraId="5DFD7E1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w:t>
            </w:r>
          </w:p>
        </w:tc>
        <w:tc>
          <w:tcPr>
            <w:tcW w:w="767" w:type="dxa"/>
            <w:tcBorders>
              <w:top w:val="nil"/>
              <w:left w:val="nil"/>
              <w:bottom w:val="nil"/>
              <w:right w:val="nil"/>
            </w:tcBorders>
            <w:shd w:val="clear" w:color="auto" w:fill="auto"/>
            <w:noWrap/>
            <w:vAlign w:val="center"/>
            <w:hideMark/>
          </w:tcPr>
          <w:p w14:paraId="60DA63C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1.26</w:t>
            </w:r>
          </w:p>
        </w:tc>
        <w:tc>
          <w:tcPr>
            <w:tcW w:w="768" w:type="dxa"/>
            <w:tcBorders>
              <w:top w:val="nil"/>
              <w:left w:val="nil"/>
              <w:bottom w:val="nil"/>
              <w:right w:val="nil"/>
            </w:tcBorders>
            <w:shd w:val="clear" w:color="auto" w:fill="auto"/>
            <w:noWrap/>
            <w:vAlign w:val="center"/>
            <w:hideMark/>
          </w:tcPr>
          <w:p w14:paraId="353206E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5" w:type="dxa"/>
            <w:tcBorders>
              <w:top w:val="nil"/>
              <w:left w:val="nil"/>
              <w:bottom w:val="nil"/>
              <w:right w:val="nil"/>
            </w:tcBorders>
            <w:shd w:val="clear" w:color="auto" w:fill="auto"/>
            <w:noWrap/>
            <w:vAlign w:val="center"/>
            <w:hideMark/>
          </w:tcPr>
          <w:p w14:paraId="5B3FCEA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51.37</w:t>
            </w:r>
          </w:p>
        </w:tc>
        <w:tc>
          <w:tcPr>
            <w:tcW w:w="571" w:type="dxa"/>
            <w:tcBorders>
              <w:top w:val="nil"/>
              <w:left w:val="nil"/>
              <w:bottom w:val="nil"/>
              <w:right w:val="nil"/>
            </w:tcBorders>
            <w:shd w:val="clear" w:color="auto" w:fill="auto"/>
            <w:noWrap/>
            <w:vAlign w:val="center"/>
            <w:hideMark/>
          </w:tcPr>
          <w:p w14:paraId="39E84E8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0.18</w:t>
            </w:r>
          </w:p>
        </w:tc>
        <w:tc>
          <w:tcPr>
            <w:tcW w:w="846" w:type="dxa"/>
            <w:tcBorders>
              <w:top w:val="nil"/>
              <w:left w:val="nil"/>
              <w:bottom w:val="nil"/>
              <w:right w:val="nil"/>
            </w:tcBorders>
            <w:shd w:val="clear" w:color="auto" w:fill="auto"/>
            <w:noWrap/>
            <w:vAlign w:val="center"/>
            <w:hideMark/>
          </w:tcPr>
          <w:p w14:paraId="2019C48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1794171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45.83</w:t>
            </w:r>
          </w:p>
        </w:tc>
        <w:tc>
          <w:tcPr>
            <w:tcW w:w="646" w:type="dxa"/>
            <w:tcBorders>
              <w:top w:val="nil"/>
              <w:left w:val="nil"/>
              <w:bottom w:val="nil"/>
              <w:right w:val="nil"/>
            </w:tcBorders>
            <w:shd w:val="clear" w:color="auto" w:fill="auto"/>
            <w:noWrap/>
            <w:vAlign w:val="center"/>
            <w:hideMark/>
          </w:tcPr>
          <w:p w14:paraId="2747078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0.18</w:t>
            </w:r>
          </w:p>
        </w:tc>
        <w:tc>
          <w:tcPr>
            <w:tcW w:w="733" w:type="dxa"/>
            <w:tcBorders>
              <w:top w:val="nil"/>
              <w:left w:val="nil"/>
              <w:bottom w:val="nil"/>
              <w:right w:val="nil"/>
            </w:tcBorders>
            <w:shd w:val="clear" w:color="auto" w:fill="auto"/>
            <w:noWrap/>
            <w:vAlign w:val="center"/>
            <w:hideMark/>
          </w:tcPr>
          <w:p w14:paraId="6AF9948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-32.64</w:t>
            </w:r>
          </w:p>
        </w:tc>
        <w:tc>
          <w:tcPr>
            <w:tcW w:w="665" w:type="dxa"/>
            <w:tcBorders>
              <w:top w:val="nil"/>
              <w:left w:val="nil"/>
              <w:bottom w:val="nil"/>
              <w:right w:val="nil"/>
            </w:tcBorders>
            <w:shd w:val="clear" w:color="auto" w:fill="auto"/>
            <w:noWrap/>
            <w:vAlign w:val="center"/>
            <w:hideMark/>
          </w:tcPr>
          <w:p w14:paraId="03C3AC8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r>
      <w:tr w:rsidR="006041E2" w:rsidRPr="001F0BEA" w14:paraId="1FA9E6DD" w14:textId="77777777" w:rsidTr="006041E2">
        <w:trPr>
          <w:trHeight w:val="310"/>
        </w:trPr>
        <w:tc>
          <w:tcPr>
            <w:tcW w:w="1052" w:type="dxa"/>
            <w:tcBorders>
              <w:top w:val="nil"/>
              <w:left w:val="nil"/>
              <w:bottom w:val="nil"/>
              <w:right w:val="nil"/>
            </w:tcBorders>
            <w:shd w:val="clear" w:color="auto" w:fill="auto"/>
            <w:noWrap/>
            <w:vAlign w:val="center"/>
            <w:hideMark/>
          </w:tcPr>
          <w:p w14:paraId="1984B0E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1283F9D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NACE</w:t>
            </w:r>
          </w:p>
        </w:tc>
        <w:tc>
          <w:tcPr>
            <w:tcW w:w="885" w:type="dxa"/>
            <w:tcBorders>
              <w:top w:val="nil"/>
              <w:left w:val="nil"/>
              <w:bottom w:val="nil"/>
              <w:right w:val="nil"/>
            </w:tcBorders>
            <w:shd w:val="clear" w:color="auto" w:fill="auto"/>
            <w:noWrap/>
            <w:vAlign w:val="center"/>
            <w:hideMark/>
          </w:tcPr>
          <w:p w14:paraId="6C1592F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Z-17</w:t>
            </w:r>
          </w:p>
        </w:tc>
        <w:tc>
          <w:tcPr>
            <w:tcW w:w="767" w:type="dxa"/>
            <w:tcBorders>
              <w:top w:val="nil"/>
              <w:left w:val="nil"/>
              <w:bottom w:val="nil"/>
              <w:right w:val="nil"/>
            </w:tcBorders>
            <w:shd w:val="clear" w:color="auto" w:fill="auto"/>
            <w:noWrap/>
            <w:vAlign w:val="center"/>
            <w:hideMark/>
          </w:tcPr>
          <w:p w14:paraId="12B3D4F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0.74</w:t>
            </w:r>
          </w:p>
        </w:tc>
        <w:tc>
          <w:tcPr>
            <w:tcW w:w="768" w:type="dxa"/>
            <w:tcBorders>
              <w:top w:val="nil"/>
              <w:left w:val="nil"/>
              <w:bottom w:val="nil"/>
              <w:right w:val="nil"/>
            </w:tcBorders>
            <w:shd w:val="clear" w:color="auto" w:fill="auto"/>
            <w:noWrap/>
            <w:vAlign w:val="center"/>
            <w:hideMark/>
          </w:tcPr>
          <w:p w14:paraId="17FEBDD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0.03</w:t>
            </w:r>
          </w:p>
        </w:tc>
        <w:tc>
          <w:tcPr>
            <w:tcW w:w="735" w:type="dxa"/>
            <w:tcBorders>
              <w:top w:val="nil"/>
              <w:left w:val="nil"/>
              <w:bottom w:val="nil"/>
              <w:right w:val="nil"/>
            </w:tcBorders>
            <w:shd w:val="clear" w:color="auto" w:fill="auto"/>
            <w:noWrap/>
            <w:vAlign w:val="center"/>
            <w:hideMark/>
          </w:tcPr>
          <w:p w14:paraId="22C6737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49.89</w:t>
            </w:r>
          </w:p>
        </w:tc>
        <w:tc>
          <w:tcPr>
            <w:tcW w:w="571" w:type="dxa"/>
            <w:tcBorders>
              <w:top w:val="nil"/>
              <w:left w:val="nil"/>
              <w:bottom w:val="nil"/>
              <w:right w:val="nil"/>
            </w:tcBorders>
            <w:shd w:val="clear" w:color="auto" w:fill="auto"/>
            <w:noWrap/>
            <w:vAlign w:val="center"/>
            <w:hideMark/>
          </w:tcPr>
          <w:p w14:paraId="3249890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0.18</w:t>
            </w:r>
          </w:p>
        </w:tc>
        <w:tc>
          <w:tcPr>
            <w:tcW w:w="846" w:type="dxa"/>
            <w:tcBorders>
              <w:top w:val="nil"/>
              <w:left w:val="nil"/>
              <w:bottom w:val="nil"/>
              <w:right w:val="nil"/>
            </w:tcBorders>
            <w:shd w:val="clear" w:color="auto" w:fill="auto"/>
            <w:noWrap/>
            <w:vAlign w:val="center"/>
            <w:hideMark/>
          </w:tcPr>
          <w:p w14:paraId="4A1BC79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26C495B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43.83</w:t>
            </w:r>
          </w:p>
        </w:tc>
        <w:tc>
          <w:tcPr>
            <w:tcW w:w="646" w:type="dxa"/>
            <w:tcBorders>
              <w:top w:val="nil"/>
              <w:left w:val="nil"/>
              <w:bottom w:val="nil"/>
              <w:right w:val="nil"/>
            </w:tcBorders>
            <w:shd w:val="clear" w:color="auto" w:fill="auto"/>
            <w:noWrap/>
            <w:vAlign w:val="center"/>
            <w:hideMark/>
          </w:tcPr>
          <w:p w14:paraId="5EB1621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0.18</w:t>
            </w:r>
          </w:p>
        </w:tc>
        <w:tc>
          <w:tcPr>
            <w:tcW w:w="733" w:type="dxa"/>
            <w:tcBorders>
              <w:top w:val="nil"/>
              <w:left w:val="nil"/>
              <w:bottom w:val="nil"/>
              <w:right w:val="nil"/>
            </w:tcBorders>
            <w:shd w:val="clear" w:color="auto" w:fill="auto"/>
            <w:noWrap/>
            <w:vAlign w:val="center"/>
            <w:hideMark/>
          </w:tcPr>
          <w:p w14:paraId="560D759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-30.83</w:t>
            </w:r>
          </w:p>
        </w:tc>
        <w:tc>
          <w:tcPr>
            <w:tcW w:w="665" w:type="dxa"/>
            <w:tcBorders>
              <w:top w:val="nil"/>
              <w:left w:val="nil"/>
              <w:bottom w:val="nil"/>
              <w:right w:val="nil"/>
            </w:tcBorders>
            <w:shd w:val="clear" w:color="auto" w:fill="auto"/>
            <w:noWrap/>
            <w:vAlign w:val="center"/>
            <w:hideMark/>
          </w:tcPr>
          <w:p w14:paraId="5D65A64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r>
      <w:tr w:rsidR="006041E2" w:rsidRPr="001F0BEA" w14:paraId="00196F91" w14:textId="77777777" w:rsidTr="006041E2">
        <w:trPr>
          <w:trHeight w:val="310"/>
        </w:trPr>
        <w:tc>
          <w:tcPr>
            <w:tcW w:w="1052" w:type="dxa"/>
            <w:tcBorders>
              <w:top w:val="nil"/>
              <w:left w:val="nil"/>
              <w:bottom w:val="nil"/>
              <w:right w:val="nil"/>
            </w:tcBorders>
            <w:shd w:val="clear" w:color="auto" w:fill="auto"/>
            <w:noWrap/>
            <w:vAlign w:val="center"/>
            <w:hideMark/>
          </w:tcPr>
          <w:p w14:paraId="540A6EA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2F4493C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C13P</w:t>
            </w:r>
          </w:p>
        </w:tc>
        <w:tc>
          <w:tcPr>
            <w:tcW w:w="885" w:type="dxa"/>
            <w:tcBorders>
              <w:top w:val="nil"/>
              <w:left w:val="nil"/>
              <w:bottom w:val="nil"/>
              <w:right w:val="nil"/>
            </w:tcBorders>
            <w:shd w:val="clear" w:color="auto" w:fill="auto"/>
            <w:noWrap/>
            <w:vAlign w:val="center"/>
            <w:hideMark/>
          </w:tcPr>
          <w:p w14:paraId="74E60438" w14:textId="16B0CCE1"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w:t>
            </w:r>
            <w:r w:rsidR="006041E2" w:rsidRPr="001F0BEA">
              <w:rPr>
                <w:rFonts w:eastAsia="Times New Roman" w:cs="Arial"/>
                <w:color w:val="000000"/>
                <w:sz w:val="20"/>
                <w:szCs w:val="20"/>
                <w:lang w:eastAsia="de-DE"/>
              </w:rPr>
              <w:t>4</w:t>
            </w:r>
          </w:p>
        </w:tc>
        <w:tc>
          <w:tcPr>
            <w:tcW w:w="767" w:type="dxa"/>
            <w:tcBorders>
              <w:top w:val="nil"/>
              <w:left w:val="nil"/>
              <w:bottom w:val="nil"/>
              <w:right w:val="nil"/>
            </w:tcBorders>
            <w:shd w:val="clear" w:color="auto" w:fill="auto"/>
            <w:noWrap/>
            <w:vAlign w:val="center"/>
            <w:hideMark/>
          </w:tcPr>
          <w:p w14:paraId="373CCAC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7.37</w:t>
            </w:r>
          </w:p>
        </w:tc>
        <w:tc>
          <w:tcPr>
            <w:tcW w:w="768" w:type="dxa"/>
            <w:tcBorders>
              <w:top w:val="nil"/>
              <w:left w:val="nil"/>
              <w:bottom w:val="nil"/>
              <w:right w:val="nil"/>
            </w:tcBorders>
            <w:shd w:val="clear" w:color="auto" w:fill="auto"/>
            <w:noWrap/>
            <w:vAlign w:val="center"/>
            <w:hideMark/>
          </w:tcPr>
          <w:p w14:paraId="323B5C6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0.09</w:t>
            </w:r>
          </w:p>
        </w:tc>
        <w:tc>
          <w:tcPr>
            <w:tcW w:w="735" w:type="dxa"/>
            <w:tcBorders>
              <w:top w:val="nil"/>
              <w:left w:val="nil"/>
              <w:bottom w:val="nil"/>
              <w:right w:val="nil"/>
            </w:tcBorders>
            <w:shd w:val="clear" w:color="auto" w:fill="auto"/>
            <w:noWrap/>
            <w:vAlign w:val="center"/>
            <w:hideMark/>
          </w:tcPr>
          <w:p w14:paraId="2A54B2C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41.71</w:t>
            </w:r>
          </w:p>
        </w:tc>
        <w:tc>
          <w:tcPr>
            <w:tcW w:w="571" w:type="dxa"/>
            <w:tcBorders>
              <w:top w:val="nil"/>
              <w:left w:val="nil"/>
              <w:bottom w:val="nil"/>
              <w:right w:val="nil"/>
            </w:tcBorders>
            <w:shd w:val="clear" w:color="auto" w:fill="auto"/>
            <w:noWrap/>
            <w:vAlign w:val="center"/>
            <w:hideMark/>
          </w:tcPr>
          <w:p w14:paraId="0E5B9AE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0.20</w:t>
            </w:r>
          </w:p>
        </w:tc>
        <w:tc>
          <w:tcPr>
            <w:tcW w:w="846" w:type="dxa"/>
            <w:tcBorders>
              <w:top w:val="nil"/>
              <w:left w:val="nil"/>
              <w:bottom w:val="nil"/>
              <w:right w:val="nil"/>
            </w:tcBorders>
            <w:shd w:val="clear" w:color="auto" w:fill="auto"/>
            <w:noWrap/>
            <w:vAlign w:val="center"/>
            <w:hideMark/>
          </w:tcPr>
          <w:p w14:paraId="6B52F14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7FFFF3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42.28</w:t>
            </w:r>
          </w:p>
        </w:tc>
        <w:tc>
          <w:tcPr>
            <w:tcW w:w="646" w:type="dxa"/>
            <w:tcBorders>
              <w:top w:val="nil"/>
              <w:left w:val="nil"/>
              <w:bottom w:val="nil"/>
              <w:right w:val="nil"/>
            </w:tcBorders>
            <w:shd w:val="clear" w:color="auto" w:fill="auto"/>
            <w:noWrap/>
            <w:vAlign w:val="center"/>
            <w:hideMark/>
          </w:tcPr>
          <w:p w14:paraId="62EE147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0.22</w:t>
            </w:r>
          </w:p>
        </w:tc>
        <w:tc>
          <w:tcPr>
            <w:tcW w:w="733" w:type="dxa"/>
            <w:tcBorders>
              <w:top w:val="nil"/>
              <w:left w:val="nil"/>
              <w:bottom w:val="nil"/>
              <w:right w:val="nil"/>
            </w:tcBorders>
            <w:shd w:val="clear" w:color="auto" w:fill="auto"/>
            <w:noWrap/>
            <w:vAlign w:val="center"/>
            <w:hideMark/>
          </w:tcPr>
          <w:p w14:paraId="62947B1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-29.28</w:t>
            </w:r>
          </w:p>
        </w:tc>
        <w:tc>
          <w:tcPr>
            <w:tcW w:w="665" w:type="dxa"/>
            <w:tcBorders>
              <w:top w:val="nil"/>
              <w:left w:val="nil"/>
              <w:bottom w:val="nil"/>
              <w:right w:val="nil"/>
            </w:tcBorders>
            <w:shd w:val="clear" w:color="auto" w:fill="auto"/>
            <w:noWrap/>
            <w:vAlign w:val="center"/>
            <w:hideMark/>
          </w:tcPr>
          <w:p w14:paraId="7542007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0.27</w:t>
            </w:r>
          </w:p>
        </w:tc>
      </w:tr>
      <w:tr w:rsidR="006041E2" w:rsidRPr="001F0BEA" w14:paraId="5150AD44" w14:textId="77777777" w:rsidTr="006041E2">
        <w:trPr>
          <w:trHeight w:val="310"/>
        </w:trPr>
        <w:tc>
          <w:tcPr>
            <w:tcW w:w="1052" w:type="dxa"/>
            <w:tcBorders>
              <w:top w:val="nil"/>
              <w:left w:val="nil"/>
              <w:bottom w:val="nil"/>
              <w:right w:val="nil"/>
            </w:tcBorders>
            <w:shd w:val="clear" w:color="auto" w:fill="auto"/>
            <w:noWrap/>
            <w:vAlign w:val="center"/>
            <w:hideMark/>
          </w:tcPr>
          <w:p w14:paraId="6AD9AAF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3B80ED1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AMB</w:t>
            </w:r>
          </w:p>
        </w:tc>
        <w:tc>
          <w:tcPr>
            <w:tcW w:w="885" w:type="dxa"/>
            <w:tcBorders>
              <w:top w:val="nil"/>
              <w:left w:val="nil"/>
              <w:bottom w:val="nil"/>
              <w:right w:val="nil"/>
            </w:tcBorders>
            <w:shd w:val="clear" w:color="auto" w:fill="auto"/>
            <w:noWrap/>
            <w:vAlign w:val="center"/>
            <w:hideMark/>
          </w:tcPr>
          <w:p w14:paraId="5C159DA5" w14:textId="69AD813F"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w:t>
            </w:r>
            <w:r w:rsidR="006041E2" w:rsidRPr="001F0BEA">
              <w:rPr>
                <w:rFonts w:eastAsia="Times New Roman" w:cs="Arial"/>
                <w:color w:val="000000"/>
                <w:sz w:val="20"/>
                <w:szCs w:val="20"/>
                <w:lang w:eastAsia="de-DE"/>
              </w:rPr>
              <w:t>0</w:t>
            </w:r>
          </w:p>
        </w:tc>
        <w:tc>
          <w:tcPr>
            <w:tcW w:w="767" w:type="dxa"/>
            <w:tcBorders>
              <w:top w:val="nil"/>
              <w:left w:val="nil"/>
              <w:bottom w:val="nil"/>
              <w:right w:val="nil"/>
            </w:tcBorders>
            <w:shd w:val="clear" w:color="auto" w:fill="auto"/>
            <w:noWrap/>
            <w:vAlign w:val="center"/>
            <w:hideMark/>
          </w:tcPr>
          <w:p w14:paraId="444DA58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7.08</w:t>
            </w:r>
          </w:p>
        </w:tc>
        <w:tc>
          <w:tcPr>
            <w:tcW w:w="768" w:type="dxa"/>
            <w:tcBorders>
              <w:top w:val="nil"/>
              <w:left w:val="nil"/>
              <w:bottom w:val="nil"/>
              <w:right w:val="nil"/>
            </w:tcBorders>
            <w:shd w:val="clear" w:color="auto" w:fill="auto"/>
            <w:noWrap/>
            <w:vAlign w:val="center"/>
            <w:hideMark/>
          </w:tcPr>
          <w:p w14:paraId="71D4C73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5" w:type="dxa"/>
            <w:tcBorders>
              <w:top w:val="nil"/>
              <w:left w:val="nil"/>
              <w:bottom w:val="nil"/>
              <w:right w:val="nil"/>
            </w:tcBorders>
            <w:shd w:val="clear" w:color="auto" w:fill="auto"/>
            <w:noWrap/>
            <w:vAlign w:val="center"/>
            <w:hideMark/>
          </w:tcPr>
          <w:p w14:paraId="0AEAB31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38.17</w:t>
            </w:r>
          </w:p>
        </w:tc>
        <w:tc>
          <w:tcPr>
            <w:tcW w:w="571" w:type="dxa"/>
            <w:tcBorders>
              <w:top w:val="nil"/>
              <w:left w:val="nil"/>
              <w:bottom w:val="nil"/>
              <w:right w:val="nil"/>
            </w:tcBorders>
            <w:shd w:val="clear" w:color="auto" w:fill="auto"/>
            <w:noWrap/>
            <w:vAlign w:val="center"/>
            <w:hideMark/>
          </w:tcPr>
          <w:p w14:paraId="68E6336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846" w:type="dxa"/>
            <w:tcBorders>
              <w:top w:val="nil"/>
              <w:left w:val="nil"/>
              <w:bottom w:val="nil"/>
              <w:right w:val="nil"/>
            </w:tcBorders>
            <w:shd w:val="clear" w:color="auto" w:fill="auto"/>
            <w:noWrap/>
            <w:vAlign w:val="center"/>
            <w:hideMark/>
          </w:tcPr>
          <w:p w14:paraId="624DF3E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39261F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38.45</w:t>
            </w:r>
          </w:p>
        </w:tc>
        <w:tc>
          <w:tcPr>
            <w:tcW w:w="646" w:type="dxa"/>
            <w:tcBorders>
              <w:top w:val="nil"/>
              <w:left w:val="nil"/>
              <w:bottom w:val="nil"/>
              <w:right w:val="nil"/>
            </w:tcBorders>
            <w:shd w:val="clear" w:color="auto" w:fill="auto"/>
            <w:noWrap/>
            <w:vAlign w:val="center"/>
            <w:hideMark/>
          </w:tcPr>
          <w:p w14:paraId="01C64A4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733" w:type="dxa"/>
            <w:tcBorders>
              <w:top w:val="nil"/>
              <w:left w:val="nil"/>
              <w:bottom w:val="nil"/>
              <w:right w:val="nil"/>
            </w:tcBorders>
            <w:shd w:val="clear" w:color="auto" w:fill="auto"/>
            <w:noWrap/>
            <w:vAlign w:val="center"/>
            <w:hideMark/>
          </w:tcPr>
          <w:p w14:paraId="2F1B788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-26.41</w:t>
            </w:r>
          </w:p>
        </w:tc>
        <w:tc>
          <w:tcPr>
            <w:tcW w:w="665" w:type="dxa"/>
            <w:tcBorders>
              <w:top w:val="nil"/>
              <w:left w:val="nil"/>
              <w:bottom w:val="nil"/>
              <w:right w:val="nil"/>
            </w:tcBorders>
            <w:shd w:val="clear" w:color="auto" w:fill="auto"/>
            <w:noWrap/>
            <w:vAlign w:val="center"/>
            <w:hideMark/>
          </w:tcPr>
          <w:p w14:paraId="4BECAA5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0.22</w:t>
            </w:r>
          </w:p>
        </w:tc>
      </w:tr>
      <w:tr w:rsidR="006041E2" w:rsidRPr="001F0BEA" w14:paraId="0F329297" w14:textId="77777777" w:rsidTr="006041E2">
        <w:trPr>
          <w:trHeight w:val="310"/>
        </w:trPr>
        <w:tc>
          <w:tcPr>
            <w:tcW w:w="1052" w:type="dxa"/>
            <w:tcBorders>
              <w:top w:val="nil"/>
              <w:left w:val="nil"/>
              <w:bottom w:val="nil"/>
              <w:right w:val="nil"/>
            </w:tcBorders>
            <w:shd w:val="clear" w:color="auto" w:fill="auto"/>
            <w:noWrap/>
            <w:vAlign w:val="center"/>
            <w:hideMark/>
          </w:tcPr>
          <w:p w14:paraId="1F13F0B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5B07066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HFL</w:t>
            </w:r>
          </w:p>
        </w:tc>
        <w:tc>
          <w:tcPr>
            <w:tcW w:w="885" w:type="dxa"/>
            <w:tcBorders>
              <w:top w:val="nil"/>
              <w:left w:val="nil"/>
              <w:bottom w:val="nil"/>
              <w:right w:val="nil"/>
            </w:tcBorders>
            <w:shd w:val="clear" w:color="auto" w:fill="auto"/>
            <w:noWrap/>
            <w:vAlign w:val="center"/>
            <w:hideMark/>
          </w:tcPr>
          <w:p w14:paraId="378DA0C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27</w:t>
            </w:r>
          </w:p>
        </w:tc>
        <w:tc>
          <w:tcPr>
            <w:tcW w:w="767" w:type="dxa"/>
            <w:tcBorders>
              <w:top w:val="nil"/>
              <w:left w:val="nil"/>
              <w:bottom w:val="nil"/>
              <w:right w:val="nil"/>
            </w:tcBorders>
            <w:shd w:val="clear" w:color="auto" w:fill="auto"/>
            <w:noWrap/>
            <w:vAlign w:val="center"/>
            <w:hideMark/>
          </w:tcPr>
          <w:p w14:paraId="4F5D690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1.20</w:t>
            </w:r>
          </w:p>
        </w:tc>
        <w:tc>
          <w:tcPr>
            <w:tcW w:w="768" w:type="dxa"/>
            <w:tcBorders>
              <w:top w:val="nil"/>
              <w:left w:val="nil"/>
              <w:bottom w:val="nil"/>
              <w:right w:val="nil"/>
            </w:tcBorders>
            <w:shd w:val="clear" w:color="auto" w:fill="auto"/>
            <w:noWrap/>
            <w:vAlign w:val="center"/>
            <w:hideMark/>
          </w:tcPr>
          <w:p w14:paraId="4D92111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0.04</w:t>
            </w:r>
          </w:p>
        </w:tc>
        <w:tc>
          <w:tcPr>
            <w:tcW w:w="735" w:type="dxa"/>
            <w:tcBorders>
              <w:top w:val="nil"/>
              <w:left w:val="nil"/>
              <w:bottom w:val="nil"/>
              <w:right w:val="nil"/>
            </w:tcBorders>
            <w:shd w:val="clear" w:color="auto" w:fill="auto"/>
            <w:noWrap/>
            <w:vAlign w:val="center"/>
            <w:hideMark/>
          </w:tcPr>
          <w:p w14:paraId="77A7B03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52.88</w:t>
            </w:r>
          </w:p>
        </w:tc>
        <w:tc>
          <w:tcPr>
            <w:tcW w:w="571" w:type="dxa"/>
            <w:tcBorders>
              <w:top w:val="nil"/>
              <w:left w:val="nil"/>
              <w:bottom w:val="nil"/>
              <w:right w:val="nil"/>
            </w:tcBorders>
            <w:shd w:val="clear" w:color="auto" w:fill="auto"/>
            <w:noWrap/>
            <w:vAlign w:val="center"/>
            <w:hideMark/>
          </w:tcPr>
          <w:p w14:paraId="77204C0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846" w:type="dxa"/>
            <w:tcBorders>
              <w:top w:val="nil"/>
              <w:left w:val="nil"/>
              <w:bottom w:val="nil"/>
              <w:right w:val="nil"/>
            </w:tcBorders>
            <w:shd w:val="clear" w:color="auto" w:fill="auto"/>
            <w:noWrap/>
            <w:vAlign w:val="center"/>
            <w:hideMark/>
          </w:tcPr>
          <w:p w14:paraId="2D109F5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71BE033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47.28</w:t>
            </w:r>
          </w:p>
        </w:tc>
        <w:tc>
          <w:tcPr>
            <w:tcW w:w="646" w:type="dxa"/>
            <w:tcBorders>
              <w:top w:val="nil"/>
              <w:left w:val="nil"/>
              <w:bottom w:val="nil"/>
              <w:right w:val="nil"/>
            </w:tcBorders>
            <w:shd w:val="clear" w:color="auto" w:fill="auto"/>
            <w:noWrap/>
            <w:vAlign w:val="center"/>
            <w:hideMark/>
          </w:tcPr>
          <w:p w14:paraId="218DD4F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733" w:type="dxa"/>
            <w:tcBorders>
              <w:top w:val="nil"/>
              <w:left w:val="nil"/>
              <w:bottom w:val="nil"/>
              <w:right w:val="nil"/>
            </w:tcBorders>
            <w:shd w:val="clear" w:color="auto" w:fill="auto"/>
            <w:noWrap/>
            <w:vAlign w:val="center"/>
            <w:hideMark/>
          </w:tcPr>
          <w:p w14:paraId="59307B0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-37.81</w:t>
            </w:r>
          </w:p>
        </w:tc>
        <w:tc>
          <w:tcPr>
            <w:tcW w:w="665" w:type="dxa"/>
            <w:tcBorders>
              <w:top w:val="nil"/>
              <w:left w:val="nil"/>
              <w:bottom w:val="nil"/>
              <w:right w:val="nil"/>
            </w:tcBorders>
            <w:shd w:val="clear" w:color="auto" w:fill="auto"/>
            <w:noWrap/>
            <w:vAlign w:val="center"/>
            <w:hideMark/>
          </w:tcPr>
          <w:p w14:paraId="33EC66D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0.23</w:t>
            </w:r>
          </w:p>
        </w:tc>
      </w:tr>
      <w:tr w:rsidR="006041E2" w:rsidRPr="001F0BEA" w14:paraId="59B295E2" w14:textId="77777777" w:rsidTr="006041E2">
        <w:trPr>
          <w:trHeight w:val="310"/>
        </w:trPr>
        <w:tc>
          <w:tcPr>
            <w:tcW w:w="1052" w:type="dxa"/>
            <w:tcBorders>
              <w:top w:val="nil"/>
              <w:left w:val="nil"/>
              <w:bottom w:val="nil"/>
              <w:right w:val="nil"/>
            </w:tcBorders>
            <w:shd w:val="clear" w:color="auto" w:fill="auto"/>
            <w:noWrap/>
            <w:vAlign w:val="center"/>
            <w:hideMark/>
          </w:tcPr>
          <w:p w14:paraId="222E52B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βCD</w:t>
            </w:r>
          </w:p>
        </w:tc>
        <w:tc>
          <w:tcPr>
            <w:tcW w:w="755" w:type="dxa"/>
            <w:tcBorders>
              <w:top w:val="nil"/>
              <w:left w:val="nil"/>
              <w:bottom w:val="nil"/>
              <w:right w:val="nil"/>
            </w:tcBorders>
            <w:shd w:val="clear" w:color="auto" w:fill="auto"/>
            <w:noWrap/>
            <w:vAlign w:val="center"/>
            <w:hideMark/>
          </w:tcPr>
          <w:p w14:paraId="6628289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GGL</w:t>
            </w:r>
          </w:p>
        </w:tc>
        <w:tc>
          <w:tcPr>
            <w:tcW w:w="885" w:type="dxa"/>
            <w:tcBorders>
              <w:top w:val="nil"/>
              <w:left w:val="nil"/>
              <w:bottom w:val="nil"/>
              <w:right w:val="nil"/>
            </w:tcBorders>
            <w:shd w:val="clear" w:color="auto" w:fill="auto"/>
            <w:noWrap/>
            <w:vAlign w:val="center"/>
            <w:hideMark/>
          </w:tcPr>
          <w:p w14:paraId="2DAA419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10</w:t>
            </w:r>
          </w:p>
        </w:tc>
        <w:tc>
          <w:tcPr>
            <w:tcW w:w="767" w:type="dxa"/>
            <w:tcBorders>
              <w:top w:val="nil"/>
              <w:left w:val="nil"/>
              <w:bottom w:val="nil"/>
              <w:right w:val="nil"/>
            </w:tcBorders>
            <w:shd w:val="clear" w:color="auto" w:fill="auto"/>
            <w:noWrap/>
            <w:vAlign w:val="center"/>
            <w:hideMark/>
          </w:tcPr>
          <w:p w14:paraId="77A1EBD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1.20</w:t>
            </w:r>
          </w:p>
        </w:tc>
        <w:tc>
          <w:tcPr>
            <w:tcW w:w="768" w:type="dxa"/>
            <w:tcBorders>
              <w:top w:val="nil"/>
              <w:left w:val="nil"/>
              <w:bottom w:val="nil"/>
              <w:right w:val="nil"/>
            </w:tcBorders>
            <w:shd w:val="clear" w:color="auto" w:fill="auto"/>
            <w:noWrap/>
            <w:vAlign w:val="center"/>
            <w:hideMark/>
          </w:tcPr>
          <w:p w14:paraId="19E11EE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0.04</w:t>
            </w:r>
          </w:p>
        </w:tc>
        <w:tc>
          <w:tcPr>
            <w:tcW w:w="735" w:type="dxa"/>
            <w:tcBorders>
              <w:top w:val="nil"/>
              <w:left w:val="nil"/>
              <w:bottom w:val="nil"/>
              <w:right w:val="nil"/>
            </w:tcBorders>
            <w:shd w:val="clear" w:color="auto" w:fill="auto"/>
            <w:noWrap/>
            <w:vAlign w:val="center"/>
            <w:hideMark/>
          </w:tcPr>
          <w:p w14:paraId="6C6B333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53.18</w:t>
            </w:r>
          </w:p>
        </w:tc>
        <w:tc>
          <w:tcPr>
            <w:tcW w:w="571" w:type="dxa"/>
            <w:tcBorders>
              <w:top w:val="nil"/>
              <w:left w:val="nil"/>
              <w:bottom w:val="nil"/>
              <w:right w:val="nil"/>
            </w:tcBorders>
            <w:shd w:val="clear" w:color="auto" w:fill="auto"/>
            <w:noWrap/>
            <w:vAlign w:val="center"/>
            <w:hideMark/>
          </w:tcPr>
          <w:p w14:paraId="6797F69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846" w:type="dxa"/>
            <w:tcBorders>
              <w:top w:val="nil"/>
              <w:left w:val="nil"/>
              <w:bottom w:val="nil"/>
              <w:right w:val="nil"/>
            </w:tcBorders>
            <w:shd w:val="clear" w:color="auto" w:fill="auto"/>
            <w:noWrap/>
            <w:vAlign w:val="center"/>
            <w:hideMark/>
          </w:tcPr>
          <w:p w14:paraId="4BDC727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31F6CF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47.58</w:t>
            </w:r>
          </w:p>
        </w:tc>
        <w:tc>
          <w:tcPr>
            <w:tcW w:w="646" w:type="dxa"/>
            <w:tcBorders>
              <w:top w:val="nil"/>
              <w:left w:val="nil"/>
              <w:bottom w:val="nil"/>
              <w:right w:val="nil"/>
            </w:tcBorders>
            <w:shd w:val="clear" w:color="auto" w:fill="auto"/>
            <w:noWrap/>
            <w:vAlign w:val="center"/>
            <w:hideMark/>
          </w:tcPr>
          <w:p w14:paraId="47A3E24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733" w:type="dxa"/>
            <w:tcBorders>
              <w:top w:val="nil"/>
              <w:left w:val="nil"/>
              <w:bottom w:val="nil"/>
              <w:right w:val="nil"/>
            </w:tcBorders>
            <w:shd w:val="clear" w:color="auto" w:fill="auto"/>
            <w:noWrap/>
            <w:vAlign w:val="center"/>
            <w:hideMark/>
          </w:tcPr>
          <w:p w14:paraId="752C672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-39.66</w:t>
            </w:r>
          </w:p>
        </w:tc>
        <w:tc>
          <w:tcPr>
            <w:tcW w:w="665" w:type="dxa"/>
            <w:tcBorders>
              <w:top w:val="nil"/>
              <w:left w:val="nil"/>
              <w:bottom w:val="nil"/>
              <w:right w:val="nil"/>
            </w:tcBorders>
            <w:shd w:val="clear" w:color="auto" w:fill="auto"/>
            <w:noWrap/>
            <w:vAlign w:val="center"/>
            <w:hideMark/>
          </w:tcPr>
          <w:p w14:paraId="437E273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0.29</w:t>
            </w:r>
          </w:p>
        </w:tc>
      </w:tr>
      <w:tr w:rsidR="006041E2" w:rsidRPr="001F0BEA" w14:paraId="6AE5617E" w14:textId="77777777" w:rsidTr="006041E2">
        <w:trPr>
          <w:trHeight w:val="310"/>
        </w:trPr>
        <w:tc>
          <w:tcPr>
            <w:tcW w:w="1052" w:type="dxa"/>
            <w:tcBorders>
              <w:top w:val="nil"/>
              <w:left w:val="nil"/>
              <w:bottom w:val="nil"/>
              <w:right w:val="nil"/>
            </w:tcBorders>
            <w:shd w:val="clear" w:color="auto" w:fill="auto"/>
            <w:noWrap/>
            <w:vAlign w:val="center"/>
            <w:hideMark/>
          </w:tcPr>
          <w:p w14:paraId="332CEE7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γCD</w:t>
            </w:r>
          </w:p>
        </w:tc>
        <w:tc>
          <w:tcPr>
            <w:tcW w:w="755" w:type="dxa"/>
            <w:tcBorders>
              <w:top w:val="nil"/>
              <w:left w:val="nil"/>
              <w:bottom w:val="nil"/>
              <w:right w:val="nil"/>
            </w:tcBorders>
            <w:shd w:val="clear" w:color="auto" w:fill="auto"/>
            <w:noWrap/>
            <w:vAlign w:val="center"/>
            <w:hideMark/>
          </w:tcPr>
          <w:p w14:paraId="5DC4621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GACE</w:t>
            </w:r>
          </w:p>
        </w:tc>
        <w:tc>
          <w:tcPr>
            <w:tcW w:w="885" w:type="dxa"/>
            <w:tcBorders>
              <w:top w:val="nil"/>
              <w:left w:val="nil"/>
              <w:bottom w:val="nil"/>
              <w:right w:val="nil"/>
            </w:tcBorders>
            <w:shd w:val="clear" w:color="auto" w:fill="auto"/>
            <w:noWrap/>
            <w:vAlign w:val="center"/>
            <w:hideMark/>
          </w:tcPr>
          <w:p w14:paraId="51F485B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w:t>
            </w:r>
          </w:p>
        </w:tc>
        <w:tc>
          <w:tcPr>
            <w:tcW w:w="767" w:type="dxa"/>
            <w:tcBorders>
              <w:top w:val="nil"/>
              <w:left w:val="nil"/>
              <w:bottom w:val="nil"/>
              <w:right w:val="nil"/>
            </w:tcBorders>
            <w:shd w:val="clear" w:color="auto" w:fill="auto"/>
            <w:noWrap/>
            <w:vAlign w:val="center"/>
            <w:hideMark/>
          </w:tcPr>
          <w:p w14:paraId="2CBAAA8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0.82</w:t>
            </w:r>
          </w:p>
        </w:tc>
        <w:tc>
          <w:tcPr>
            <w:tcW w:w="768" w:type="dxa"/>
            <w:tcBorders>
              <w:top w:val="nil"/>
              <w:left w:val="nil"/>
              <w:bottom w:val="nil"/>
              <w:right w:val="nil"/>
            </w:tcBorders>
            <w:shd w:val="clear" w:color="auto" w:fill="auto"/>
            <w:noWrap/>
            <w:vAlign w:val="center"/>
            <w:hideMark/>
          </w:tcPr>
          <w:p w14:paraId="102BD55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0.04</w:t>
            </w:r>
          </w:p>
        </w:tc>
        <w:tc>
          <w:tcPr>
            <w:tcW w:w="735" w:type="dxa"/>
            <w:tcBorders>
              <w:top w:val="nil"/>
              <w:left w:val="nil"/>
              <w:bottom w:val="nil"/>
              <w:right w:val="nil"/>
            </w:tcBorders>
            <w:shd w:val="clear" w:color="auto" w:fill="auto"/>
            <w:noWrap/>
            <w:vAlign w:val="center"/>
            <w:hideMark/>
          </w:tcPr>
          <w:p w14:paraId="7CA4CA4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41.09</w:t>
            </w:r>
          </w:p>
        </w:tc>
        <w:tc>
          <w:tcPr>
            <w:tcW w:w="571" w:type="dxa"/>
            <w:tcBorders>
              <w:top w:val="nil"/>
              <w:left w:val="nil"/>
              <w:bottom w:val="nil"/>
              <w:right w:val="nil"/>
            </w:tcBorders>
            <w:shd w:val="clear" w:color="auto" w:fill="auto"/>
            <w:noWrap/>
            <w:vAlign w:val="center"/>
            <w:hideMark/>
          </w:tcPr>
          <w:p w14:paraId="58F0741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846" w:type="dxa"/>
            <w:tcBorders>
              <w:top w:val="nil"/>
              <w:left w:val="nil"/>
              <w:bottom w:val="nil"/>
              <w:right w:val="nil"/>
            </w:tcBorders>
            <w:shd w:val="clear" w:color="auto" w:fill="auto"/>
            <w:noWrap/>
            <w:vAlign w:val="center"/>
            <w:hideMark/>
          </w:tcPr>
          <w:p w14:paraId="1BA3351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5F392BF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35.11</w:t>
            </w:r>
          </w:p>
        </w:tc>
        <w:tc>
          <w:tcPr>
            <w:tcW w:w="646" w:type="dxa"/>
            <w:tcBorders>
              <w:top w:val="nil"/>
              <w:left w:val="nil"/>
              <w:bottom w:val="nil"/>
              <w:right w:val="nil"/>
            </w:tcBorders>
            <w:shd w:val="clear" w:color="auto" w:fill="auto"/>
            <w:noWrap/>
            <w:vAlign w:val="center"/>
            <w:hideMark/>
          </w:tcPr>
          <w:p w14:paraId="2F5896C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733" w:type="dxa"/>
            <w:tcBorders>
              <w:top w:val="nil"/>
              <w:left w:val="nil"/>
              <w:bottom w:val="nil"/>
              <w:right w:val="nil"/>
            </w:tcBorders>
            <w:shd w:val="clear" w:color="auto" w:fill="auto"/>
            <w:noWrap/>
            <w:vAlign w:val="center"/>
            <w:hideMark/>
          </w:tcPr>
          <w:p w14:paraId="749DD17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-21.92</w:t>
            </w:r>
          </w:p>
        </w:tc>
        <w:tc>
          <w:tcPr>
            <w:tcW w:w="665" w:type="dxa"/>
            <w:tcBorders>
              <w:top w:val="nil"/>
              <w:left w:val="nil"/>
              <w:bottom w:val="nil"/>
              <w:right w:val="nil"/>
            </w:tcBorders>
            <w:shd w:val="clear" w:color="auto" w:fill="auto"/>
            <w:noWrap/>
            <w:vAlign w:val="center"/>
            <w:hideMark/>
          </w:tcPr>
          <w:p w14:paraId="6578EB3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r>
      <w:tr w:rsidR="006041E2" w:rsidRPr="001F0BEA" w14:paraId="3F643964" w14:textId="77777777" w:rsidTr="006041E2">
        <w:trPr>
          <w:trHeight w:val="310"/>
        </w:trPr>
        <w:tc>
          <w:tcPr>
            <w:tcW w:w="1052" w:type="dxa"/>
            <w:tcBorders>
              <w:top w:val="nil"/>
              <w:left w:val="nil"/>
              <w:bottom w:val="nil"/>
              <w:right w:val="nil"/>
            </w:tcBorders>
            <w:shd w:val="clear" w:color="auto" w:fill="auto"/>
            <w:noWrap/>
            <w:vAlign w:val="center"/>
            <w:hideMark/>
          </w:tcPr>
          <w:p w14:paraId="7CDA12E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γCD</w:t>
            </w:r>
          </w:p>
        </w:tc>
        <w:tc>
          <w:tcPr>
            <w:tcW w:w="755" w:type="dxa"/>
            <w:tcBorders>
              <w:top w:val="nil"/>
              <w:left w:val="nil"/>
              <w:bottom w:val="nil"/>
              <w:right w:val="nil"/>
            </w:tcBorders>
            <w:shd w:val="clear" w:color="auto" w:fill="auto"/>
            <w:noWrap/>
            <w:vAlign w:val="center"/>
            <w:hideMark/>
          </w:tcPr>
          <w:p w14:paraId="5514637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NACE</w:t>
            </w:r>
          </w:p>
        </w:tc>
        <w:tc>
          <w:tcPr>
            <w:tcW w:w="885" w:type="dxa"/>
            <w:tcBorders>
              <w:top w:val="nil"/>
              <w:left w:val="nil"/>
              <w:bottom w:val="nil"/>
              <w:right w:val="nil"/>
            </w:tcBorders>
            <w:shd w:val="clear" w:color="auto" w:fill="auto"/>
            <w:noWrap/>
            <w:vAlign w:val="center"/>
            <w:hideMark/>
          </w:tcPr>
          <w:p w14:paraId="0A38989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Z-17</w:t>
            </w:r>
          </w:p>
        </w:tc>
        <w:tc>
          <w:tcPr>
            <w:tcW w:w="767" w:type="dxa"/>
            <w:tcBorders>
              <w:top w:val="nil"/>
              <w:left w:val="nil"/>
              <w:bottom w:val="nil"/>
              <w:right w:val="nil"/>
            </w:tcBorders>
            <w:shd w:val="clear" w:color="auto" w:fill="auto"/>
            <w:noWrap/>
            <w:vAlign w:val="center"/>
            <w:hideMark/>
          </w:tcPr>
          <w:p w14:paraId="3842697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0.69</w:t>
            </w:r>
          </w:p>
        </w:tc>
        <w:tc>
          <w:tcPr>
            <w:tcW w:w="768" w:type="dxa"/>
            <w:tcBorders>
              <w:top w:val="nil"/>
              <w:left w:val="nil"/>
              <w:bottom w:val="nil"/>
              <w:right w:val="nil"/>
            </w:tcBorders>
            <w:shd w:val="clear" w:color="auto" w:fill="auto"/>
            <w:noWrap/>
            <w:vAlign w:val="center"/>
            <w:hideMark/>
          </w:tcPr>
          <w:p w14:paraId="66D5C6A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5" w:type="dxa"/>
            <w:tcBorders>
              <w:top w:val="nil"/>
              <w:left w:val="nil"/>
              <w:bottom w:val="nil"/>
              <w:right w:val="nil"/>
            </w:tcBorders>
            <w:shd w:val="clear" w:color="auto" w:fill="auto"/>
            <w:noWrap/>
            <w:vAlign w:val="center"/>
            <w:hideMark/>
          </w:tcPr>
          <w:p w14:paraId="3234257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41.84</w:t>
            </w:r>
          </w:p>
        </w:tc>
        <w:tc>
          <w:tcPr>
            <w:tcW w:w="571" w:type="dxa"/>
            <w:tcBorders>
              <w:top w:val="nil"/>
              <w:left w:val="nil"/>
              <w:bottom w:val="nil"/>
              <w:right w:val="nil"/>
            </w:tcBorders>
            <w:shd w:val="clear" w:color="auto" w:fill="auto"/>
            <w:noWrap/>
            <w:vAlign w:val="center"/>
            <w:hideMark/>
          </w:tcPr>
          <w:p w14:paraId="158DB2F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0.16</w:t>
            </w:r>
          </w:p>
        </w:tc>
        <w:tc>
          <w:tcPr>
            <w:tcW w:w="846" w:type="dxa"/>
            <w:tcBorders>
              <w:top w:val="nil"/>
              <w:left w:val="nil"/>
              <w:bottom w:val="nil"/>
              <w:right w:val="nil"/>
            </w:tcBorders>
            <w:shd w:val="clear" w:color="auto" w:fill="auto"/>
            <w:noWrap/>
            <w:vAlign w:val="center"/>
            <w:hideMark/>
          </w:tcPr>
          <w:p w14:paraId="7817E08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470CC43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35.73</w:t>
            </w:r>
          </w:p>
        </w:tc>
        <w:tc>
          <w:tcPr>
            <w:tcW w:w="646" w:type="dxa"/>
            <w:tcBorders>
              <w:top w:val="nil"/>
              <w:left w:val="nil"/>
              <w:bottom w:val="nil"/>
              <w:right w:val="nil"/>
            </w:tcBorders>
            <w:shd w:val="clear" w:color="auto" w:fill="auto"/>
            <w:noWrap/>
            <w:vAlign w:val="center"/>
            <w:hideMark/>
          </w:tcPr>
          <w:p w14:paraId="4FCFC4C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0.16</w:t>
            </w:r>
          </w:p>
        </w:tc>
        <w:tc>
          <w:tcPr>
            <w:tcW w:w="733" w:type="dxa"/>
            <w:tcBorders>
              <w:top w:val="nil"/>
              <w:left w:val="nil"/>
              <w:bottom w:val="nil"/>
              <w:right w:val="nil"/>
            </w:tcBorders>
            <w:shd w:val="clear" w:color="auto" w:fill="auto"/>
            <w:noWrap/>
            <w:vAlign w:val="center"/>
            <w:hideMark/>
          </w:tcPr>
          <w:p w14:paraId="70BDB20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-22.73</w:t>
            </w:r>
          </w:p>
        </w:tc>
        <w:tc>
          <w:tcPr>
            <w:tcW w:w="665" w:type="dxa"/>
            <w:tcBorders>
              <w:top w:val="nil"/>
              <w:left w:val="nil"/>
              <w:bottom w:val="nil"/>
              <w:right w:val="nil"/>
            </w:tcBorders>
            <w:shd w:val="clear" w:color="auto" w:fill="auto"/>
            <w:noWrap/>
            <w:vAlign w:val="center"/>
            <w:hideMark/>
          </w:tcPr>
          <w:p w14:paraId="3862BFC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0.20</w:t>
            </w:r>
          </w:p>
        </w:tc>
      </w:tr>
      <w:tr w:rsidR="006041E2" w:rsidRPr="001F0BEA" w14:paraId="4F5DA101" w14:textId="77777777" w:rsidTr="006041E2">
        <w:trPr>
          <w:trHeight w:val="310"/>
        </w:trPr>
        <w:tc>
          <w:tcPr>
            <w:tcW w:w="1052" w:type="dxa"/>
            <w:tcBorders>
              <w:top w:val="nil"/>
              <w:left w:val="nil"/>
              <w:bottom w:val="nil"/>
              <w:right w:val="nil"/>
            </w:tcBorders>
            <w:shd w:val="clear" w:color="auto" w:fill="auto"/>
            <w:noWrap/>
            <w:vAlign w:val="center"/>
            <w:hideMark/>
          </w:tcPr>
          <w:p w14:paraId="02FA941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γCD</w:t>
            </w:r>
          </w:p>
        </w:tc>
        <w:tc>
          <w:tcPr>
            <w:tcW w:w="755" w:type="dxa"/>
            <w:tcBorders>
              <w:top w:val="nil"/>
              <w:left w:val="nil"/>
              <w:bottom w:val="nil"/>
              <w:right w:val="nil"/>
            </w:tcBorders>
            <w:shd w:val="clear" w:color="auto" w:fill="auto"/>
            <w:noWrap/>
            <w:vAlign w:val="center"/>
            <w:hideMark/>
          </w:tcPr>
          <w:p w14:paraId="620FD2E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AMB</w:t>
            </w:r>
          </w:p>
        </w:tc>
        <w:tc>
          <w:tcPr>
            <w:tcW w:w="885" w:type="dxa"/>
            <w:tcBorders>
              <w:top w:val="nil"/>
              <w:left w:val="nil"/>
              <w:bottom w:val="nil"/>
              <w:right w:val="nil"/>
            </w:tcBorders>
            <w:shd w:val="clear" w:color="auto" w:fill="auto"/>
            <w:noWrap/>
            <w:vAlign w:val="center"/>
            <w:hideMark/>
          </w:tcPr>
          <w:p w14:paraId="141AC9A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w:t>
            </w:r>
          </w:p>
        </w:tc>
        <w:tc>
          <w:tcPr>
            <w:tcW w:w="767" w:type="dxa"/>
            <w:tcBorders>
              <w:top w:val="nil"/>
              <w:left w:val="nil"/>
              <w:bottom w:val="nil"/>
              <w:right w:val="nil"/>
            </w:tcBorders>
            <w:shd w:val="clear" w:color="auto" w:fill="auto"/>
            <w:noWrap/>
            <w:vAlign w:val="center"/>
            <w:hideMark/>
          </w:tcPr>
          <w:p w14:paraId="62B5EA9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0.27</w:t>
            </w:r>
          </w:p>
        </w:tc>
        <w:tc>
          <w:tcPr>
            <w:tcW w:w="768" w:type="dxa"/>
            <w:tcBorders>
              <w:top w:val="nil"/>
              <w:left w:val="nil"/>
              <w:bottom w:val="nil"/>
              <w:right w:val="nil"/>
            </w:tcBorders>
            <w:shd w:val="clear" w:color="auto" w:fill="auto"/>
            <w:noWrap/>
            <w:vAlign w:val="center"/>
            <w:hideMark/>
          </w:tcPr>
          <w:p w14:paraId="77F4CF0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0.00</w:t>
            </w:r>
          </w:p>
        </w:tc>
        <w:tc>
          <w:tcPr>
            <w:tcW w:w="735" w:type="dxa"/>
            <w:tcBorders>
              <w:top w:val="nil"/>
              <w:left w:val="nil"/>
              <w:bottom w:val="nil"/>
              <w:right w:val="nil"/>
            </w:tcBorders>
            <w:shd w:val="clear" w:color="auto" w:fill="auto"/>
            <w:noWrap/>
            <w:vAlign w:val="center"/>
            <w:hideMark/>
          </w:tcPr>
          <w:p w14:paraId="05B6761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53.73</w:t>
            </w:r>
          </w:p>
        </w:tc>
        <w:tc>
          <w:tcPr>
            <w:tcW w:w="571" w:type="dxa"/>
            <w:tcBorders>
              <w:top w:val="nil"/>
              <w:left w:val="nil"/>
              <w:bottom w:val="nil"/>
              <w:right w:val="nil"/>
            </w:tcBorders>
            <w:shd w:val="clear" w:color="auto" w:fill="auto"/>
            <w:noWrap/>
            <w:vAlign w:val="center"/>
            <w:hideMark/>
          </w:tcPr>
          <w:p w14:paraId="43DE101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846" w:type="dxa"/>
            <w:tcBorders>
              <w:top w:val="nil"/>
              <w:left w:val="nil"/>
              <w:bottom w:val="nil"/>
              <w:right w:val="nil"/>
            </w:tcBorders>
            <w:shd w:val="clear" w:color="auto" w:fill="auto"/>
            <w:noWrap/>
            <w:vAlign w:val="center"/>
            <w:hideMark/>
          </w:tcPr>
          <w:p w14:paraId="391B851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FCCA0A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47.19</w:t>
            </w:r>
          </w:p>
        </w:tc>
        <w:tc>
          <w:tcPr>
            <w:tcW w:w="646" w:type="dxa"/>
            <w:tcBorders>
              <w:top w:val="nil"/>
              <w:left w:val="nil"/>
              <w:bottom w:val="nil"/>
              <w:right w:val="nil"/>
            </w:tcBorders>
            <w:shd w:val="clear" w:color="auto" w:fill="auto"/>
            <w:noWrap/>
            <w:vAlign w:val="center"/>
            <w:hideMark/>
          </w:tcPr>
          <w:p w14:paraId="183D4CA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733" w:type="dxa"/>
            <w:tcBorders>
              <w:top w:val="nil"/>
              <w:left w:val="nil"/>
              <w:bottom w:val="nil"/>
              <w:right w:val="nil"/>
            </w:tcBorders>
            <w:shd w:val="clear" w:color="auto" w:fill="auto"/>
            <w:noWrap/>
            <w:vAlign w:val="center"/>
            <w:hideMark/>
          </w:tcPr>
          <w:p w14:paraId="02B2EF9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-35.15</w:t>
            </w:r>
          </w:p>
        </w:tc>
        <w:tc>
          <w:tcPr>
            <w:tcW w:w="665" w:type="dxa"/>
            <w:tcBorders>
              <w:top w:val="nil"/>
              <w:left w:val="nil"/>
              <w:bottom w:val="nil"/>
              <w:right w:val="nil"/>
            </w:tcBorders>
            <w:shd w:val="clear" w:color="auto" w:fill="auto"/>
            <w:noWrap/>
            <w:vAlign w:val="center"/>
            <w:hideMark/>
          </w:tcPr>
          <w:p w14:paraId="259E924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0.22</w:t>
            </w:r>
          </w:p>
        </w:tc>
      </w:tr>
      <w:tr w:rsidR="006041E2" w:rsidRPr="001F0BEA" w14:paraId="5D3FB4F5" w14:textId="77777777" w:rsidTr="006041E2">
        <w:trPr>
          <w:trHeight w:val="310"/>
        </w:trPr>
        <w:tc>
          <w:tcPr>
            <w:tcW w:w="1052" w:type="dxa"/>
            <w:tcBorders>
              <w:top w:val="nil"/>
              <w:left w:val="nil"/>
              <w:bottom w:val="single" w:sz="4" w:space="0" w:color="auto"/>
              <w:right w:val="nil"/>
            </w:tcBorders>
            <w:shd w:val="clear" w:color="auto" w:fill="auto"/>
            <w:noWrap/>
            <w:vAlign w:val="center"/>
            <w:hideMark/>
          </w:tcPr>
          <w:p w14:paraId="55F6889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γCD</w:t>
            </w:r>
          </w:p>
        </w:tc>
        <w:tc>
          <w:tcPr>
            <w:tcW w:w="755" w:type="dxa"/>
            <w:tcBorders>
              <w:top w:val="nil"/>
              <w:left w:val="nil"/>
              <w:bottom w:val="single" w:sz="4" w:space="0" w:color="auto"/>
              <w:right w:val="nil"/>
            </w:tcBorders>
            <w:shd w:val="clear" w:color="auto" w:fill="auto"/>
            <w:noWrap/>
            <w:vAlign w:val="center"/>
            <w:hideMark/>
          </w:tcPr>
          <w:p w14:paraId="6DE2F1E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HFL</w:t>
            </w:r>
          </w:p>
        </w:tc>
        <w:tc>
          <w:tcPr>
            <w:tcW w:w="885" w:type="dxa"/>
            <w:tcBorders>
              <w:top w:val="nil"/>
              <w:left w:val="nil"/>
              <w:bottom w:val="single" w:sz="4" w:space="0" w:color="auto"/>
              <w:right w:val="nil"/>
            </w:tcBorders>
            <w:shd w:val="clear" w:color="auto" w:fill="auto"/>
            <w:noWrap/>
            <w:vAlign w:val="center"/>
            <w:hideMark/>
          </w:tcPr>
          <w:p w14:paraId="36671E1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27</w:t>
            </w:r>
          </w:p>
        </w:tc>
        <w:tc>
          <w:tcPr>
            <w:tcW w:w="767" w:type="dxa"/>
            <w:tcBorders>
              <w:top w:val="nil"/>
              <w:left w:val="nil"/>
              <w:bottom w:val="single" w:sz="4" w:space="0" w:color="auto"/>
              <w:right w:val="nil"/>
            </w:tcBorders>
            <w:shd w:val="clear" w:color="auto" w:fill="auto"/>
            <w:noWrap/>
            <w:vAlign w:val="center"/>
            <w:hideMark/>
          </w:tcPr>
          <w:p w14:paraId="2CF9EC8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1.01</w:t>
            </w:r>
          </w:p>
        </w:tc>
        <w:tc>
          <w:tcPr>
            <w:tcW w:w="768" w:type="dxa"/>
            <w:tcBorders>
              <w:top w:val="nil"/>
              <w:left w:val="nil"/>
              <w:bottom w:val="single" w:sz="4" w:space="0" w:color="auto"/>
              <w:right w:val="nil"/>
            </w:tcBorders>
            <w:shd w:val="clear" w:color="auto" w:fill="auto"/>
            <w:noWrap/>
            <w:vAlign w:val="center"/>
            <w:hideMark/>
          </w:tcPr>
          <w:p w14:paraId="0AF3321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0.03</w:t>
            </w:r>
          </w:p>
        </w:tc>
        <w:tc>
          <w:tcPr>
            <w:tcW w:w="735" w:type="dxa"/>
            <w:tcBorders>
              <w:top w:val="nil"/>
              <w:left w:val="nil"/>
              <w:bottom w:val="single" w:sz="4" w:space="0" w:color="auto"/>
              <w:right w:val="nil"/>
            </w:tcBorders>
            <w:shd w:val="clear" w:color="auto" w:fill="auto"/>
            <w:noWrap/>
            <w:vAlign w:val="center"/>
            <w:hideMark/>
          </w:tcPr>
          <w:p w14:paraId="2ED631D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45.89</w:t>
            </w:r>
          </w:p>
        </w:tc>
        <w:tc>
          <w:tcPr>
            <w:tcW w:w="571" w:type="dxa"/>
            <w:tcBorders>
              <w:top w:val="nil"/>
              <w:left w:val="nil"/>
              <w:bottom w:val="single" w:sz="4" w:space="0" w:color="auto"/>
              <w:right w:val="nil"/>
            </w:tcBorders>
            <w:shd w:val="clear" w:color="auto" w:fill="auto"/>
            <w:noWrap/>
            <w:vAlign w:val="center"/>
            <w:hideMark/>
          </w:tcPr>
          <w:p w14:paraId="6A41EA0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c>
          <w:tcPr>
            <w:tcW w:w="846" w:type="dxa"/>
            <w:tcBorders>
              <w:top w:val="nil"/>
              <w:left w:val="nil"/>
              <w:bottom w:val="single" w:sz="4" w:space="0" w:color="auto"/>
              <w:right w:val="nil"/>
            </w:tcBorders>
            <w:shd w:val="clear" w:color="auto" w:fill="auto"/>
            <w:noWrap/>
            <w:vAlign w:val="center"/>
            <w:hideMark/>
          </w:tcPr>
          <w:p w14:paraId="7DBB025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single" w:sz="4" w:space="0" w:color="auto"/>
              <w:right w:val="nil"/>
            </w:tcBorders>
            <w:shd w:val="clear" w:color="auto" w:fill="auto"/>
            <w:noWrap/>
            <w:vAlign w:val="center"/>
            <w:hideMark/>
          </w:tcPr>
          <w:p w14:paraId="0A56164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40.10</w:t>
            </w:r>
          </w:p>
        </w:tc>
        <w:tc>
          <w:tcPr>
            <w:tcW w:w="646" w:type="dxa"/>
            <w:tcBorders>
              <w:top w:val="nil"/>
              <w:left w:val="nil"/>
              <w:bottom w:val="single" w:sz="4" w:space="0" w:color="auto"/>
              <w:right w:val="nil"/>
            </w:tcBorders>
            <w:shd w:val="clear" w:color="auto" w:fill="auto"/>
            <w:noWrap/>
            <w:vAlign w:val="center"/>
            <w:hideMark/>
          </w:tcPr>
          <w:p w14:paraId="23A27F7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c>
          <w:tcPr>
            <w:tcW w:w="733" w:type="dxa"/>
            <w:tcBorders>
              <w:top w:val="nil"/>
              <w:left w:val="nil"/>
              <w:bottom w:val="single" w:sz="4" w:space="0" w:color="auto"/>
              <w:right w:val="nil"/>
            </w:tcBorders>
            <w:shd w:val="clear" w:color="auto" w:fill="auto"/>
            <w:noWrap/>
            <w:vAlign w:val="center"/>
            <w:hideMark/>
          </w:tcPr>
          <w:p w14:paraId="2C01870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-30.63</w:t>
            </w:r>
          </w:p>
        </w:tc>
        <w:tc>
          <w:tcPr>
            <w:tcW w:w="665" w:type="dxa"/>
            <w:tcBorders>
              <w:top w:val="nil"/>
              <w:left w:val="nil"/>
              <w:bottom w:val="single" w:sz="4" w:space="0" w:color="auto"/>
              <w:right w:val="nil"/>
            </w:tcBorders>
            <w:shd w:val="clear" w:color="auto" w:fill="auto"/>
            <w:noWrap/>
            <w:vAlign w:val="center"/>
            <w:hideMark/>
          </w:tcPr>
          <w:p w14:paraId="51A5B5E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0.24</w:t>
            </w:r>
          </w:p>
        </w:tc>
      </w:tr>
      <w:tr w:rsidR="006041E2" w:rsidRPr="001F0BEA" w14:paraId="15256ABF" w14:textId="77777777" w:rsidTr="006041E2">
        <w:trPr>
          <w:trHeight w:val="310"/>
        </w:trPr>
        <w:tc>
          <w:tcPr>
            <w:tcW w:w="1052" w:type="dxa"/>
            <w:tcBorders>
              <w:top w:val="nil"/>
              <w:left w:val="nil"/>
              <w:bottom w:val="nil"/>
              <w:right w:val="nil"/>
            </w:tcBorders>
            <w:shd w:val="clear" w:color="auto" w:fill="auto"/>
            <w:noWrap/>
            <w:vAlign w:val="center"/>
            <w:hideMark/>
          </w:tcPr>
          <w:p w14:paraId="700DFFA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2HP-αCD</w:t>
            </w:r>
          </w:p>
        </w:tc>
        <w:tc>
          <w:tcPr>
            <w:tcW w:w="755" w:type="dxa"/>
            <w:tcBorders>
              <w:top w:val="nil"/>
              <w:left w:val="nil"/>
              <w:bottom w:val="nil"/>
              <w:right w:val="nil"/>
            </w:tcBorders>
            <w:shd w:val="clear" w:color="auto" w:fill="auto"/>
            <w:noWrap/>
            <w:vAlign w:val="center"/>
            <w:hideMark/>
          </w:tcPr>
          <w:p w14:paraId="6414C18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GACE</w:t>
            </w:r>
          </w:p>
        </w:tc>
        <w:tc>
          <w:tcPr>
            <w:tcW w:w="885" w:type="dxa"/>
            <w:tcBorders>
              <w:top w:val="nil"/>
              <w:left w:val="nil"/>
              <w:bottom w:val="nil"/>
              <w:right w:val="nil"/>
            </w:tcBorders>
            <w:shd w:val="clear" w:color="auto" w:fill="auto"/>
            <w:noWrap/>
            <w:vAlign w:val="center"/>
            <w:hideMark/>
          </w:tcPr>
          <w:p w14:paraId="0B50D2E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w:t>
            </w:r>
          </w:p>
        </w:tc>
        <w:tc>
          <w:tcPr>
            <w:tcW w:w="767" w:type="dxa"/>
            <w:tcBorders>
              <w:top w:val="nil"/>
              <w:left w:val="nil"/>
              <w:bottom w:val="nil"/>
              <w:right w:val="nil"/>
            </w:tcBorders>
            <w:shd w:val="clear" w:color="auto" w:fill="auto"/>
            <w:noWrap/>
            <w:vAlign w:val="center"/>
            <w:hideMark/>
          </w:tcPr>
          <w:p w14:paraId="36B6A0C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2.30</w:t>
            </w:r>
          </w:p>
        </w:tc>
        <w:tc>
          <w:tcPr>
            <w:tcW w:w="768" w:type="dxa"/>
            <w:tcBorders>
              <w:top w:val="nil"/>
              <w:left w:val="nil"/>
              <w:bottom w:val="nil"/>
              <w:right w:val="nil"/>
            </w:tcBorders>
            <w:shd w:val="clear" w:color="auto" w:fill="auto"/>
            <w:noWrap/>
            <w:vAlign w:val="center"/>
            <w:hideMark/>
          </w:tcPr>
          <w:p w14:paraId="174213F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0.06</w:t>
            </w:r>
          </w:p>
        </w:tc>
        <w:tc>
          <w:tcPr>
            <w:tcW w:w="735" w:type="dxa"/>
            <w:tcBorders>
              <w:top w:val="nil"/>
              <w:left w:val="nil"/>
              <w:bottom w:val="nil"/>
              <w:right w:val="nil"/>
            </w:tcBorders>
            <w:shd w:val="clear" w:color="auto" w:fill="auto"/>
            <w:noWrap/>
            <w:vAlign w:val="center"/>
            <w:hideMark/>
          </w:tcPr>
          <w:p w14:paraId="5D0483E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46.40</w:t>
            </w:r>
          </w:p>
        </w:tc>
        <w:tc>
          <w:tcPr>
            <w:tcW w:w="571" w:type="dxa"/>
            <w:tcBorders>
              <w:top w:val="nil"/>
              <w:left w:val="nil"/>
              <w:bottom w:val="nil"/>
              <w:right w:val="nil"/>
            </w:tcBorders>
            <w:shd w:val="clear" w:color="auto" w:fill="auto"/>
            <w:noWrap/>
            <w:vAlign w:val="center"/>
            <w:hideMark/>
          </w:tcPr>
          <w:p w14:paraId="1145365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0.27</w:t>
            </w:r>
          </w:p>
        </w:tc>
        <w:tc>
          <w:tcPr>
            <w:tcW w:w="846" w:type="dxa"/>
            <w:tcBorders>
              <w:top w:val="nil"/>
              <w:left w:val="nil"/>
              <w:bottom w:val="nil"/>
              <w:right w:val="nil"/>
            </w:tcBorders>
            <w:shd w:val="clear" w:color="auto" w:fill="auto"/>
            <w:noWrap/>
            <w:vAlign w:val="center"/>
            <w:hideMark/>
          </w:tcPr>
          <w:p w14:paraId="2741B5D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1EEAC37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41.90</w:t>
            </w:r>
          </w:p>
        </w:tc>
        <w:tc>
          <w:tcPr>
            <w:tcW w:w="646" w:type="dxa"/>
            <w:tcBorders>
              <w:top w:val="nil"/>
              <w:left w:val="nil"/>
              <w:bottom w:val="nil"/>
              <w:right w:val="nil"/>
            </w:tcBorders>
            <w:shd w:val="clear" w:color="auto" w:fill="auto"/>
            <w:noWrap/>
            <w:vAlign w:val="center"/>
            <w:hideMark/>
          </w:tcPr>
          <w:p w14:paraId="2F59807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0.27</w:t>
            </w:r>
          </w:p>
        </w:tc>
        <w:tc>
          <w:tcPr>
            <w:tcW w:w="733" w:type="dxa"/>
            <w:tcBorders>
              <w:top w:val="nil"/>
              <w:left w:val="nil"/>
              <w:bottom w:val="nil"/>
              <w:right w:val="nil"/>
            </w:tcBorders>
            <w:shd w:val="clear" w:color="auto" w:fill="auto"/>
            <w:noWrap/>
            <w:vAlign w:val="center"/>
            <w:hideMark/>
          </w:tcPr>
          <w:p w14:paraId="17A19BE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-28.71</w:t>
            </w:r>
          </w:p>
        </w:tc>
        <w:tc>
          <w:tcPr>
            <w:tcW w:w="665" w:type="dxa"/>
            <w:tcBorders>
              <w:top w:val="nil"/>
              <w:left w:val="nil"/>
              <w:bottom w:val="nil"/>
              <w:right w:val="nil"/>
            </w:tcBorders>
            <w:shd w:val="clear" w:color="auto" w:fill="auto"/>
            <w:noWrap/>
            <w:vAlign w:val="center"/>
            <w:hideMark/>
          </w:tcPr>
          <w:p w14:paraId="2DE7153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0.29</w:t>
            </w:r>
          </w:p>
        </w:tc>
      </w:tr>
      <w:tr w:rsidR="006041E2" w:rsidRPr="001F0BEA" w14:paraId="07AEC7B5" w14:textId="77777777" w:rsidTr="006041E2">
        <w:trPr>
          <w:trHeight w:val="310"/>
        </w:trPr>
        <w:tc>
          <w:tcPr>
            <w:tcW w:w="1052" w:type="dxa"/>
            <w:tcBorders>
              <w:top w:val="nil"/>
              <w:left w:val="nil"/>
              <w:bottom w:val="nil"/>
              <w:right w:val="nil"/>
            </w:tcBorders>
            <w:shd w:val="clear" w:color="auto" w:fill="auto"/>
            <w:noWrap/>
            <w:vAlign w:val="center"/>
            <w:hideMark/>
          </w:tcPr>
          <w:p w14:paraId="577CE8B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2HP-αCD</w:t>
            </w:r>
          </w:p>
        </w:tc>
        <w:tc>
          <w:tcPr>
            <w:tcW w:w="755" w:type="dxa"/>
            <w:tcBorders>
              <w:top w:val="nil"/>
              <w:left w:val="nil"/>
              <w:bottom w:val="nil"/>
              <w:right w:val="nil"/>
            </w:tcBorders>
            <w:shd w:val="clear" w:color="auto" w:fill="auto"/>
            <w:noWrap/>
            <w:vAlign w:val="center"/>
            <w:hideMark/>
          </w:tcPr>
          <w:p w14:paraId="6DF8B1A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NACE</w:t>
            </w:r>
          </w:p>
        </w:tc>
        <w:tc>
          <w:tcPr>
            <w:tcW w:w="885" w:type="dxa"/>
            <w:tcBorders>
              <w:top w:val="nil"/>
              <w:left w:val="nil"/>
              <w:bottom w:val="nil"/>
              <w:right w:val="nil"/>
            </w:tcBorders>
            <w:shd w:val="clear" w:color="auto" w:fill="auto"/>
            <w:noWrap/>
            <w:vAlign w:val="center"/>
            <w:hideMark/>
          </w:tcPr>
          <w:p w14:paraId="78C5746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Z-17</w:t>
            </w:r>
          </w:p>
        </w:tc>
        <w:tc>
          <w:tcPr>
            <w:tcW w:w="767" w:type="dxa"/>
            <w:tcBorders>
              <w:top w:val="nil"/>
              <w:left w:val="nil"/>
              <w:bottom w:val="nil"/>
              <w:right w:val="nil"/>
            </w:tcBorders>
            <w:shd w:val="clear" w:color="auto" w:fill="auto"/>
            <w:noWrap/>
            <w:vAlign w:val="center"/>
            <w:hideMark/>
          </w:tcPr>
          <w:p w14:paraId="4A1011C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1.79</w:t>
            </w:r>
          </w:p>
        </w:tc>
        <w:tc>
          <w:tcPr>
            <w:tcW w:w="768" w:type="dxa"/>
            <w:tcBorders>
              <w:top w:val="nil"/>
              <w:left w:val="nil"/>
              <w:bottom w:val="nil"/>
              <w:right w:val="nil"/>
            </w:tcBorders>
            <w:shd w:val="clear" w:color="auto" w:fill="auto"/>
            <w:noWrap/>
            <w:vAlign w:val="center"/>
            <w:hideMark/>
          </w:tcPr>
          <w:p w14:paraId="6587B2B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0.06</w:t>
            </w:r>
          </w:p>
        </w:tc>
        <w:tc>
          <w:tcPr>
            <w:tcW w:w="735" w:type="dxa"/>
            <w:tcBorders>
              <w:top w:val="nil"/>
              <w:left w:val="nil"/>
              <w:bottom w:val="nil"/>
              <w:right w:val="nil"/>
            </w:tcBorders>
            <w:shd w:val="clear" w:color="auto" w:fill="auto"/>
            <w:noWrap/>
            <w:vAlign w:val="center"/>
            <w:hideMark/>
          </w:tcPr>
          <w:p w14:paraId="21E0477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43.66</w:t>
            </w:r>
          </w:p>
        </w:tc>
        <w:tc>
          <w:tcPr>
            <w:tcW w:w="571" w:type="dxa"/>
            <w:tcBorders>
              <w:top w:val="nil"/>
              <w:left w:val="nil"/>
              <w:bottom w:val="nil"/>
              <w:right w:val="nil"/>
            </w:tcBorders>
            <w:shd w:val="clear" w:color="auto" w:fill="auto"/>
            <w:noWrap/>
            <w:vAlign w:val="center"/>
            <w:hideMark/>
          </w:tcPr>
          <w:p w14:paraId="3422550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0.32</w:t>
            </w:r>
          </w:p>
        </w:tc>
        <w:tc>
          <w:tcPr>
            <w:tcW w:w="846" w:type="dxa"/>
            <w:tcBorders>
              <w:top w:val="nil"/>
              <w:left w:val="nil"/>
              <w:bottom w:val="nil"/>
              <w:right w:val="nil"/>
            </w:tcBorders>
            <w:shd w:val="clear" w:color="auto" w:fill="auto"/>
            <w:noWrap/>
            <w:vAlign w:val="center"/>
            <w:hideMark/>
          </w:tcPr>
          <w:p w14:paraId="2425D61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5A93590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38.65</w:t>
            </w:r>
          </w:p>
        </w:tc>
        <w:tc>
          <w:tcPr>
            <w:tcW w:w="646" w:type="dxa"/>
            <w:tcBorders>
              <w:top w:val="nil"/>
              <w:left w:val="nil"/>
              <w:bottom w:val="nil"/>
              <w:right w:val="nil"/>
            </w:tcBorders>
            <w:shd w:val="clear" w:color="auto" w:fill="auto"/>
            <w:noWrap/>
            <w:vAlign w:val="center"/>
            <w:hideMark/>
          </w:tcPr>
          <w:p w14:paraId="61CAE9C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0.32</w:t>
            </w:r>
          </w:p>
        </w:tc>
        <w:tc>
          <w:tcPr>
            <w:tcW w:w="733" w:type="dxa"/>
            <w:tcBorders>
              <w:top w:val="nil"/>
              <w:left w:val="nil"/>
              <w:bottom w:val="nil"/>
              <w:right w:val="nil"/>
            </w:tcBorders>
            <w:shd w:val="clear" w:color="auto" w:fill="auto"/>
            <w:noWrap/>
            <w:vAlign w:val="center"/>
            <w:hideMark/>
          </w:tcPr>
          <w:p w14:paraId="40779D1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-25.65</w:t>
            </w:r>
          </w:p>
        </w:tc>
        <w:tc>
          <w:tcPr>
            <w:tcW w:w="665" w:type="dxa"/>
            <w:tcBorders>
              <w:top w:val="nil"/>
              <w:left w:val="nil"/>
              <w:bottom w:val="nil"/>
              <w:right w:val="nil"/>
            </w:tcBorders>
            <w:shd w:val="clear" w:color="auto" w:fill="auto"/>
            <w:noWrap/>
            <w:vAlign w:val="center"/>
            <w:hideMark/>
          </w:tcPr>
          <w:p w14:paraId="47D313E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0.34</w:t>
            </w:r>
          </w:p>
        </w:tc>
      </w:tr>
      <w:tr w:rsidR="006041E2" w:rsidRPr="001F0BEA" w14:paraId="0FA243A2" w14:textId="77777777" w:rsidTr="006041E2">
        <w:trPr>
          <w:trHeight w:val="310"/>
        </w:trPr>
        <w:tc>
          <w:tcPr>
            <w:tcW w:w="1052" w:type="dxa"/>
            <w:tcBorders>
              <w:top w:val="nil"/>
              <w:left w:val="nil"/>
              <w:bottom w:val="nil"/>
              <w:right w:val="nil"/>
            </w:tcBorders>
            <w:shd w:val="clear" w:color="auto" w:fill="auto"/>
            <w:noWrap/>
            <w:vAlign w:val="center"/>
            <w:hideMark/>
          </w:tcPr>
          <w:p w14:paraId="57300ED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2HP-αCD</w:t>
            </w:r>
          </w:p>
        </w:tc>
        <w:tc>
          <w:tcPr>
            <w:tcW w:w="755" w:type="dxa"/>
            <w:tcBorders>
              <w:top w:val="nil"/>
              <w:left w:val="nil"/>
              <w:bottom w:val="nil"/>
              <w:right w:val="nil"/>
            </w:tcBorders>
            <w:shd w:val="clear" w:color="auto" w:fill="auto"/>
            <w:noWrap/>
            <w:vAlign w:val="center"/>
            <w:hideMark/>
          </w:tcPr>
          <w:p w14:paraId="69B7499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AMB</w:t>
            </w:r>
          </w:p>
        </w:tc>
        <w:tc>
          <w:tcPr>
            <w:tcW w:w="885" w:type="dxa"/>
            <w:tcBorders>
              <w:top w:val="nil"/>
              <w:left w:val="nil"/>
              <w:bottom w:val="nil"/>
              <w:right w:val="nil"/>
            </w:tcBorders>
            <w:shd w:val="clear" w:color="auto" w:fill="auto"/>
            <w:noWrap/>
            <w:vAlign w:val="center"/>
            <w:hideMark/>
          </w:tcPr>
          <w:p w14:paraId="37900C9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w:t>
            </w:r>
          </w:p>
        </w:tc>
        <w:tc>
          <w:tcPr>
            <w:tcW w:w="767" w:type="dxa"/>
            <w:tcBorders>
              <w:top w:val="nil"/>
              <w:left w:val="nil"/>
              <w:bottom w:val="nil"/>
              <w:right w:val="nil"/>
            </w:tcBorders>
            <w:shd w:val="clear" w:color="auto" w:fill="auto"/>
            <w:noWrap/>
            <w:vAlign w:val="center"/>
            <w:hideMark/>
          </w:tcPr>
          <w:p w14:paraId="2C40B13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47.32</w:t>
            </w:r>
          </w:p>
        </w:tc>
        <w:tc>
          <w:tcPr>
            <w:tcW w:w="768" w:type="dxa"/>
            <w:tcBorders>
              <w:top w:val="nil"/>
              <w:left w:val="nil"/>
              <w:bottom w:val="nil"/>
              <w:right w:val="nil"/>
            </w:tcBorders>
            <w:shd w:val="clear" w:color="auto" w:fill="auto"/>
            <w:noWrap/>
            <w:vAlign w:val="center"/>
            <w:hideMark/>
          </w:tcPr>
          <w:p w14:paraId="48DA433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0.03</w:t>
            </w:r>
          </w:p>
        </w:tc>
        <w:tc>
          <w:tcPr>
            <w:tcW w:w="735" w:type="dxa"/>
            <w:tcBorders>
              <w:top w:val="nil"/>
              <w:left w:val="nil"/>
              <w:bottom w:val="nil"/>
              <w:right w:val="nil"/>
            </w:tcBorders>
            <w:shd w:val="clear" w:color="auto" w:fill="auto"/>
            <w:noWrap/>
            <w:vAlign w:val="center"/>
            <w:hideMark/>
          </w:tcPr>
          <w:p w14:paraId="7851B1C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-10.47</w:t>
            </w:r>
          </w:p>
        </w:tc>
        <w:tc>
          <w:tcPr>
            <w:tcW w:w="571" w:type="dxa"/>
            <w:tcBorders>
              <w:top w:val="nil"/>
              <w:left w:val="nil"/>
              <w:bottom w:val="nil"/>
              <w:right w:val="nil"/>
            </w:tcBorders>
            <w:shd w:val="clear" w:color="auto" w:fill="auto"/>
            <w:noWrap/>
            <w:vAlign w:val="center"/>
            <w:hideMark/>
          </w:tcPr>
          <w:p w14:paraId="711F0C5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0.20</w:t>
            </w:r>
          </w:p>
        </w:tc>
        <w:tc>
          <w:tcPr>
            <w:tcW w:w="846" w:type="dxa"/>
            <w:tcBorders>
              <w:top w:val="nil"/>
              <w:left w:val="nil"/>
              <w:bottom w:val="nil"/>
              <w:right w:val="nil"/>
            </w:tcBorders>
            <w:shd w:val="clear" w:color="auto" w:fill="auto"/>
            <w:noWrap/>
            <w:vAlign w:val="center"/>
            <w:hideMark/>
          </w:tcPr>
          <w:p w14:paraId="4F29640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01EE8B0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30.05</w:t>
            </w:r>
          </w:p>
        </w:tc>
        <w:tc>
          <w:tcPr>
            <w:tcW w:w="646" w:type="dxa"/>
            <w:tcBorders>
              <w:top w:val="nil"/>
              <w:left w:val="nil"/>
              <w:bottom w:val="nil"/>
              <w:right w:val="nil"/>
            </w:tcBorders>
            <w:shd w:val="clear" w:color="auto" w:fill="auto"/>
            <w:noWrap/>
            <w:vAlign w:val="center"/>
            <w:hideMark/>
          </w:tcPr>
          <w:p w14:paraId="375941E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0.20</w:t>
            </w:r>
          </w:p>
        </w:tc>
        <w:tc>
          <w:tcPr>
            <w:tcW w:w="733" w:type="dxa"/>
            <w:tcBorders>
              <w:top w:val="nil"/>
              <w:left w:val="nil"/>
              <w:bottom w:val="nil"/>
              <w:right w:val="nil"/>
            </w:tcBorders>
            <w:shd w:val="clear" w:color="auto" w:fill="auto"/>
            <w:noWrap/>
            <w:vAlign w:val="center"/>
            <w:hideMark/>
          </w:tcPr>
          <w:p w14:paraId="7641D5A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-18.01</w:t>
            </w:r>
          </w:p>
        </w:tc>
        <w:tc>
          <w:tcPr>
            <w:tcW w:w="665" w:type="dxa"/>
            <w:tcBorders>
              <w:top w:val="nil"/>
              <w:left w:val="nil"/>
              <w:bottom w:val="nil"/>
              <w:right w:val="nil"/>
            </w:tcBorders>
            <w:shd w:val="clear" w:color="auto" w:fill="auto"/>
            <w:noWrap/>
            <w:vAlign w:val="center"/>
            <w:hideMark/>
          </w:tcPr>
          <w:p w14:paraId="56AEEC0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0.23</w:t>
            </w:r>
          </w:p>
        </w:tc>
      </w:tr>
      <w:tr w:rsidR="006041E2" w:rsidRPr="001F0BEA" w14:paraId="2C581A3C" w14:textId="77777777" w:rsidTr="006041E2">
        <w:trPr>
          <w:trHeight w:val="313"/>
        </w:trPr>
        <w:tc>
          <w:tcPr>
            <w:tcW w:w="1052" w:type="dxa"/>
            <w:tcBorders>
              <w:top w:val="nil"/>
              <w:left w:val="nil"/>
              <w:bottom w:val="nil"/>
              <w:right w:val="nil"/>
            </w:tcBorders>
            <w:shd w:val="clear" w:color="auto" w:fill="auto"/>
            <w:noWrap/>
            <w:vAlign w:val="center"/>
            <w:hideMark/>
          </w:tcPr>
          <w:p w14:paraId="5F0944F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2HP-αCD</w:t>
            </w:r>
          </w:p>
        </w:tc>
        <w:tc>
          <w:tcPr>
            <w:tcW w:w="755" w:type="dxa"/>
            <w:tcBorders>
              <w:top w:val="nil"/>
              <w:left w:val="nil"/>
              <w:bottom w:val="nil"/>
              <w:right w:val="nil"/>
            </w:tcBorders>
            <w:shd w:val="clear" w:color="auto" w:fill="auto"/>
            <w:noWrap/>
            <w:vAlign w:val="center"/>
            <w:hideMark/>
          </w:tcPr>
          <w:p w14:paraId="01A78A8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HFL</w:t>
            </w:r>
          </w:p>
        </w:tc>
        <w:tc>
          <w:tcPr>
            <w:tcW w:w="885" w:type="dxa"/>
            <w:tcBorders>
              <w:top w:val="nil"/>
              <w:left w:val="nil"/>
              <w:bottom w:val="nil"/>
              <w:right w:val="nil"/>
            </w:tcBorders>
            <w:shd w:val="clear" w:color="auto" w:fill="auto"/>
            <w:noWrap/>
            <w:vAlign w:val="center"/>
            <w:hideMark/>
          </w:tcPr>
          <w:p w14:paraId="137A2BD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27</w:t>
            </w:r>
          </w:p>
        </w:tc>
        <w:tc>
          <w:tcPr>
            <w:tcW w:w="767" w:type="dxa"/>
            <w:tcBorders>
              <w:top w:val="nil"/>
              <w:left w:val="nil"/>
              <w:bottom w:val="nil"/>
              <w:right w:val="nil"/>
            </w:tcBorders>
            <w:shd w:val="clear" w:color="auto" w:fill="auto"/>
            <w:noWrap/>
            <w:vAlign w:val="center"/>
            <w:hideMark/>
          </w:tcPr>
          <w:p w14:paraId="50F1C0C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3.55</w:t>
            </w:r>
          </w:p>
        </w:tc>
        <w:tc>
          <w:tcPr>
            <w:tcW w:w="768" w:type="dxa"/>
            <w:tcBorders>
              <w:top w:val="nil"/>
              <w:left w:val="nil"/>
              <w:bottom w:val="nil"/>
              <w:right w:val="nil"/>
            </w:tcBorders>
            <w:shd w:val="clear" w:color="auto" w:fill="auto"/>
            <w:noWrap/>
            <w:vAlign w:val="center"/>
            <w:hideMark/>
          </w:tcPr>
          <w:p w14:paraId="657DBBE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0.01</w:t>
            </w:r>
          </w:p>
        </w:tc>
        <w:tc>
          <w:tcPr>
            <w:tcW w:w="735" w:type="dxa"/>
            <w:tcBorders>
              <w:top w:val="nil"/>
              <w:left w:val="nil"/>
              <w:bottom w:val="nil"/>
              <w:right w:val="nil"/>
            </w:tcBorders>
            <w:shd w:val="clear" w:color="auto" w:fill="auto"/>
            <w:noWrap/>
            <w:vAlign w:val="center"/>
            <w:hideMark/>
          </w:tcPr>
          <w:p w14:paraId="239E0C5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45.15</w:t>
            </w:r>
          </w:p>
        </w:tc>
        <w:tc>
          <w:tcPr>
            <w:tcW w:w="571" w:type="dxa"/>
            <w:tcBorders>
              <w:top w:val="nil"/>
              <w:left w:val="nil"/>
              <w:bottom w:val="nil"/>
              <w:right w:val="nil"/>
            </w:tcBorders>
            <w:shd w:val="clear" w:color="auto" w:fill="auto"/>
            <w:noWrap/>
            <w:vAlign w:val="center"/>
            <w:hideMark/>
          </w:tcPr>
          <w:p w14:paraId="014B6E4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846" w:type="dxa"/>
            <w:tcBorders>
              <w:top w:val="nil"/>
              <w:left w:val="nil"/>
              <w:bottom w:val="nil"/>
              <w:right w:val="nil"/>
            </w:tcBorders>
            <w:shd w:val="clear" w:color="auto" w:fill="auto"/>
            <w:noWrap/>
            <w:vAlign w:val="center"/>
            <w:hideMark/>
          </w:tcPr>
          <w:p w14:paraId="45D1332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05A4A8A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41.90</w:t>
            </w:r>
          </w:p>
        </w:tc>
        <w:tc>
          <w:tcPr>
            <w:tcW w:w="646" w:type="dxa"/>
            <w:tcBorders>
              <w:top w:val="nil"/>
              <w:left w:val="nil"/>
              <w:bottom w:val="nil"/>
              <w:right w:val="nil"/>
            </w:tcBorders>
            <w:shd w:val="clear" w:color="auto" w:fill="auto"/>
            <w:noWrap/>
            <w:vAlign w:val="center"/>
            <w:hideMark/>
          </w:tcPr>
          <w:p w14:paraId="18E6DE2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0.19</w:t>
            </w:r>
          </w:p>
        </w:tc>
        <w:tc>
          <w:tcPr>
            <w:tcW w:w="733" w:type="dxa"/>
            <w:tcBorders>
              <w:top w:val="nil"/>
              <w:left w:val="nil"/>
              <w:bottom w:val="nil"/>
              <w:right w:val="nil"/>
            </w:tcBorders>
            <w:shd w:val="clear" w:color="auto" w:fill="auto"/>
            <w:noWrap/>
            <w:vAlign w:val="center"/>
            <w:hideMark/>
          </w:tcPr>
          <w:p w14:paraId="6BE5E6B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-32.43</w:t>
            </w:r>
          </w:p>
        </w:tc>
        <w:tc>
          <w:tcPr>
            <w:tcW w:w="665" w:type="dxa"/>
            <w:tcBorders>
              <w:top w:val="nil"/>
              <w:left w:val="nil"/>
              <w:bottom w:val="nil"/>
              <w:right w:val="nil"/>
            </w:tcBorders>
            <w:shd w:val="clear" w:color="auto" w:fill="auto"/>
            <w:noWrap/>
            <w:vAlign w:val="center"/>
            <w:hideMark/>
          </w:tcPr>
          <w:p w14:paraId="6DD2000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0.22</w:t>
            </w:r>
          </w:p>
        </w:tc>
      </w:tr>
      <w:tr w:rsidR="006041E2" w:rsidRPr="001F0BEA" w14:paraId="1C31BC9A" w14:textId="77777777" w:rsidTr="006041E2">
        <w:trPr>
          <w:trHeight w:val="310"/>
        </w:trPr>
        <w:tc>
          <w:tcPr>
            <w:tcW w:w="1052" w:type="dxa"/>
            <w:tcBorders>
              <w:top w:val="nil"/>
              <w:left w:val="nil"/>
              <w:bottom w:val="nil"/>
              <w:right w:val="nil"/>
            </w:tcBorders>
            <w:shd w:val="clear" w:color="auto" w:fill="auto"/>
            <w:noWrap/>
            <w:vAlign w:val="center"/>
            <w:hideMark/>
          </w:tcPr>
          <w:p w14:paraId="4AF335D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6F65E60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w:t>
            </w:r>
          </w:p>
        </w:tc>
        <w:tc>
          <w:tcPr>
            <w:tcW w:w="885" w:type="dxa"/>
            <w:tcBorders>
              <w:top w:val="nil"/>
              <w:left w:val="nil"/>
              <w:bottom w:val="nil"/>
              <w:right w:val="nil"/>
            </w:tcBorders>
            <w:shd w:val="clear" w:color="auto" w:fill="auto"/>
            <w:noWrap/>
            <w:vAlign w:val="center"/>
            <w:hideMark/>
          </w:tcPr>
          <w:p w14:paraId="333681B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w:t>
            </w:r>
          </w:p>
        </w:tc>
        <w:tc>
          <w:tcPr>
            <w:tcW w:w="767" w:type="dxa"/>
            <w:tcBorders>
              <w:top w:val="nil"/>
              <w:left w:val="nil"/>
              <w:bottom w:val="nil"/>
              <w:right w:val="nil"/>
            </w:tcBorders>
            <w:shd w:val="clear" w:color="auto" w:fill="auto"/>
            <w:noWrap/>
            <w:vAlign w:val="center"/>
            <w:hideMark/>
          </w:tcPr>
          <w:p w14:paraId="4D1B4E5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1.27</w:t>
            </w:r>
          </w:p>
        </w:tc>
        <w:tc>
          <w:tcPr>
            <w:tcW w:w="768" w:type="dxa"/>
            <w:tcBorders>
              <w:top w:val="nil"/>
              <w:left w:val="nil"/>
              <w:bottom w:val="nil"/>
              <w:right w:val="nil"/>
            </w:tcBorders>
            <w:shd w:val="clear" w:color="auto" w:fill="auto"/>
            <w:noWrap/>
            <w:vAlign w:val="center"/>
            <w:hideMark/>
          </w:tcPr>
          <w:p w14:paraId="2B98C83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0.03</w:t>
            </w:r>
          </w:p>
        </w:tc>
        <w:tc>
          <w:tcPr>
            <w:tcW w:w="735" w:type="dxa"/>
            <w:tcBorders>
              <w:top w:val="nil"/>
              <w:left w:val="nil"/>
              <w:bottom w:val="nil"/>
              <w:right w:val="nil"/>
            </w:tcBorders>
            <w:shd w:val="clear" w:color="auto" w:fill="auto"/>
            <w:noWrap/>
            <w:vAlign w:val="center"/>
            <w:hideMark/>
          </w:tcPr>
          <w:p w14:paraId="1F463F8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56.67</w:t>
            </w:r>
          </w:p>
        </w:tc>
        <w:tc>
          <w:tcPr>
            <w:tcW w:w="571" w:type="dxa"/>
            <w:tcBorders>
              <w:top w:val="nil"/>
              <w:left w:val="nil"/>
              <w:bottom w:val="nil"/>
              <w:right w:val="nil"/>
            </w:tcBorders>
            <w:shd w:val="clear" w:color="auto" w:fill="auto"/>
            <w:noWrap/>
            <w:vAlign w:val="center"/>
            <w:hideMark/>
          </w:tcPr>
          <w:p w14:paraId="64FED09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c>
          <w:tcPr>
            <w:tcW w:w="846" w:type="dxa"/>
            <w:tcBorders>
              <w:top w:val="nil"/>
              <w:left w:val="nil"/>
              <w:bottom w:val="nil"/>
              <w:right w:val="nil"/>
            </w:tcBorders>
            <w:shd w:val="clear" w:color="auto" w:fill="auto"/>
            <w:noWrap/>
            <w:vAlign w:val="center"/>
            <w:hideMark/>
          </w:tcPr>
          <w:p w14:paraId="1E95087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5671E43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51.14</w:t>
            </w:r>
          </w:p>
        </w:tc>
        <w:tc>
          <w:tcPr>
            <w:tcW w:w="646" w:type="dxa"/>
            <w:tcBorders>
              <w:top w:val="nil"/>
              <w:left w:val="nil"/>
              <w:bottom w:val="nil"/>
              <w:right w:val="nil"/>
            </w:tcBorders>
            <w:shd w:val="clear" w:color="auto" w:fill="auto"/>
            <w:noWrap/>
            <w:vAlign w:val="center"/>
            <w:hideMark/>
          </w:tcPr>
          <w:p w14:paraId="6A4CF3E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0.21</w:t>
            </w:r>
          </w:p>
        </w:tc>
        <w:tc>
          <w:tcPr>
            <w:tcW w:w="733" w:type="dxa"/>
            <w:tcBorders>
              <w:top w:val="nil"/>
              <w:left w:val="nil"/>
              <w:bottom w:val="nil"/>
              <w:right w:val="nil"/>
            </w:tcBorders>
            <w:shd w:val="clear" w:color="auto" w:fill="auto"/>
            <w:noWrap/>
            <w:vAlign w:val="center"/>
            <w:hideMark/>
          </w:tcPr>
          <w:p w14:paraId="25361AF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-35.88</w:t>
            </w:r>
          </w:p>
        </w:tc>
        <w:tc>
          <w:tcPr>
            <w:tcW w:w="665" w:type="dxa"/>
            <w:tcBorders>
              <w:top w:val="nil"/>
              <w:left w:val="nil"/>
              <w:bottom w:val="nil"/>
              <w:right w:val="nil"/>
            </w:tcBorders>
            <w:shd w:val="clear" w:color="auto" w:fill="auto"/>
            <w:noWrap/>
            <w:vAlign w:val="center"/>
            <w:hideMark/>
          </w:tcPr>
          <w:p w14:paraId="27B66AF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0.23</w:t>
            </w:r>
          </w:p>
        </w:tc>
      </w:tr>
      <w:tr w:rsidR="006041E2" w:rsidRPr="001F0BEA" w14:paraId="0FD77BCE" w14:textId="77777777" w:rsidTr="006041E2">
        <w:trPr>
          <w:trHeight w:val="310"/>
        </w:trPr>
        <w:tc>
          <w:tcPr>
            <w:tcW w:w="1052" w:type="dxa"/>
            <w:tcBorders>
              <w:top w:val="nil"/>
              <w:left w:val="nil"/>
              <w:bottom w:val="nil"/>
              <w:right w:val="nil"/>
            </w:tcBorders>
            <w:shd w:val="clear" w:color="auto" w:fill="auto"/>
            <w:noWrap/>
            <w:vAlign w:val="center"/>
            <w:hideMark/>
          </w:tcPr>
          <w:p w14:paraId="3B1D2EF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69A0B85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GACE</w:t>
            </w:r>
          </w:p>
        </w:tc>
        <w:tc>
          <w:tcPr>
            <w:tcW w:w="885" w:type="dxa"/>
            <w:tcBorders>
              <w:top w:val="nil"/>
              <w:left w:val="nil"/>
              <w:bottom w:val="nil"/>
              <w:right w:val="nil"/>
            </w:tcBorders>
            <w:shd w:val="clear" w:color="auto" w:fill="auto"/>
            <w:noWrap/>
            <w:vAlign w:val="center"/>
            <w:hideMark/>
          </w:tcPr>
          <w:p w14:paraId="55CBC06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w:t>
            </w:r>
          </w:p>
        </w:tc>
        <w:tc>
          <w:tcPr>
            <w:tcW w:w="767" w:type="dxa"/>
            <w:tcBorders>
              <w:top w:val="nil"/>
              <w:left w:val="nil"/>
              <w:bottom w:val="nil"/>
              <w:right w:val="nil"/>
            </w:tcBorders>
            <w:shd w:val="clear" w:color="auto" w:fill="auto"/>
            <w:noWrap/>
            <w:vAlign w:val="center"/>
            <w:hideMark/>
          </w:tcPr>
          <w:p w14:paraId="04A2475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0.57</w:t>
            </w:r>
          </w:p>
        </w:tc>
        <w:tc>
          <w:tcPr>
            <w:tcW w:w="768" w:type="dxa"/>
            <w:tcBorders>
              <w:top w:val="nil"/>
              <w:left w:val="nil"/>
              <w:bottom w:val="nil"/>
              <w:right w:val="nil"/>
            </w:tcBorders>
            <w:shd w:val="clear" w:color="auto" w:fill="auto"/>
            <w:noWrap/>
            <w:vAlign w:val="center"/>
            <w:hideMark/>
          </w:tcPr>
          <w:p w14:paraId="609735A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5" w:type="dxa"/>
            <w:tcBorders>
              <w:top w:val="nil"/>
              <w:left w:val="nil"/>
              <w:bottom w:val="nil"/>
              <w:right w:val="nil"/>
            </w:tcBorders>
            <w:shd w:val="clear" w:color="auto" w:fill="auto"/>
            <w:noWrap/>
            <w:vAlign w:val="center"/>
            <w:hideMark/>
          </w:tcPr>
          <w:p w14:paraId="23F26D9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59.66</w:t>
            </w:r>
          </w:p>
        </w:tc>
        <w:tc>
          <w:tcPr>
            <w:tcW w:w="571" w:type="dxa"/>
            <w:tcBorders>
              <w:top w:val="nil"/>
              <w:left w:val="nil"/>
              <w:bottom w:val="nil"/>
              <w:right w:val="nil"/>
            </w:tcBorders>
            <w:shd w:val="clear" w:color="auto" w:fill="auto"/>
            <w:noWrap/>
            <w:vAlign w:val="center"/>
            <w:hideMark/>
          </w:tcPr>
          <w:p w14:paraId="2661E6A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0.22</w:t>
            </w:r>
          </w:p>
        </w:tc>
        <w:tc>
          <w:tcPr>
            <w:tcW w:w="846" w:type="dxa"/>
            <w:tcBorders>
              <w:top w:val="nil"/>
              <w:left w:val="nil"/>
              <w:bottom w:val="nil"/>
              <w:right w:val="nil"/>
            </w:tcBorders>
            <w:shd w:val="clear" w:color="auto" w:fill="auto"/>
            <w:noWrap/>
            <w:vAlign w:val="center"/>
            <w:hideMark/>
          </w:tcPr>
          <w:p w14:paraId="14D9ACF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7DCD70F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53.43</w:t>
            </w:r>
          </w:p>
        </w:tc>
        <w:tc>
          <w:tcPr>
            <w:tcW w:w="646" w:type="dxa"/>
            <w:tcBorders>
              <w:top w:val="nil"/>
              <w:left w:val="nil"/>
              <w:bottom w:val="nil"/>
              <w:right w:val="nil"/>
            </w:tcBorders>
            <w:shd w:val="clear" w:color="auto" w:fill="auto"/>
            <w:noWrap/>
            <w:vAlign w:val="center"/>
            <w:hideMark/>
          </w:tcPr>
          <w:p w14:paraId="4D72DF5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0.22</w:t>
            </w:r>
          </w:p>
        </w:tc>
        <w:tc>
          <w:tcPr>
            <w:tcW w:w="733" w:type="dxa"/>
            <w:tcBorders>
              <w:top w:val="nil"/>
              <w:left w:val="nil"/>
              <w:bottom w:val="nil"/>
              <w:right w:val="nil"/>
            </w:tcBorders>
            <w:shd w:val="clear" w:color="auto" w:fill="auto"/>
            <w:noWrap/>
            <w:vAlign w:val="center"/>
            <w:hideMark/>
          </w:tcPr>
          <w:p w14:paraId="4AEFB88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-40.24</w:t>
            </w:r>
          </w:p>
        </w:tc>
        <w:tc>
          <w:tcPr>
            <w:tcW w:w="665" w:type="dxa"/>
            <w:tcBorders>
              <w:top w:val="nil"/>
              <w:left w:val="nil"/>
              <w:bottom w:val="nil"/>
              <w:right w:val="nil"/>
            </w:tcBorders>
            <w:shd w:val="clear" w:color="auto" w:fill="auto"/>
            <w:noWrap/>
            <w:vAlign w:val="center"/>
            <w:hideMark/>
          </w:tcPr>
          <w:p w14:paraId="69878A7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r>
      <w:tr w:rsidR="006041E2" w:rsidRPr="001F0BEA" w14:paraId="472EDD12" w14:textId="77777777" w:rsidTr="006041E2">
        <w:trPr>
          <w:trHeight w:val="310"/>
        </w:trPr>
        <w:tc>
          <w:tcPr>
            <w:tcW w:w="1052" w:type="dxa"/>
            <w:tcBorders>
              <w:top w:val="nil"/>
              <w:left w:val="nil"/>
              <w:bottom w:val="nil"/>
              <w:right w:val="nil"/>
            </w:tcBorders>
            <w:shd w:val="clear" w:color="auto" w:fill="auto"/>
            <w:noWrap/>
            <w:vAlign w:val="center"/>
            <w:hideMark/>
          </w:tcPr>
          <w:p w14:paraId="58B5446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3D0D466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NACE</w:t>
            </w:r>
          </w:p>
        </w:tc>
        <w:tc>
          <w:tcPr>
            <w:tcW w:w="885" w:type="dxa"/>
            <w:tcBorders>
              <w:top w:val="nil"/>
              <w:left w:val="nil"/>
              <w:bottom w:val="nil"/>
              <w:right w:val="nil"/>
            </w:tcBorders>
            <w:shd w:val="clear" w:color="auto" w:fill="auto"/>
            <w:noWrap/>
            <w:vAlign w:val="center"/>
            <w:hideMark/>
          </w:tcPr>
          <w:p w14:paraId="4153DA3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Z-17</w:t>
            </w:r>
          </w:p>
        </w:tc>
        <w:tc>
          <w:tcPr>
            <w:tcW w:w="767" w:type="dxa"/>
            <w:tcBorders>
              <w:top w:val="nil"/>
              <w:left w:val="nil"/>
              <w:bottom w:val="nil"/>
              <w:right w:val="nil"/>
            </w:tcBorders>
            <w:shd w:val="clear" w:color="auto" w:fill="auto"/>
            <w:noWrap/>
            <w:vAlign w:val="center"/>
            <w:hideMark/>
          </w:tcPr>
          <w:p w14:paraId="48E6DA7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2.65</w:t>
            </w:r>
          </w:p>
        </w:tc>
        <w:tc>
          <w:tcPr>
            <w:tcW w:w="768" w:type="dxa"/>
            <w:tcBorders>
              <w:top w:val="nil"/>
              <w:left w:val="nil"/>
              <w:bottom w:val="nil"/>
              <w:right w:val="nil"/>
            </w:tcBorders>
            <w:shd w:val="clear" w:color="auto" w:fill="auto"/>
            <w:noWrap/>
            <w:vAlign w:val="center"/>
            <w:hideMark/>
          </w:tcPr>
          <w:p w14:paraId="5B584F2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0.04</w:t>
            </w:r>
          </w:p>
        </w:tc>
        <w:tc>
          <w:tcPr>
            <w:tcW w:w="735" w:type="dxa"/>
            <w:tcBorders>
              <w:top w:val="nil"/>
              <w:left w:val="nil"/>
              <w:bottom w:val="nil"/>
              <w:right w:val="nil"/>
            </w:tcBorders>
            <w:shd w:val="clear" w:color="auto" w:fill="auto"/>
            <w:noWrap/>
            <w:vAlign w:val="center"/>
            <w:hideMark/>
          </w:tcPr>
          <w:p w14:paraId="65E0E33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59.99</w:t>
            </w:r>
          </w:p>
        </w:tc>
        <w:tc>
          <w:tcPr>
            <w:tcW w:w="571" w:type="dxa"/>
            <w:tcBorders>
              <w:top w:val="nil"/>
              <w:left w:val="nil"/>
              <w:bottom w:val="nil"/>
              <w:right w:val="nil"/>
            </w:tcBorders>
            <w:shd w:val="clear" w:color="auto" w:fill="auto"/>
            <w:noWrap/>
            <w:vAlign w:val="center"/>
            <w:hideMark/>
          </w:tcPr>
          <w:p w14:paraId="7F7A2F6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0.26</w:t>
            </w:r>
          </w:p>
        </w:tc>
        <w:tc>
          <w:tcPr>
            <w:tcW w:w="846" w:type="dxa"/>
            <w:tcBorders>
              <w:top w:val="nil"/>
              <w:left w:val="nil"/>
              <w:bottom w:val="nil"/>
              <w:right w:val="nil"/>
            </w:tcBorders>
            <w:shd w:val="clear" w:color="auto" w:fill="auto"/>
            <w:noWrap/>
            <w:vAlign w:val="center"/>
            <w:hideMark/>
          </w:tcPr>
          <w:p w14:paraId="0D78EAD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72D5258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55.84</w:t>
            </w:r>
          </w:p>
        </w:tc>
        <w:tc>
          <w:tcPr>
            <w:tcW w:w="646" w:type="dxa"/>
            <w:tcBorders>
              <w:top w:val="nil"/>
              <w:left w:val="nil"/>
              <w:bottom w:val="nil"/>
              <w:right w:val="nil"/>
            </w:tcBorders>
            <w:shd w:val="clear" w:color="auto" w:fill="auto"/>
            <w:noWrap/>
            <w:vAlign w:val="center"/>
            <w:hideMark/>
          </w:tcPr>
          <w:p w14:paraId="760D581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0.26</w:t>
            </w:r>
          </w:p>
        </w:tc>
        <w:tc>
          <w:tcPr>
            <w:tcW w:w="733" w:type="dxa"/>
            <w:tcBorders>
              <w:top w:val="nil"/>
              <w:left w:val="nil"/>
              <w:bottom w:val="nil"/>
              <w:right w:val="nil"/>
            </w:tcBorders>
            <w:shd w:val="clear" w:color="auto" w:fill="auto"/>
            <w:noWrap/>
            <w:vAlign w:val="center"/>
            <w:hideMark/>
          </w:tcPr>
          <w:p w14:paraId="78F9AFC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-42.84</w:t>
            </w:r>
          </w:p>
        </w:tc>
        <w:tc>
          <w:tcPr>
            <w:tcW w:w="665" w:type="dxa"/>
            <w:tcBorders>
              <w:top w:val="nil"/>
              <w:left w:val="nil"/>
              <w:bottom w:val="nil"/>
              <w:right w:val="nil"/>
            </w:tcBorders>
            <w:shd w:val="clear" w:color="auto" w:fill="auto"/>
            <w:noWrap/>
            <w:vAlign w:val="center"/>
            <w:hideMark/>
          </w:tcPr>
          <w:p w14:paraId="1DD9CA3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0.29</w:t>
            </w:r>
          </w:p>
        </w:tc>
      </w:tr>
      <w:tr w:rsidR="006041E2" w:rsidRPr="001F0BEA" w14:paraId="33D049BF" w14:textId="77777777" w:rsidTr="006041E2">
        <w:trPr>
          <w:trHeight w:val="310"/>
        </w:trPr>
        <w:tc>
          <w:tcPr>
            <w:tcW w:w="1052" w:type="dxa"/>
            <w:tcBorders>
              <w:top w:val="nil"/>
              <w:left w:val="nil"/>
              <w:bottom w:val="nil"/>
              <w:right w:val="nil"/>
            </w:tcBorders>
            <w:shd w:val="clear" w:color="auto" w:fill="auto"/>
            <w:noWrap/>
            <w:vAlign w:val="center"/>
            <w:hideMark/>
          </w:tcPr>
          <w:p w14:paraId="6BE3CD8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1D4FE97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C13P</w:t>
            </w:r>
          </w:p>
        </w:tc>
        <w:tc>
          <w:tcPr>
            <w:tcW w:w="885" w:type="dxa"/>
            <w:tcBorders>
              <w:top w:val="nil"/>
              <w:left w:val="nil"/>
              <w:bottom w:val="nil"/>
              <w:right w:val="nil"/>
            </w:tcBorders>
            <w:shd w:val="clear" w:color="auto" w:fill="auto"/>
            <w:noWrap/>
            <w:vAlign w:val="center"/>
            <w:hideMark/>
          </w:tcPr>
          <w:p w14:paraId="1DBD449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21</w:t>
            </w:r>
          </w:p>
        </w:tc>
        <w:tc>
          <w:tcPr>
            <w:tcW w:w="767" w:type="dxa"/>
            <w:tcBorders>
              <w:top w:val="nil"/>
              <w:left w:val="nil"/>
              <w:bottom w:val="nil"/>
              <w:right w:val="nil"/>
            </w:tcBorders>
            <w:shd w:val="clear" w:color="auto" w:fill="auto"/>
            <w:noWrap/>
            <w:vAlign w:val="center"/>
            <w:hideMark/>
          </w:tcPr>
          <w:p w14:paraId="00FD291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6.76</w:t>
            </w:r>
          </w:p>
        </w:tc>
        <w:tc>
          <w:tcPr>
            <w:tcW w:w="768" w:type="dxa"/>
            <w:tcBorders>
              <w:top w:val="nil"/>
              <w:left w:val="nil"/>
              <w:bottom w:val="nil"/>
              <w:right w:val="nil"/>
            </w:tcBorders>
            <w:shd w:val="clear" w:color="auto" w:fill="auto"/>
            <w:noWrap/>
            <w:vAlign w:val="center"/>
            <w:hideMark/>
          </w:tcPr>
          <w:p w14:paraId="0B1D9E0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0.08</w:t>
            </w:r>
          </w:p>
        </w:tc>
        <w:tc>
          <w:tcPr>
            <w:tcW w:w="735" w:type="dxa"/>
            <w:tcBorders>
              <w:top w:val="nil"/>
              <w:left w:val="nil"/>
              <w:bottom w:val="nil"/>
              <w:right w:val="nil"/>
            </w:tcBorders>
            <w:shd w:val="clear" w:color="auto" w:fill="auto"/>
            <w:noWrap/>
            <w:vAlign w:val="center"/>
            <w:hideMark/>
          </w:tcPr>
          <w:p w14:paraId="0A449AD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50.12</w:t>
            </w:r>
          </w:p>
        </w:tc>
        <w:tc>
          <w:tcPr>
            <w:tcW w:w="571" w:type="dxa"/>
            <w:tcBorders>
              <w:top w:val="nil"/>
              <w:left w:val="nil"/>
              <w:bottom w:val="nil"/>
              <w:right w:val="nil"/>
            </w:tcBorders>
            <w:shd w:val="clear" w:color="auto" w:fill="auto"/>
            <w:noWrap/>
            <w:vAlign w:val="center"/>
            <w:hideMark/>
          </w:tcPr>
          <w:p w14:paraId="04F4C16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0.37</w:t>
            </w:r>
          </w:p>
        </w:tc>
        <w:tc>
          <w:tcPr>
            <w:tcW w:w="846" w:type="dxa"/>
            <w:tcBorders>
              <w:top w:val="nil"/>
              <w:left w:val="nil"/>
              <w:bottom w:val="nil"/>
              <w:right w:val="nil"/>
            </w:tcBorders>
            <w:shd w:val="clear" w:color="auto" w:fill="auto"/>
            <w:noWrap/>
            <w:vAlign w:val="center"/>
            <w:hideMark/>
          </w:tcPr>
          <w:p w14:paraId="3CAB2F7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0E49CC0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50.08</w:t>
            </w:r>
          </w:p>
        </w:tc>
        <w:tc>
          <w:tcPr>
            <w:tcW w:w="646" w:type="dxa"/>
            <w:tcBorders>
              <w:top w:val="nil"/>
              <w:left w:val="nil"/>
              <w:bottom w:val="nil"/>
              <w:right w:val="nil"/>
            </w:tcBorders>
            <w:shd w:val="clear" w:color="auto" w:fill="auto"/>
            <w:noWrap/>
            <w:vAlign w:val="center"/>
            <w:hideMark/>
          </w:tcPr>
          <w:p w14:paraId="4025033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0.38</w:t>
            </w:r>
          </w:p>
        </w:tc>
        <w:tc>
          <w:tcPr>
            <w:tcW w:w="733" w:type="dxa"/>
            <w:tcBorders>
              <w:top w:val="nil"/>
              <w:left w:val="nil"/>
              <w:bottom w:val="nil"/>
              <w:right w:val="nil"/>
            </w:tcBorders>
            <w:shd w:val="clear" w:color="auto" w:fill="auto"/>
            <w:noWrap/>
            <w:vAlign w:val="center"/>
            <w:hideMark/>
          </w:tcPr>
          <w:p w14:paraId="66F8D9D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-37.08</w:t>
            </w:r>
          </w:p>
        </w:tc>
        <w:tc>
          <w:tcPr>
            <w:tcW w:w="665" w:type="dxa"/>
            <w:tcBorders>
              <w:top w:val="nil"/>
              <w:left w:val="nil"/>
              <w:bottom w:val="nil"/>
              <w:right w:val="nil"/>
            </w:tcBorders>
            <w:shd w:val="clear" w:color="auto" w:fill="auto"/>
            <w:noWrap/>
            <w:vAlign w:val="center"/>
            <w:hideMark/>
          </w:tcPr>
          <w:p w14:paraId="73CA529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0.41</w:t>
            </w:r>
          </w:p>
        </w:tc>
      </w:tr>
      <w:tr w:rsidR="006041E2" w:rsidRPr="001F0BEA" w14:paraId="6B4952B3" w14:textId="77777777" w:rsidTr="006041E2">
        <w:trPr>
          <w:trHeight w:val="310"/>
        </w:trPr>
        <w:tc>
          <w:tcPr>
            <w:tcW w:w="1052" w:type="dxa"/>
            <w:tcBorders>
              <w:top w:val="nil"/>
              <w:left w:val="nil"/>
              <w:bottom w:val="nil"/>
              <w:right w:val="nil"/>
            </w:tcBorders>
            <w:shd w:val="clear" w:color="auto" w:fill="auto"/>
            <w:noWrap/>
            <w:vAlign w:val="center"/>
            <w:hideMark/>
          </w:tcPr>
          <w:p w14:paraId="58A9EFD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0A62E19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AMB</w:t>
            </w:r>
          </w:p>
        </w:tc>
        <w:tc>
          <w:tcPr>
            <w:tcW w:w="885" w:type="dxa"/>
            <w:tcBorders>
              <w:top w:val="nil"/>
              <w:left w:val="nil"/>
              <w:bottom w:val="nil"/>
              <w:right w:val="nil"/>
            </w:tcBorders>
            <w:shd w:val="clear" w:color="auto" w:fill="auto"/>
            <w:noWrap/>
            <w:vAlign w:val="center"/>
            <w:hideMark/>
          </w:tcPr>
          <w:p w14:paraId="0E748F6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w:t>
            </w:r>
          </w:p>
        </w:tc>
        <w:tc>
          <w:tcPr>
            <w:tcW w:w="767" w:type="dxa"/>
            <w:tcBorders>
              <w:top w:val="nil"/>
              <w:left w:val="nil"/>
              <w:bottom w:val="nil"/>
              <w:right w:val="nil"/>
            </w:tcBorders>
            <w:shd w:val="clear" w:color="auto" w:fill="auto"/>
            <w:noWrap/>
            <w:vAlign w:val="center"/>
            <w:hideMark/>
          </w:tcPr>
          <w:p w14:paraId="28AE5BCE" w14:textId="77777777" w:rsidR="00665A4B" w:rsidRPr="001F0BEA" w:rsidRDefault="00665A4B" w:rsidP="00BA2B7C">
            <w:pPr>
              <w:spacing w:after="0" w:line="240" w:lineRule="auto"/>
              <w:jc w:val="center"/>
              <w:rPr>
                <w:rFonts w:eastAsia="Times New Roman" w:cs="Arial"/>
                <w:sz w:val="20"/>
                <w:szCs w:val="20"/>
                <w:lang w:eastAsia="de-DE"/>
              </w:rPr>
            </w:pPr>
            <w:r w:rsidRPr="001F0BEA">
              <w:rPr>
                <w:rFonts w:eastAsia="Times New Roman" w:cs="Arial"/>
                <w:sz w:val="20"/>
                <w:szCs w:val="20"/>
                <w:lang w:eastAsia="de-DE"/>
              </w:rPr>
              <w:t>9.35</w:t>
            </w:r>
          </w:p>
        </w:tc>
        <w:tc>
          <w:tcPr>
            <w:tcW w:w="768" w:type="dxa"/>
            <w:tcBorders>
              <w:top w:val="nil"/>
              <w:left w:val="nil"/>
              <w:bottom w:val="nil"/>
              <w:right w:val="nil"/>
            </w:tcBorders>
            <w:shd w:val="clear" w:color="auto" w:fill="auto"/>
            <w:noWrap/>
            <w:vAlign w:val="center"/>
            <w:hideMark/>
          </w:tcPr>
          <w:p w14:paraId="4404AB34" w14:textId="77777777" w:rsidR="00665A4B" w:rsidRPr="001F0BEA" w:rsidRDefault="00665A4B" w:rsidP="00BA2B7C">
            <w:pPr>
              <w:spacing w:after="0" w:line="240" w:lineRule="auto"/>
              <w:jc w:val="center"/>
              <w:rPr>
                <w:rFonts w:eastAsia="Times New Roman" w:cs="Arial"/>
                <w:sz w:val="20"/>
                <w:szCs w:val="20"/>
                <w:lang w:eastAsia="de-DE"/>
              </w:rPr>
            </w:pPr>
            <w:r w:rsidRPr="001F0BEA">
              <w:rPr>
                <w:rFonts w:eastAsia="Times New Roman" w:cs="Arial"/>
                <w:sz w:val="20"/>
                <w:szCs w:val="20"/>
                <w:lang w:eastAsia="de-DE"/>
              </w:rPr>
              <w:t>0.02</w:t>
            </w:r>
          </w:p>
        </w:tc>
        <w:tc>
          <w:tcPr>
            <w:tcW w:w="735" w:type="dxa"/>
            <w:tcBorders>
              <w:top w:val="nil"/>
              <w:left w:val="nil"/>
              <w:bottom w:val="nil"/>
              <w:right w:val="nil"/>
            </w:tcBorders>
            <w:shd w:val="clear" w:color="auto" w:fill="auto"/>
            <w:noWrap/>
            <w:vAlign w:val="center"/>
            <w:hideMark/>
          </w:tcPr>
          <w:p w14:paraId="0228BAA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45.61</w:t>
            </w:r>
          </w:p>
        </w:tc>
        <w:tc>
          <w:tcPr>
            <w:tcW w:w="571" w:type="dxa"/>
            <w:tcBorders>
              <w:top w:val="nil"/>
              <w:left w:val="nil"/>
              <w:bottom w:val="nil"/>
              <w:right w:val="nil"/>
            </w:tcBorders>
            <w:shd w:val="clear" w:color="auto" w:fill="auto"/>
            <w:noWrap/>
            <w:vAlign w:val="center"/>
            <w:hideMark/>
          </w:tcPr>
          <w:p w14:paraId="6F8DDE4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0.40</w:t>
            </w:r>
          </w:p>
        </w:tc>
        <w:tc>
          <w:tcPr>
            <w:tcW w:w="846" w:type="dxa"/>
            <w:tcBorders>
              <w:top w:val="nil"/>
              <w:left w:val="nil"/>
              <w:bottom w:val="nil"/>
              <w:right w:val="nil"/>
            </w:tcBorders>
            <w:shd w:val="clear" w:color="auto" w:fill="auto"/>
            <w:noWrap/>
            <w:vAlign w:val="center"/>
            <w:hideMark/>
          </w:tcPr>
          <w:p w14:paraId="30943CE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41F254CC"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48.16</w:t>
            </w:r>
          </w:p>
        </w:tc>
        <w:tc>
          <w:tcPr>
            <w:tcW w:w="646" w:type="dxa"/>
            <w:tcBorders>
              <w:top w:val="nil"/>
              <w:left w:val="nil"/>
              <w:bottom w:val="nil"/>
              <w:right w:val="nil"/>
            </w:tcBorders>
            <w:shd w:val="clear" w:color="auto" w:fill="auto"/>
            <w:noWrap/>
            <w:vAlign w:val="center"/>
            <w:hideMark/>
          </w:tcPr>
          <w:p w14:paraId="08ABE3E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0.40</w:t>
            </w:r>
          </w:p>
        </w:tc>
        <w:tc>
          <w:tcPr>
            <w:tcW w:w="733" w:type="dxa"/>
            <w:tcBorders>
              <w:top w:val="nil"/>
              <w:left w:val="nil"/>
              <w:bottom w:val="nil"/>
              <w:right w:val="nil"/>
            </w:tcBorders>
            <w:shd w:val="clear" w:color="auto" w:fill="auto"/>
            <w:noWrap/>
            <w:vAlign w:val="center"/>
            <w:hideMark/>
          </w:tcPr>
          <w:p w14:paraId="455243C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-36.12</w:t>
            </w:r>
          </w:p>
        </w:tc>
        <w:tc>
          <w:tcPr>
            <w:tcW w:w="665" w:type="dxa"/>
            <w:tcBorders>
              <w:top w:val="nil"/>
              <w:left w:val="nil"/>
              <w:bottom w:val="nil"/>
              <w:right w:val="nil"/>
            </w:tcBorders>
            <w:shd w:val="clear" w:color="auto" w:fill="auto"/>
            <w:noWrap/>
            <w:vAlign w:val="center"/>
            <w:hideMark/>
          </w:tcPr>
          <w:p w14:paraId="7FFEC14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0.42</w:t>
            </w:r>
          </w:p>
        </w:tc>
      </w:tr>
      <w:tr w:rsidR="006041E2" w:rsidRPr="001F0BEA" w14:paraId="31FC1F25" w14:textId="77777777" w:rsidTr="006041E2">
        <w:trPr>
          <w:trHeight w:val="310"/>
        </w:trPr>
        <w:tc>
          <w:tcPr>
            <w:tcW w:w="1052" w:type="dxa"/>
            <w:tcBorders>
              <w:top w:val="nil"/>
              <w:left w:val="nil"/>
              <w:bottom w:val="nil"/>
              <w:right w:val="nil"/>
            </w:tcBorders>
            <w:shd w:val="clear" w:color="auto" w:fill="auto"/>
            <w:noWrap/>
            <w:vAlign w:val="center"/>
            <w:hideMark/>
          </w:tcPr>
          <w:p w14:paraId="76F686C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6A9C58F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HFL</w:t>
            </w:r>
          </w:p>
        </w:tc>
        <w:tc>
          <w:tcPr>
            <w:tcW w:w="885" w:type="dxa"/>
            <w:tcBorders>
              <w:top w:val="nil"/>
              <w:left w:val="nil"/>
              <w:bottom w:val="nil"/>
              <w:right w:val="nil"/>
            </w:tcBorders>
            <w:shd w:val="clear" w:color="auto" w:fill="auto"/>
            <w:noWrap/>
            <w:vAlign w:val="center"/>
            <w:hideMark/>
          </w:tcPr>
          <w:p w14:paraId="0B0E57F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27</w:t>
            </w:r>
          </w:p>
        </w:tc>
        <w:tc>
          <w:tcPr>
            <w:tcW w:w="767" w:type="dxa"/>
            <w:tcBorders>
              <w:top w:val="nil"/>
              <w:left w:val="nil"/>
              <w:bottom w:val="nil"/>
              <w:right w:val="nil"/>
            </w:tcBorders>
            <w:shd w:val="clear" w:color="auto" w:fill="auto"/>
            <w:noWrap/>
            <w:vAlign w:val="center"/>
            <w:hideMark/>
          </w:tcPr>
          <w:p w14:paraId="4050B2A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0.90</w:t>
            </w:r>
          </w:p>
        </w:tc>
        <w:tc>
          <w:tcPr>
            <w:tcW w:w="768" w:type="dxa"/>
            <w:tcBorders>
              <w:top w:val="nil"/>
              <w:left w:val="nil"/>
              <w:bottom w:val="nil"/>
              <w:right w:val="nil"/>
            </w:tcBorders>
            <w:shd w:val="clear" w:color="auto" w:fill="auto"/>
            <w:noWrap/>
            <w:vAlign w:val="center"/>
            <w:hideMark/>
          </w:tcPr>
          <w:p w14:paraId="72E3C04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0.05</w:t>
            </w:r>
          </w:p>
        </w:tc>
        <w:tc>
          <w:tcPr>
            <w:tcW w:w="735" w:type="dxa"/>
            <w:tcBorders>
              <w:top w:val="nil"/>
              <w:left w:val="nil"/>
              <w:bottom w:val="nil"/>
              <w:right w:val="nil"/>
            </w:tcBorders>
            <w:shd w:val="clear" w:color="auto" w:fill="auto"/>
            <w:noWrap/>
            <w:vAlign w:val="center"/>
            <w:hideMark/>
          </w:tcPr>
          <w:p w14:paraId="2653984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62.69</w:t>
            </w:r>
          </w:p>
        </w:tc>
        <w:tc>
          <w:tcPr>
            <w:tcW w:w="571" w:type="dxa"/>
            <w:tcBorders>
              <w:top w:val="nil"/>
              <w:left w:val="nil"/>
              <w:bottom w:val="nil"/>
              <w:right w:val="nil"/>
            </w:tcBorders>
            <w:shd w:val="clear" w:color="auto" w:fill="auto"/>
            <w:noWrap/>
            <w:vAlign w:val="center"/>
            <w:hideMark/>
          </w:tcPr>
          <w:p w14:paraId="70053EF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846" w:type="dxa"/>
            <w:tcBorders>
              <w:top w:val="nil"/>
              <w:left w:val="nil"/>
              <w:bottom w:val="nil"/>
              <w:right w:val="nil"/>
            </w:tcBorders>
            <w:shd w:val="clear" w:color="auto" w:fill="auto"/>
            <w:noWrap/>
            <w:vAlign w:val="center"/>
            <w:hideMark/>
          </w:tcPr>
          <w:p w14:paraId="144CA66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5B97906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56.79</w:t>
            </w:r>
          </w:p>
        </w:tc>
        <w:tc>
          <w:tcPr>
            <w:tcW w:w="646" w:type="dxa"/>
            <w:tcBorders>
              <w:top w:val="nil"/>
              <w:left w:val="nil"/>
              <w:bottom w:val="nil"/>
              <w:right w:val="nil"/>
            </w:tcBorders>
            <w:shd w:val="clear" w:color="auto" w:fill="auto"/>
            <w:noWrap/>
            <w:vAlign w:val="center"/>
            <w:hideMark/>
          </w:tcPr>
          <w:p w14:paraId="608BD65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733" w:type="dxa"/>
            <w:tcBorders>
              <w:top w:val="nil"/>
              <w:left w:val="nil"/>
              <w:bottom w:val="nil"/>
              <w:right w:val="nil"/>
            </w:tcBorders>
            <w:shd w:val="clear" w:color="auto" w:fill="auto"/>
            <w:noWrap/>
            <w:vAlign w:val="center"/>
            <w:hideMark/>
          </w:tcPr>
          <w:p w14:paraId="6FAA013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-47.32</w:t>
            </w:r>
          </w:p>
        </w:tc>
        <w:tc>
          <w:tcPr>
            <w:tcW w:w="665" w:type="dxa"/>
            <w:tcBorders>
              <w:top w:val="nil"/>
              <w:left w:val="nil"/>
              <w:bottom w:val="nil"/>
              <w:right w:val="nil"/>
            </w:tcBorders>
            <w:shd w:val="clear" w:color="auto" w:fill="auto"/>
            <w:noWrap/>
            <w:vAlign w:val="center"/>
            <w:hideMark/>
          </w:tcPr>
          <w:p w14:paraId="67FEB89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0.28</w:t>
            </w:r>
          </w:p>
        </w:tc>
      </w:tr>
      <w:tr w:rsidR="006041E2" w:rsidRPr="001F0BEA" w14:paraId="16D4D8FA" w14:textId="77777777" w:rsidTr="006041E2">
        <w:trPr>
          <w:trHeight w:val="310"/>
        </w:trPr>
        <w:tc>
          <w:tcPr>
            <w:tcW w:w="1052" w:type="dxa"/>
            <w:tcBorders>
              <w:top w:val="nil"/>
              <w:left w:val="nil"/>
              <w:bottom w:val="nil"/>
              <w:right w:val="nil"/>
            </w:tcBorders>
            <w:shd w:val="clear" w:color="auto" w:fill="auto"/>
            <w:noWrap/>
            <w:vAlign w:val="center"/>
            <w:hideMark/>
          </w:tcPr>
          <w:p w14:paraId="3043A15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2HP-βCD</w:t>
            </w:r>
          </w:p>
        </w:tc>
        <w:tc>
          <w:tcPr>
            <w:tcW w:w="755" w:type="dxa"/>
            <w:tcBorders>
              <w:top w:val="nil"/>
              <w:left w:val="nil"/>
              <w:bottom w:val="nil"/>
              <w:right w:val="nil"/>
            </w:tcBorders>
            <w:shd w:val="clear" w:color="auto" w:fill="auto"/>
            <w:noWrap/>
            <w:vAlign w:val="center"/>
            <w:hideMark/>
          </w:tcPr>
          <w:p w14:paraId="2D904FD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GGL</w:t>
            </w:r>
          </w:p>
        </w:tc>
        <w:tc>
          <w:tcPr>
            <w:tcW w:w="885" w:type="dxa"/>
            <w:tcBorders>
              <w:top w:val="nil"/>
              <w:left w:val="nil"/>
              <w:bottom w:val="nil"/>
              <w:right w:val="nil"/>
            </w:tcBorders>
            <w:shd w:val="clear" w:color="auto" w:fill="auto"/>
            <w:noWrap/>
            <w:vAlign w:val="center"/>
            <w:hideMark/>
          </w:tcPr>
          <w:p w14:paraId="14545D9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10</w:t>
            </w:r>
          </w:p>
        </w:tc>
        <w:tc>
          <w:tcPr>
            <w:tcW w:w="767" w:type="dxa"/>
            <w:tcBorders>
              <w:top w:val="nil"/>
              <w:left w:val="nil"/>
              <w:bottom w:val="nil"/>
              <w:right w:val="nil"/>
            </w:tcBorders>
            <w:shd w:val="clear" w:color="auto" w:fill="auto"/>
            <w:noWrap/>
            <w:vAlign w:val="center"/>
            <w:hideMark/>
          </w:tcPr>
          <w:p w14:paraId="0396A22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2.07</w:t>
            </w:r>
          </w:p>
        </w:tc>
        <w:tc>
          <w:tcPr>
            <w:tcW w:w="768" w:type="dxa"/>
            <w:tcBorders>
              <w:top w:val="nil"/>
              <w:left w:val="nil"/>
              <w:bottom w:val="nil"/>
              <w:right w:val="nil"/>
            </w:tcBorders>
            <w:shd w:val="clear" w:color="auto" w:fill="auto"/>
            <w:noWrap/>
            <w:vAlign w:val="center"/>
            <w:hideMark/>
          </w:tcPr>
          <w:p w14:paraId="44D76C2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0.01</w:t>
            </w:r>
          </w:p>
        </w:tc>
        <w:tc>
          <w:tcPr>
            <w:tcW w:w="735" w:type="dxa"/>
            <w:tcBorders>
              <w:top w:val="nil"/>
              <w:left w:val="nil"/>
              <w:bottom w:val="nil"/>
              <w:right w:val="nil"/>
            </w:tcBorders>
            <w:shd w:val="clear" w:color="auto" w:fill="auto"/>
            <w:noWrap/>
            <w:vAlign w:val="center"/>
            <w:hideMark/>
          </w:tcPr>
          <w:p w14:paraId="175D515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63.78</w:t>
            </w:r>
          </w:p>
        </w:tc>
        <w:tc>
          <w:tcPr>
            <w:tcW w:w="571" w:type="dxa"/>
            <w:tcBorders>
              <w:top w:val="nil"/>
              <w:left w:val="nil"/>
              <w:bottom w:val="nil"/>
              <w:right w:val="nil"/>
            </w:tcBorders>
            <w:shd w:val="clear" w:color="auto" w:fill="auto"/>
            <w:noWrap/>
            <w:vAlign w:val="center"/>
            <w:hideMark/>
          </w:tcPr>
          <w:p w14:paraId="720728E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0.32</w:t>
            </w:r>
          </w:p>
        </w:tc>
        <w:tc>
          <w:tcPr>
            <w:tcW w:w="846" w:type="dxa"/>
            <w:tcBorders>
              <w:top w:val="nil"/>
              <w:left w:val="nil"/>
              <w:bottom w:val="nil"/>
              <w:right w:val="nil"/>
            </w:tcBorders>
            <w:shd w:val="clear" w:color="auto" w:fill="auto"/>
            <w:noWrap/>
            <w:vAlign w:val="center"/>
            <w:hideMark/>
          </w:tcPr>
          <w:p w14:paraId="17B9617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3DDCDE9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59.05</w:t>
            </w:r>
          </w:p>
        </w:tc>
        <w:tc>
          <w:tcPr>
            <w:tcW w:w="646" w:type="dxa"/>
            <w:tcBorders>
              <w:top w:val="nil"/>
              <w:left w:val="nil"/>
              <w:bottom w:val="nil"/>
              <w:right w:val="nil"/>
            </w:tcBorders>
            <w:shd w:val="clear" w:color="auto" w:fill="auto"/>
            <w:noWrap/>
            <w:vAlign w:val="center"/>
            <w:hideMark/>
          </w:tcPr>
          <w:p w14:paraId="5D53D77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0.32</w:t>
            </w:r>
          </w:p>
        </w:tc>
        <w:tc>
          <w:tcPr>
            <w:tcW w:w="733" w:type="dxa"/>
            <w:tcBorders>
              <w:top w:val="nil"/>
              <w:left w:val="nil"/>
              <w:bottom w:val="nil"/>
              <w:right w:val="nil"/>
            </w:tcBorders>
            <w:shd w:val="clear" w:color="auto" w:fill="auto"/>
            <w:noWrap/>
            <w:vAlign w:val="center"/>
            <w:hideMark/>
          </w:tcPr>
          <w:p w14:paraId="747EBCA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-51.13</w:t>
            </w:r>
          </w:p>
        </w:tc>
        <w:tc>
          <w:tcPr>
            <w:tcW w:w="665" w:type="dxa"/>
            <w:tcBorders>
              <w:top w:val="nil"/>
              <w:left w:val="nil"/>
              <w:bottom w:val="nil"/>
              <w:right w:val="nil"/>
            </w:tcBorders>
            <w:shd w:val="clear" w:color="auto" w:fill="auto"/>
            <w:noWrap/>
            <w:vAlign w:val="center"/>
            <w:hideMark/>
          </w:tcPr>
          <w:p w14:paraId="3D19837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0.35</w:t>
            </w:r>
          </w:p>
        </w:tc>
      </w:tr>
      <w:tr w:rsidR="006041E2" w:rsidRPr="001F0BEA" w14:paraId="6B2ED048" w14:textId="77777777" w:rsidTr="006041E2">
        <w:trPr>
          <w:trHeight w:val="310"/>
        </w:trPr>
        <w:tc>
          <w:tcPr>
            <w:tcW w:w="1052" w:type="dxa"/>
            <w:tcBorders>
              <w:top w:val="nil"/>
              <w:left w:val="nil"/>
              <w:bottom w:val="nil"/>
              <w:right w:val="nil"/>
            </w:tcBorders>
            <w:shd w:val="clear" w:color="auto" w:fill="auto"/>
            <w:noWrap/>
            <w:vAlign w:val="center"/>
            <w:hideMark/>
          </w:tcPr>
          <w:p w14:paraId="7E94AE8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2HP-γCD</w:t>
            </w:r>
          </w:p>
        </w:tc>
        <w:tc>
          <w:tcPr>
            <w:tcW w:w="755" w:type="dxa"/>
            <w:tcBorders>
              <w:top w:val="nil"/>
              <w:left w:val="nil"/>
              <w:bottom w:val="nil"/>
              <w:right w:val="nil"/>
            </w:tcBorders>
            <w:shd w:val="clear" w:color="auto" w:fill="auto"/>
            <w:noWrap/>
            <w:vAlign w:val="center"/>
            <w:hideMark/>
          </w:tcPr>
          <w:p w14:paraId="28F79A3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GACE</w:t>
            </w:r>
          </w:p>
        </w:tc>
        <w:tc>
          <w:tcPr>
            <w:tcW w:w="885" w:type="dxa"/>
            <w:tcBorders>
              <w:top w:val="nil"/>
              <w:left w:val="nil"/>
              <w:bottom w:val="nil"/>
              <w:right w:val="nil"/>
            </w:tcBorders>
            <w:shd w:val="clear" w:color="auto" w:fill="auto"/>
            <w:noWrap/>
            <w:vAlign w:val="center"/>
            <w:hideMark/>
          </w:tcPr>
          <w:p w14:paraId="3DE382C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17</w:t>
            </w:r>
          </w:p>
        </w:tc>
        <w:tc>
          <w:tcPr>
            <w:tcW w:w="767" w:type="dxa"/>
            <w:tcBorders>
              <w:top w:val="nil"/>
              <w:left w:val="nil"/>
              <w:bottom w:val="nil"/>
              <w:right w:val="nil"/>
            </w:tcBorders>
            <w:shd w:val="clear" w:color="auto" w:fill="auto"/>
            <w:noWrap/>
            <w:vAlign w:val="center"/>
            <w:hideMark/>
          </w:tcPr>
          <w:p w14:paraId="5C1DB80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0.65</w:t>
            </w:r>
          </w:p>
        </w:tc>
        <w:tc>
          <w:tcPr>
            <w:tcW w:w="768" w:type="dxa"/>
            <w:tcBorders>
              <w:top w:val="nil"/>
              <w:left w:val="nil"/>
              <w:bottom w:val="nil"/>
              <w:right w:val="nil"/>
            </w:tcBorders>
            <w:shd w:val="clear" w:color="auto" w:fill="auto"/>
            <w:noWrap/>
            <w:vAlign w:val="center"/>
            <w:hideMark/>
          </w:tcPr>
          <w:p w14:paraId="7B28EDC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0.03</w:t>
            </w:r>
          </w:p>
        </w:tc>
        <w:tc>
          <w:tcPr>
            <w:tcW w:w="735" w:type="dxa"/>
            <w:tcBorders>
              <w:top w:val="nil"/>
              <w:left w:val="nil"/>
              <w:bottom w:val="nil"/>
              <w:right w:val="nil"/>
            </w:tcBorders>
            <w:shd w:val="clear" w:color="auto" w:fill="auto"/>
            <w:noWrap/>
            <w:vAlign w:val="center"/>
            <w:hideMark/>
          </w:tcPr>
          <w:p w14:paraId="6C36EF5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57.54</w:t>
            </w:r>
          </w:p>
        </w:tc>
        <w:tc>
          <w:tcPr>
            <w:tcW w:w="571" w:type="dxa"/>
            <w:tcBorders>
              <w:top w:val="nil"/>
              <w:left w:val="nil"/>
              <w:bottom w:val="nil"/>
              <w:right w:val="nil"/>
            </w:tcBorders>
            <w:shd w:val="clear" w:color="auto" w:fill="auto"/>
            <w:noWrap/>
            <w:vAlign w:val="center"/>
            <w:hideMark/>
          </w:tcPr>
          <w:p w14:paraId="1287D25E"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846" w:type="dxa"/>
            <w:tcBorders>
              <w:top w:val="nil"/>
              <w:left w:val="nil"/>
              <w:bottom w:val="nil"/>
              <w:right w:val="nil"/>
            </w:tcBorders>
            <w:shd w:val="clear" w:color="auto" w:fill="auto"/>
            <w:noWrap/>
            <w:vAlign w:val="center"/>
            <w:hideMark/>
          </w:tcPr>
          <w:p w14:paraId="7F9E0ED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6DABBB1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51.39</w:t>
            </w:r>
          </w:p>
        </w:tc>
        <w:tc>
          <w:tcPr>
            <w:tcW w:w="646" w:type="dxa"/>
            <w:tcBorders>
              <w:top w:val="nil"/>
              <w:left w:val="nil"/>
              <w:bottom w:val="nil"/>
              <w:right w:val="nil"/>
            </w:tcBorders>
            <w:shd w:val="clear" w:color="auto" w:fill="auto"/>
            <w:noWrap/>
            <w:vAlign w:val="center"/>
            <w:hideMark/>
          </w:tcPr>
          <w:p w14:paraId="70349CA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733" w:type="dxa"/>
            <w:tcBorders>
              <w:top w:val="nil"/>
              <w:left w:val="nil"/>
              <w:bottom w:val="nil"/>
              <w:right w:val="nil"/>
            </w:tcBorders>
            <w:shd w:val="clear" w:color="auto" w:fill="auto"/>
            <w:noWrap/>
            <w:vAlign w:val="center"/>
            <w:hideMark/>
          </w:tcPr>
          <w:p w14:paraId="2D6A509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-38.20</w:t>
            </w:r>
          </w:p>
        </w:tc>
        <w:tc>
          <w:tcPr>
            <w:tcW w:w="665" w:type="dxa"/>
            <w:tcBorders>
              <w:top w:val="nil"/>
              <w:left w:val="nil"/>
              <w:bottom w:val="nil"/>
              <w:right w:val="nil"/>
            </w:tcBorders>
            <w:shd w:val="clear" w:color="auto" w:fill="auto"/>
            <w:noWrap/>
            <w:vAlign w:val="center"/>
            <w:hideMark/>
          </w:tcPr>
          <w:p w14:paraId="62A1906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0.28</w:t>
            </w:r>
          </w:p>
        </w:tc>
      </w:tr>
      <w:tr w:rsidR="006041E2" w:rsidRPr="001F0BEA" w14:paraId="7D846402" w14:textId="77777777" w:rsidTr="006041E2">
        <w:trPr>
          <w:trHeight w:val="310"/>
        </w:trPr>
        <w:tc>
          <w:tcPr>
            <w:tcW w:w="1052" w:type="dxa"/>
            <w:tcBorders>
              <w:top w:val="nil"/>
              <w:left w:val="nil"/>
              <w:bottom w:val="nil"/>
              <w:right w:val="nil"/>
            </w:tcBorders>
            <w:shd w:val="clear" w:color="auto" w:fill="auto"/>
            <w:noWrap/>
            <w:vAlign w:val="center"/>
            <w:hideMark/>
          </w:tcPr>
          <w:p w14:paraId="7DF951D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2HP-γCD</w:t>
            </w:r>
          </w:p>
        </w:tc>
        <w:tc>
          <w:tcPr>
            <w:tcW w:w="755" w:type="dxa"/>
            <w:tcBorders>
              <w:top w:val="nil"/>
              <w:left w:val="nil"/>
              <w:bottom w:val="nil"/>
              <w:right w:val="nil"/>
            </w:tcBorders>
            <w:shd w:val="clear" w:color="auto" w:fill="auto"/>
            <w:noWrap/>
            <w:vAlign w:val="center"/>
            <w:hideMark/>
          </w:tcPr>
          <w:p w14:paraId="60C49BE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NACE</w:t>
            </w:r>
          </w:p>
        </w:tc>
        <w:tc>
          <w:tcPr>
            <w:tcW w:w="885" w:type="dxa"/>
            <w:tcBorders>
              <w:top w:val="nil"/>
              <w:left w:val="nil"/>
              <w:bottom w:val="nil"/>
              <w:right w:val="nil"/>
            </w:tcBorders>
            <w:shd w:val="clear" w:color="auto" w:fill="auto"/>
            <w:noWrap/>
            <w:vAlign w:val="center"/>
            <w:hideMark/>
          </w:tcPr>
          <w:p w14:paraId="719E238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Z-17</w:t>
            </w:r>
          </w:p>
        </w:tc>
        <w:tc>
          <w:tcPr>
            <w:tcW w:w="767" w:type="dxa"/>
            <w:tcBorders>
              <w:top w:val="nil"/>
              <w:left w:val="nil"/>
              <w:bottom w:val="nil"/>
              <w:right w:val="nil"/>
            </w:tcBorders>
            <w:shd w:val="clear" w:color="auto" w:fill="auto"/>
            <w:noWrap/>
            <w:vAlign w:val="center"/>
            <w:hideMark/>
          </w:tcPr>
          <w:p w14:paraId="5AC5720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0.45</w:t>
            </w:r>
          </w:p>
        </w:tc>
        <w:tc>
          <w:tcPr>
            <w:tcW w:w="768" w:type="dxa"/>
            <w:tcBorders>
              <w:top w:val="nil"/>
              <w:left w:val="nil"/>
              <w:bottom w:val="nil"/>
              <w:right w:val="nil"/>
            </w:tcBorders>
            <w:shd w:val="clear" w:color="auto" w:fill="auto"/>
            <w:noWrap/>
            <w:vAlign w:val="center"/>
            <w:hideMark/>
          </w:tcPr>
          <w:p w14:paraId="63B4E9D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0.02</w:t>
            </w:r>
          </w:p>
        </w:tc>
        <w:tc>
          <w:tcPr>
            <w:tcW w:w="735" w:type="dxa"/>
            <w:tcBorders>
              <w:top w:val="nil"/>
              <w:left w:val="nil"/>
              <w:bottom w:val="nil"/>
              <w:right w:val="nil"/>
            </w:tcBorders>
            <w:shd w:val="clear" w:color="auto" w:fill="auto"/>
            <w:noWrap/>
            <w:vAlign w:val="center"/>
            <w:hideMark/>
          </w:tcPr>
          <w:p w14:paraId="2E7B886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57.19</w:t>
            </w:r>
          </w:p>
        </w:tc>
        <w:tc>
          <w:tcPr>
            <w:tcW w:w="571" w:type="dxa"/>
            <w:tcBorders>
              <w:top w:val="nil"/>
              <w:left w:val="nil"/>
              <w:bottom w:val="nil"/>
              <w:right w:val="nil"/>
            </w:tcBorders>
            <w:shd w:val="clear" w:color="auto" w:fill="auto"/>
            <w:noWrap/>
            <w:vAlign w:val="center"/>
            <w:hideMark/>
          </w:tcPr>
          <w:p w14:paraId="542D23E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846" w:type="dxa"/>
            <w:tcBorders>
              <w:top w:val="nil"/>
              <w:left w:val="nil"/>
              <w:bottom w:val="nil"/>
              <w:right w:val="nil"/>
            </w:tcBorders>
            <w:shd w:val="clear" w:color="auto" w:fill="auto"/>
            <w:noWrap/>
            <w:vAlign w:val="center"/>
            <w:hideMark/>
          </w:tcPr>
          <w:p w14:paraId="62C6FCC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06DC506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50.84</w:t>
            </w:r>
          </w:p>
        </w:tc>
        <w:tc>
          <w:tcPr>
            <w:tcW w:w="646" w:type="dxa"/>
            <w:tcBorders>
              <w:top w:val="nil"/>
              <w:left w:val="nil"/>
              <w:bottom w:val="nil"/>
              <w:right w:val="nil"/>
            </w:tcBorders>
            <w:shd w:val="clear" w:color="auto" w:fill="auto"/>
            <w:noWrap/>
            <w:vAlign w:val="center"/>
            <w:hideMark/>
          </w:tcPr>
          <w:p w14:paraId="4D05981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0.25</w:t>
            </w:r>
          </w:p>
        </w:tc>
        <w:tc>
          <w:tcPr>
            <w:tcW w:w="733" w:type="dxa"/>
            <w:tcBorders>
              <w:top w:val="nil"/>
              <w:left w:val="nil"/>
              <w:bottom w:val="nil"/>
              <w:right w:val="nil"/>
            </w:tcBorders>
            <w:shd w:val="clear" w:color="auto" w:fill="auto"/>
            <w:noWrap/>
            <w:vAlign w:val="center"/>
            <w:hideMark/>
          </w:tcPr>
          <w:p w14:paraId="6AA9BE2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-37.84</w:t>
            </w:r>
          </w:p>
        </w:tc>
        <w:tc>
          <w:tcPr>
            <w:tcW w:w="665" w:type="dxa"/>
            <w:tcBorders>
              <w:top w:val="nil"/>
              <w:left w:val="nil"/>
              <w:bottom w:val="nil"/>
              <w:right w:val="nil"/>
            </w:tcBorders>
            <w:shd w:val="clear" w:color="auto" w:fill="auto"/>
            <w:noWrap/>
            <w:vAlign w:val="center"/>
            <w:hideMark/>
          </w:tcPr>
          <w:p w14:paraId="0CF065F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0.27</w:t>
            </w:r>
          </w:p>
        </w:tc>
      </w:tr>
      <w:tr w:rsidR="006041E2" w:rsidRPr="001F0BEA" w14:paraId="09DD1AF6" w14:textId="77777777" w:rsidTr="006041E2">
        <w:trPr>
          <w:trHeight w:val="310"/>
        </w:trPr>
        <w:tc>
          <w:tcPr>
            <w:tcW w:w="1052" w:type="dxa"/>
            <w:tcBorders>
              <w:top w:val="nil"/>
              <w:left w:val="nil"/>
              <w:bottom w:val="nil"/>
              <w:right w:val="nil"/>
            </w:tcBorders>
            <w:shd w:val="clear" w:color="auto" w:fill="auto"/>
            <w:noWrap/>
            <w:vAlign w:val="center"/>
            <w:hideMark/>
          </w:tcPr>
          <w:p w14:paraId="5AFD922B"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2HP-γCD</w:t>
            </w:r>
          </w:p>
        </w:tc>
        <w:tc>
          <w:tcPr>
            <w:tcW w:w="755" w:type="dxa"/>
            <w:tcBorders>
              <w:top w:val="nil"/>
              <w:left w:val="nil"/>
              <w:bottom w:val="nil"/>
              <w:right w:val="nil"/>
            </w:tcBorders>
            <w:shd w:val="clear" w:color="auto" w:fill="auto"/>
            <w:noWrap/>
            <w:vAlign w:val="center"/>
            <w:hideMark/>
          </w:tcPr>
          <w:p w14:paraId="4CDD55C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AMB</w:t>
            </w:r>
          </w:p>
        </w:tc>
        <w:tc>
          <w:tcPr>
            <w:tcW w:w="885" w:type="dxa"/>
            <w:tcBorders>
              <w:top w:val="nil"/>
              <w:left w:val="nil"/>
              <w:bottom w:val="nil"/>
              <w:right w:val="nil"/>
            </w:tcBorders>
            <w:shd w:val="clear" w:color="auto" w:fill="auto"/>
            <w:noWrap/>
            <w:vAlign w:val="center"/>
            <w:hideMark/>
          </w:tcPr>
          <w:p w14:paraId="622FE10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28</w:t>
            </w:r>
          </w:p>
        </w:tc>
        <w:tc>
          <w:tcPr>
            <w:tcW w:w="767" w:type="dxa"/>
            <w:tcBorders>
              <w:top w:val="nil"/>
              <w:left w:val="nil"/>
              <w:bottom w:val="nil"/>
              <w:right w:val="nil"/>
            </w:tcBorders>
            <w:shd w:val="clear" w:color="auto" w:fill="auto"/>
            <w:noWrap/>
            <w:vAlign w:val="center"/>
            <w:hideMark/>
          </w:tcPr>
          <w:p w14:paraId="61D86C1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0.17</w:t>
            </w:r>
          </w:p>
        </w:tc>
        <w:tc>
          <w:tcPr>
            <w:tcW w:w="768" w:type="dxa"/>
            <w:tcBorders>
              <w:top w:val="nil"/>
              <w:left w:val="nil"/>
              <w:bottom w:val="nil"/>
              <w:right w:val="nil"/>
            </w:tcBorders>
            <w:shd w:val="clear" w:color="auto" w:fill="auto"/>
            <w:noWrap/>
            <w:vAlign w:val="center"/>
            <w:hideMark/>
          </w:tcPr>
          <w:p w14:paraId="46B757B7"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0.00</w:t>
            </w:r>
          </w:p>
        </w:tc>
        <w:tc>
          <w:tcPr>
            <w:tcW w:w="735" w:type="dxa"/>
            <w:tcBorders>
              <w:top w:val="nil"/>
              <w:left w:val="nil"/>
              <w:bottom w:val="nil"/>
              <w:right w:val="nil"/>
            </w:tcBorders>
            <w:shd w:val="clear" w:color="auto" w:fill="auto"/>
            <w:noWrap/>
            <w:vAlign w:val="center"/>
            <w:hideMark/>
          </w:tcPr>
          <w:p w14:paraId="02ACEB84"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71.89</w:t>
            </w:r>
          </w:p>
        </w:tc>
        <w:tc>
          <w:tcPr>
            <w:tcW w:w="571" w:type="dxa"/>
            <w:tcBorders>
              <w:top w:val="nil"/>
              <w:left w:val="nil"/>
              <w:bottom w:val="nil"/>
              <w:right w:val="nil"/>
            </w:tcBorders>
            <w:shd w:val="clear" w:color="auto" w:fill="auto"/>
            <w:noWrap/>
            <w:vAlign w:val="center"/>
            <w:hideMark/>
          </w:tcPr>
          <w:p w14:paraId="3ED3C6D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0.33</w:t>
            </w:r>
          </w:p>
        </w:tc>
        <w:tc>
          <w:tcPr>
            <w:tcW w:w="846" w:type="dxa"/>
            <w:tcBorders>
              <w:top w:val="nil"/>
              <w:left w:val="nil"/>
              <w:bottom w:val="nil"/>
              <w:right w:val="nil"/>
            </w:tcBorders>
            <w:shd w:val="clear" w:color="auto" w:fill="auto"/>
            <w:noWrap/>
            <w:vAlign w:val="center"/>
            <w:hideMark/>
          </w:tcPr>
          <w:p w14:paraId="5D81416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nil"/>
              <w:right w:val="nil"/>
            </w:tcBorders>
            <w:shd w:val="clear" w:color="auto" w:fill="auto"/>
            <w:noWrap/>
            <w:vAlign w:val="center"/>
            <w:hideMark/>
          </w:tcPr>
          <w:p w14:paraId="42B664C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65.25</w:t>
            </w:r>
          </w:p>
        </w:tc>
        <w:tc>
          <w:tcPr>
            <w:tcW w:w="646" w:type="dxa"/>
            <w:tcBorders>
              <w:top w:val="nil"/>
              <w:left w:val="nil"/>
              <w:bottom w:val="nil"/>
              <w:right w:val="nil"/>
            </w:tcBorders>
            <w:shd w:val="clear" w:color="auto" w:fill="auto"/>
            <w:noWrap/>
            <w:vAlign w:val="center"/>
            <w:hideMark/>
          </w:tcPr>
          <w:p w14:paraId="6A45231F"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0.33</w:t>
            </w:r>
          </w:p>
        </w:tc>
        <w:tc>
          <w:tcPr>
            <w:tcW w:w="733" w:type="dxa"/>
            <w:tcBorders>
              <w:top w:val="nil"/>
              <w:left w:val="nil"/>
              <w:bottom w:val="nil"/>
              <w:right w:val="nil"/>
            </w:tcBorders>
            <w:shd w:val="clear" w:color="auto" w:fill="auto"/>
            <w:noWrap/>
            <w:vAlign w:val="center"/>
            <w:hideMark/>
          </w:tcPr>
          <w:p w14:paraId="79614DA0"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-53.21</w:t>
            </w:r>
          </w:p>
        </w:tc>
        <w:tc>
          <w:tcPr>
            <w:tcW w:w="665" w:type="dxa"/>
            <w:tcBorders>
              <w:top w:val="nil"/>
              <w:left w:val="nil"/>
              <w:bottom w:val="nil"/>
              <w:right w:val="nil"/>
            </w:tcBorders>
            <w:shd w:val="clear" w:color="auto" w:fill="auto"/>
            <w:noWrap/>
            <w:vAlign w:val="center"/>
            <w:hideMark/>
          </w:tcPr>
          <w:p w14:paraId="24EBEC8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0.34</w:t>
            </w:r>
          </w:p>
        </w:tc>
      </w:tr>
      <w:tr w:rsidR="006041E2" w:rsidRPr="001F0BEA" w14:paraId="7601981F" w14:textId="77777777" w:rsidTr="006041E2">
        <w:trPr>
          <w:trHeight w:val="310"/>
        </w:trPr>
        <w:tc>
          <w:tcPr>
            <w:tcW w:w="1052" w:type="dxa"/>
            <w:tcBorders>
              <w:top w:val="nil"/>
              <w:left w:val="nil"/>
              <w:bottom w:val="single" w:sz="4" w:space="0" w:color="auto"/>
              <w:right w:val="nil"/>
            </w:tcBorders>
            <w:shd w:val="clear" w:color="auto" w:fill="auto"/>
            <w:noWrap/>
            <w:vAlign w:val="center"/>
            <w:hideMark/>
          </w:tcPr>
          <w:p w14:paraId="025FF9C8"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2HP-γCD</w:t>
            </w:r>
          </w:p>
        </w:tc>
        <w:tc>
          <w:tcPr>
            <w:tcW w:w="755" w:type="dxa"/>
            <w:tcBorders>
              <w:top w:val="nil"/>
              <w:left w:val="nil"/>
              <w:bottom w:val="single" w:sz="4" w:space="0" w:color="auto"/>
              <w:right w:val="nil"/>
            </w:tcBorders>
            <w:shd w:val="clear" w:color="auto" w:fill="auto"/>
            <w:noWrap/>
            <w:vAlign w:val="center"/>
            <w:hideMark/>
          </w:tcPr>
          <w:p w14:paraId="36FE19C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HFL</w:t>
            </w:r>
          </w:p>
        </w:tc>
        <w:tc>
          <w:tcPr>
            <w:tcW w:w="885" w:type="dxa"/>
            <w:tcBorders>
              <w:top w:val="nil"/>
              <w:left w:val="nil"/>
              <w:bottom w:val="single" w:sz="4" w:space="0" w:color="auto"/>
              <w:right w:val="nil"/>
            </w:tcBorders>
            <w:shd w:val="clear" w:color="auto" w:fill="auto"/>
            <w:noWrap/>
            <w:vAlign w:val="center"/>
            <w:hideMark/>
          </w:tcPr>
          <w:p w14:paraId="4D3033B3"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27</w:t>
            </w:r>
          </w:p>
        </w:tc>
        <w:tc>
          <w:tcPr>
            <w:tcW w:w="767" w:type="dxa"/>
            <w:tcBorders>
              <w:top w:val="nil"/>
              <w:left w:val="nil"/>
              <w:bottom w:val="single" w:sz="4" w:space="0" w:color="auto"/>
              <w:right w:val="nil"/>
            </w:tcBorders>
            <w:shd w:val="clear" w:color="auto" w:fill="auto"/>
            <w:noWrap/>
            <w:vAlign w:val="center"/>
            <w:hideMark/>
          </w:tcPr>
          <w:p w14:paraId="4D3C384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1.08</w:t>
            </w:r>
          </w:p>
        </w:tc>
        <w:tc>
          <w:tcPr>
            <w:tcW w:w="768" w:type="dxa"/>
            <w:tcBorders>
              <w:top w:val="nil"/>
              <w:left w:val="nil"/>
              <w:bottom w:val="single" w:sz="4" w:space="0" w:color="auto"/>
              <w:right w:val="nil"/>
            </w:tcBorders>
            <w:shd w:val="clear" w:color="auto" w:fill="auto"/>
            <w:noWrap/>
            <w:vAlign w:val="center"/>
            <w:hideMark/>
          </w:tcPr>
          <w:p w14:paraId="1A4835B1"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0.03</w:t>
            </w:r>
          </w:p>
        </w:tc>
        <w:tc>
          <w:tcPr>
            <w:tcW w:w="735" w:type="dxa"/>
            <w:tcBorders>
              <w:top w:val="nil"/>
              <w:left w:val="nil"/>
              <w:bottom w:val="single" w:sz="4" w:space="0" w:color="auto"/>
              <w:right w:val="nil"/>
            </w:tcBorders>
            <w:shd w:val="clear" w:color="auto" w:fill="auto"/>
            <w:noWrap/>
            <w:vAlign w:val="center"/>
            <w:hideMark/>
          </w:tcPr>
          <w:p w14:paraId="5F4093BA"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64.15</w:t>
            </w:r>
          </w:p>
        </w:tc>
        <w:tc>
          <w:tcPr>
            <w:tcW w:w="571" w:type="dxa"/>
            <w:tcBorders>
              <w:top w:val="nil"/>
              <w:left w:val="nil"/>
              <w:bottom w:val="single" w:sz="4" w:space="0" w:color="auto"/>
              <w:right w:val="nil"/>
            </w:tcBorders>
            <w:shd w:val="clear" w:color="auto" w:fill="auto"/>
            <w:noWrap/>
            <w:vAlign w:val="center"/>
            <w:hideMark/>
          </w:tcPr>
          <w:p w14:paraId="4B702AE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0.34</w:t>
            </w:r>
          </w:p>
        </w:tc>
        <w:tc>
          <w:tcPr>
            <w:tcW w:w="846" w:type="dxa"/>
            <w:tcBorders>
              <w:top w:val="nil"/>
              <w:left w:val="nil"/>
              <w:bottom w:val="single" w:sz="4" w:space="0" w:color="auto"/>
              <w:right w:val="nil"/>
            </w:tcBorders>
            <w:shd w:val="clear" w:color="auto" w:fill="auto"/>
            <w:noWrap/>
            <w:vAlign w:val="center"/>
            <w:hideMark/>
          </w:tcPr>
          <w:p w14:paraId="292A9BB6"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-6.80</w:t>
            </w:r>
          </w:p>
        </w:tc>
        <w:tc>
          <w:tcPr>
            <w:tcW w:w="649" w:type="dxa"/>
            <w:tcBorders>
              <w:top w:val="nil"/>
              <w:left w:val="nil"/>
              <w:bottom w:val="single" w:sz="4" w:space="0" w:color="auto"/>
              <w:right w:val="nil"/>
            </w:tcBorders>
            <w:shd w:val="clear" w:color="auto" w:fill="auto"/>
            <w:noWrap/>
            <w:vAlign w:val="center"/>
            <w:hideMark/>
          </w:tcPr>
          <w:p w14:paraId="62A46D02"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58.43</w:t>
            </w:r>
          </w:p>
        </w:tc>
        <w:tc>
          <w:tcPr>
            <w:tcW w:w="646" w:type="dxa"/>
            <w:tcBorders>
              <w:top w:val="nil"/>
              <w:left w:val="nil"/>
              <w:bottom w:val="single" w:sz="4" w:space="0" w:color="auto"/>
              <w:right w:val="nil"/>
            </w:tcBorders>
            <w:shd w:val="clear" w:color="auto" w:fill="auto"/>
            <w:noWrap/>
            <w:vAlign w:val="center"/>
            <w:hideMark/>
          </w:tcPr>
          <w:p w14:paraId="58F6C209"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0.34</w:t>
            </w:r>
          </w:p>
        </w:tc>
        <w:tc>
          <w:tcPr>
            <w:tcW w:w="733" w:type="dxa"/>
            <w:tcBorders>
              <w:top w:val="nil"/>
              <w:left w:val="nil"/>
              <w:bottom w:val="single" w:sz="4" w:space="0" w:color="auto"/>
              <w:right w:val="nil"/>
            </w:tcBorders>
            <w:shd w:val="clear" w:color="auto" w:fill="auto"/>
            <w:noWrap/>
            <w:vAlign w:val="center"/>
            <w:hideMark/>
          </w:tcPr>
          <w:p w14:paraId="0D7ECB15"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-48.96</w:t>
            </w:r>
          </w:p>
        </w:tc>
        <w:tc>
          <w:tcPr>
            <w:tcW w:w="665" w:type="dxa"/>
            <w:tcBorders>
              <w:top w:val="nil"/>
              <w:left w:val="nil"/>
              <w:bottom w:val="single" w:sz="4" w:space="0" w:color="auto"/>
              <w:right w:val="nil"/>
            </w:tcBorders>
            <w:shd w:val="clear" w:color="auto" w:fill="auto"/>
            <w:noWrap/>
            <w:vAlign w:val="center"/>
            <w:hideMark/>
          </w:tcPr>
          <w:p w14:paraId="5441A91D" w14:textId="77777777" w:rsidR="00665A4B" w:rsidRPr="001F0BEA" w:rsidRDefault="00665A4B" w:rsidP="00BA2B7C">
            <w:pPr>
              <w:spacing w:after="0" w:line="240" w:lineRule="auto"/>
              <w:jc w:val="center"/>
              <w:rPr>
                <w:rFonts w:eastAsia="Times New Roman" w:cs="Arial"/>
                <w:color w:val="000000"/>
                <w:sz w:val="20"/>
                <w:szCs w:val="20"/>
                <w:lang w:eastAsia="de-DE"/>
              </w:rPr>
            </w:pPr>
            <w:r w:rsidRPr="001F0BEA">
              <w:rPr>
                <w:rFonts w:eastAsia="Times New Roman" w:cs="Arial"/>
                <w:color w:val="000000"/>
                <w:sz w:val="20"/>
                <w:szCs w:val="20"/>
                <w:lang w:eastAsia="de-DE"/>
              </w:rPr>
              <w:t>0.36</w:t>
            </w:r>
          </w:p>
        </w:tc>
      </w:tr>
    </w:tbl>
    <w:p w14:paraId="4A15367D" w14:textId="77777777" w:rsidR="00B6057A" w:rsidRPr="00833471" w:rsidRDefault="00B6057A" w:rsidP="00FA3D6A"/>
    <w:p w14:paraId="7F533788" w14:textId="6F3A4DB2" w:rsidR="00FB6DC0" w:rsidRPr="009007F9" w:rsidRDefault="00FB6DC0" w:rsidP="00B26A6B">
      <w:pPr>
        <w:pStyle w:val="Heading1"/>
        <w:numPr>
          <w:ilvl w:val="0"/>
          <w:numId w:val="6"/>
        </w:numPr>
        <w:tabs>
          <w:tab w:val="num" w:pos="360"/>
        </w:tabs>
        <w:ind w:left="0" w:firstLine="0"/>
        <w:rPr>
          <w:sz w:val="22"/>
          <w:szCs w:val="22"/>
        </w:rPr>
      </w:pPr>
      <w:bookmarkStart w:id="34" w:name="_Toc74843283"/>
      <w:bookmarkStart w:id="35" w:name="_Toc120012354"/>
      <w:bookmarkStart w:id="36" w:name="_Toc129870364"/>
      <w:bookmarkStart w:id="37" w:name="_Toc134623374"/>
      <w:r w:rsidRPr="009007F9">
        <w:rPr>
          <w:sz w:val="22"/>
          <w:szCs w:val="22"/>
        </w:rPr>
        <w:t>Materials</w:t>
      </w:r>
      <w:bookmarkEnd w:id="34"/>
      <w:bookmarkEnd w:id="35"/>
      <w:bookmarkEnd w:id="36"/>
      <w:bookmarkEnd w:id="37"/>
    </w:p>
    <w:p w14:paraId="4DE965E4" w14:textId="5A8B053B" w:rsidR="00FA21FF" w:rsidRPr="009007F9" w:rsidRDefault="00FB6DC0" w:rsidP="005B4D0F">
      <w:pPr>
        <w:spacing w:after="0"/>
        <w:contextualSpacing/>
        <w:rPr>
          <w:rFonts w:cs="Arial"/>
        </w:rPr>
      </w:pPr>
      <w:bookmarkStart w:id="38" w:name="_Toc129870365"/>
      <w:bookmarkStart w:id="39" w:name="_Toc120012355"/>
      <w:bookmarkStart w:id="40" w:name="_Toc134623375"/>
      <w:r w:rsidRPr="009007F9">
        <w:rPr>
          <w:rStyle w:val="Heading2Char"/>
          <w:szCs w:val="22"/>
          <w:lang w:val="en-US"/>
        </w:rPr>
        <w:t>Chemicals</w:t>
      </w:r>
      <w:bookmarkEnd w:id="38"/>
      <w:bookmarkEnd w:id="39"/>
      <w:bookmarkEnd w:id="40"/>
    </w:p>
    <w:p w14:paraId="660CED19" w14:textId="4723478B" w:rsidR="0094711F" w:rsidRPr="009007F9" w:rsidRDefault="00FB6DC0" w:rsidP="005B4D0F">
      <w:pPr>
        <w:spacing w:after="0"/>
        <w:contextualSpacing/>
        <w:rPr>
          <w:rFonts w:cs="Arial"/>
        </w:rPr>
      </w:pPr>
      <w:r w:rsidRPr="009007F9">
        <w:lastRenderedPageBreak/>
        <w:t>The chemicals used for syntheses, molecular biology and biochemical work have been purchased from Carl-Roth (Karlsruhe, DE), VWR (Pennsylvania, US), Sigma-Aldrich/ Merck (St. Louis, US)</w:t>
      </w:r>
      <w:r w:rsidR="00E76B02" w:rsidRPr="009007F9">
        <w:t>, TCI Chemicals (</w:t>
      </w:r>
      <w:r w:rsidR="005A5D48" w:rsidRPr="009007F9">
        <w:t>T</w:t>
      </w:r>
      <w:r w:rsidR="0044001A" w:rsidRPr="009007F9">
        <w:t>okyo, JP),</w:t>
      </w:r>
      <w:r w:rsidRPr="009007F9">
        <w:t xml:space="preserve"> and Alfa-Aesar (Ward Hill, US). </w:t>
      </w:r>
      <w:r w:rsidR="001C0830" w:rsidRPr="009007F9">
        <w:t>Cyclo</w:t>
      </w:r>
      <w:r w:rsidR="00DF15C9" w:rsidRPr="009007F9">
        <w:t xml:space="preserve">dextrins have been purchased from </w:t>
      </w:r>
      <w:r w:rsidR="000D610E" w:rsidRPr="009007F9">
        <w:t>W</w:t>
      </w:r>
      <w:r w:rsidR="00DF15C9" w:rsidRPr="009007F9">
        <w:t>acker</w:t>
      </w:r>
      <w:r w:rsidR="000D610E" w:rsidRPr="009007F9">
        <w:t xml:space="preserve"> (Munich, DE).</w:t>
      </w:r>
      <w:r w:rsidR="000B0500" w:rsidRPr="009007F9">
        <w:t xml:space="preserve"> </w:t>
      </w:r>
    </w:p>
    <w:p w14:paraId="6F6F9263" w14:textId="77777777" w:rsidR="005B4D0F" w:rsidRPr="009007F9" w:rsidRDefault="005B4D0F" w:rsidP="005B4D0F">
      <w:pPr>
        <w:spacing w:after="0"/>
        <w:contextualSpacing/>
        <w:rPr>
          <w:rFonts w:cs="Arial"/>
        </w:rPr>
      </w:pPr>
    </w:p>
    <w:p w14:paraId="6A51F0C5" w14:textId="748F0B39" w:rsidR="00FA21FF" w:rsidRPr="009007F9" w:rsidRDefault="00FB6DC0" w:rsidP="005B4D0F">
      <w:pPr>
        <w:spacing w:after="0"/>
      </w:pPr>
      <w:bookmarkStart w:id="41" w:name="_Toc129870366"/>
      <w:bookmarkStart w:id="42" w:name="_Toc120012356"/>
      <w:bookmarkStart w:id="43" w:name="_Toc134623376"/>
      <w:r w:rsidRPr="009007F9">
        <w:rPr>
          <w:rStyle w:val="Heading2Char"/>
          <w:szCs w:val="22"/>
          <w:lang w:val="en-US"/>
        </w:rPr>
        <w:t>Molecular biological kits</w:t>
      </w:r>
      <w:bookmarkEnd w:id="41"/>
      <w:bookmarkEnd w:id="42"/>
      <w:bookmarkEnd w:id="43"/>
      <w:r w:rsidRPr="009007F9">
        <w:t xml:space="preserve"> </w:t>
      </w:r>
    </w:p>
    <w:p w14:paraId="12ED7117" w14:textId="2300A1F5" w:rsidR="005B4D0F" w:rsidRPr="009007F9" w:rsidRDefault="00FB6DC0" w:rsidP="005B4D0F">
      <w:pPr>
        <w:spacing w:after="0"/>
        <w:rPr>
          <w:rFonts w:cs="Arial"/>
        </w:rPr>
      </w:pPr>
      <w:r w:rsidRPr="009007F9">
        <w:t>The molecular biological kits for DNA-purification (Zymo</w:t>
      </w:r>
      <w:r w:rsidR="00833471" w:rsidRPr="009007F9">
        <w:t>C</w:t>
      </w:r>
      <w:r w:rsidRPr="009007F9">
        <w:t>lean DNA Clean &amp; Concentrator Kit), Agarose Gel-extraction (Zymo</w:t>
      </w:r>
      <w:r w:rsidR="00833471" w:rsidRPr="009007F9">
        <w:t>C</w:t>
      </w:r>
      <w:r w:rsidRPr="009007F9">
        <w:t>lean Gel DNA Recovery Kit) and plasmid isolation (Zyppy™Plasmid Miniprep Kit) were purchased from ZymoResearch (Irvine, US)</w:t>
      </w:r>
      <w:r w:rsidR="005B4D0F" w:rsidRPr="009007F9">
        <w:t>.</w:t>
      </w:r>
    </w:p>
    <w:p w14:paraId="403FEA20" w14:textId="77777777" w:rsidR="005B4D0F" w:rsidRPr="009007F9" w:rsidRDefault="005B4D0F" w:rsidP="005B4D0F">
      <w:pPr>
        <w:spacing w:after="0"/>
        <w:rPr>
          <w:rFonts w:cs="Arial"/>
        </w:rPr>
      </w:pPr>
    </w:p>
    <w:p w14:paraId="4C1D18DF" w14:textId="7860D934" w:rsidR="00FA21FF" w:rsidRPr="009007F9" w:rsidRDefault="005A0360" w:rsidP="005B4D0F">
      <w:pPr>
        <w:spacing w:after="0"/>
        <w:rPr>
          <w:rFonts w:cs="Arial"/>
          <w:b/>
          <w:bCs/>
        </w:rPr>
      </w:pPr>
      <w:r w:rsidRPr="009007F9">
        <w:rPr>
          <w:rFonts w:cs="Arial"/>
          <w:b/>
          <w:bCs/>
        </w:rPr>
        <w:t xml:space="preserve">Primers, </w:t>
      </w:r>
      <w:r w:rsidR="00FB6DC0" w:rsidRPr="009007F9">
        <w:rPr>
          <w:rFonts w:cs="Arial"/>
          <w:b/>
          <w:bCs/>
        </w:rPr>
        <w:t>Buffers &amp; Media</w:t>
      </w:r>
      <w:r w:rsidR="001C2A1A" w:rsidRPr="009007F9">
        <w:rPr>
          <w:rFonts w:cs="Arial"/>
          <w:b/>
          <w:bCs/>
        </w:rPr>
        <w:t xml:space="preserve"> </w:t>
      </w:r>
    </w:p>
    <w:p w14:paraId="71DCFAB0" w14:textId="013DE889" w:rsidR="00FB6DC0" w:rsidRPr="009007F9" w:rsidRDefault="00310B17" w:rsidP="005B4D0F">
      <w:pPr>
        <w:spacing w:after="0"/>
        <w:rPr>
          <w:rFonts w:cs="Arial"/>
        </w:rPr>
      </w:pPr>
      <w:r w:rsidRPr="009007F9">
        <w:rPr>
          <w:rFonts w:cs="Arial"/>
        </w:rPr>
        <w:t>Lists of primers, buffers and media used in this work are given in Supporting Table S</w:t>
      </w:r>
      <w:r w:rsidR="00EE202B" w:rsidRPr="009007F9">
        <w:rPr>
          <w:rFonts w:cs="Arial"/>
        </w:rPr>
        <w:t>4-6</w:t>
      </w:r>
    </w:p>
    <w:p w14:paraId="458A275A" w14:textId="175313DF" w:rsidR="00FB6DC0" w:rsidRPr="009007F9" w:rsidRDefault="00FB6DC0" w:rsidP="00B26A6B">
      <w:pPr>
        <w:pStyle w:val="Heading1"/>
        <w:numPr>
          <w:ilvl w:val="0"/>
          <w:numId w:val="6"/>
        </w:numPr>
        <w:tabs>
          <w:tab w:val="num" w:pos="360"/>
        </w:tabs>
        <w:ind w:left="0" w:firstLine="0"/>
        <w:rPr>
          <w:sz w:val="22"/>
          <w:szCs w:val="22"/>
        </w:rPr>
      </w:pPr>
      <w:bookmarkStart w:id="44" w:name="_Toc55919658"/>
      <w:bookmarkStart w:id="45" w:name="_Toc74843284"/>
      <w:bookmarkStart w:id="46" w:name="_Toc120012360"/>
      <w:bookmarkStart w:id="47" w:name="_Toc129870368"/>
      <w:bookmarkStart w:id="48" w:name="_Toc134623377"/>
      <w:r w:rsidRPr="009007F9">
        <w:rPr>
          <w:sz w:val="22"/>
          <w:szCs w:val="22"/>
        </w:rPr>
        <w:t>General analytics</w:t>
      </w:r>
      <w:bookmarkEnd w:id="44"/>
      <w:bookmarkEnd w:id="45"/>
      <w:bookmarkEnd w:id="46"/>
      <w:bookmarkEnd w:id="47"/>
      <w:bookmarkEnd w:id="48"/>
    </w:p>
    <w:p w14:paraId="25351CF8" w14:textId="6E5D91B6" w:rsidR="00FA21FF" w:rsidRPr="009007F9" w:rsidRDefault="00FB6DC0" w:rsidP="005B4D0F">
      <w:pPr>
        <w:pStyle w:val="Heading2"/>
        <w:rPr>
          <w:szCs w:val="22"/>
          <w:lang w:val="en-US"/>
        </w:rPr>
      </w:pPr>
      <w:bookmarkStart w:id="49" w:name="_Toc120012361"/>
      <w:bookmarkStart w:id="50" w:name="_Toc134623378"/>
      <w:r w:rsidRPr="009007F9">
        <w:rPr>
          <w:szCs w:val="22"/>
          <w:lang w:val="en-US"/>
        </w:rPr>
        <w:t>Nuclear Magnetic Resonance</w:t>
      </w:r>
      <w:bookmarkStart w:id="51" w:name="_Toc129870369"/>
      <w:bookmarkEnd w:id="49"/>
      <w:bookmarkEnd w:id="50"/>
    </w:p>
    <w:p w14:paraId="74E10E00" w14:textId="34E736FB" w:rsidR="00FB6DC0" w:rsidRPr="009007F9" w:rsidRDefault="00FB6DC0" w:rsidP="00FA21FF">
      <w:pPr>
        <w:rPr>
          <w:rFonts w:cstheme="majorBidi"/>
        </w:rPr>
      </w:pPr>
      <w:r w:rsidRPr="009007F9">
        <w:rPr>
          <w:vertAlign w:val="superscript"/>
        </w:rPr>
        <w:t>1</w:t>
      </w:r>
      <w:r w:rsidRPr="009007F9">
        <w:t xml:space="preserve">H- und </w:t>
      </w:r>
      <w:r w:rsidRPr="009007F9">
        <w:rPr>
          <w:vertAlign w:val="superscript"/>
        </w:rPr>
        <w:t>13</w:t>
      </w:r>
      <w:r w:rsidRPr="009007F9">
        <w:t>C-NMR spectra were recorded on a Bruker Avance 500</w:t>
      </w:r>
      <w:r w:rsidR="00C31954" w:rsidRPr="009007F9">
        <w:t xml:space="preserve"> or </w:t>
      </w:r>
      <w:r w:rsidR="00CF5595" w:rsidRPr="009007F9">
        <w:t>700</w:t>
      </w:r>
      <w:r w:rsidRPr="009007F9">
        <w:t xml:space="preserve"> Spectrometer at 500.15 </w:t>
      </w:r>
      <w:r w:rsidR="00CF5595" w:rsidRPr="009007F9">
        <w:t xml:space="preserve">or </w:t>
      </w:r>
      <w:r w:rsidR="0013570F" w:rsidRPr="009007F9">
        <w:t xml:space="preserve">700.36 </w:t>
      </w:r>
      <w:r w:rsidRPr="009007F9">
        <w:t xml:space="preserve">MHz for </w:t>
      </w:r>
      <w:r w:rsidRPr="009007F9">
        <w:rPr>
          <w:vertAlign w:val="superscript"/>
        </w:rPr>
        <w:t>1</w:t>
      </w:r>
      <w:r w:rsidRPr="009007F9">
        <w:t>H- and 125</w:t>
      </w:r>
      <w:r w:rsidR="00CA2E70" w:rsidRPr="009007F9">
        <w:t>.76</w:t>
      </w:r>
      <w:r w:rsidRPr="009007F9">
        <w:t xml:space="preserve"> MHz for </w:t>
      </w:r>
      <w:r w:rsidRPr="009007F9">
        <w:rPr>
          <w:vertAlign w:val="superscript"/>
        </w:rPr>
        <w:t>13</w:t>
      </w:r>
      <w:r w:rsidRPr="009007F9">
        <w:t>C. The chemical shifts dare referred to tetramethylsilane (=TMS) in ppm set to 0. All substances were dissolved in CDCl</w:t>
      </w:r>
      <w:r w:rsidRPr="009007F9">
        <w:rPr>
          <w:vertAlign w:val="subscript"/>
        </w:rPr>
        <w:t>3</w:t>
      </w:r>
      <w:r w:rsidRPr="009007F9">
        <w:t xml:space="preserve"> and recorded at room temperature.</w:t>
      </w:r>
      <w:bookmarkEnd w:id="51"/>
    </w:p>
    <w:p w14:paraId="48F29F6B" w14:textId="77777777" w:rsidR="00FA3D6A" w:rsidRPr="009007F9" w:rsidRDefault="00FA3D6A" w:rsidP="005B4D0F">
      <w:pPr>
        <w:spacing w:after="0"/>
        <w:rPr>
          <w:rFonts w:cs="Arial"/>
        </w:rPr>
      </w:pPr>
    </w:p>
    <w:p w14:paraId="7B346815" w14:textId="71ED894A" w:rsidR="00FA21FF" w:rsidRPr="009007F9" w:rsidRDefault="00FB6DC0" w:rsidP="00CA5A95">
      <w:pPr>
        <w:pStyle w:val="Heading2"/>
        <w:rPr>
          <w:szCs w:val="22"/>
          <w:lang w:val="en-US"/>
        </w:rPr>
      </w:pPr>
      <w:bookmarkStart w:id="52" w:name="_Toc120012362"/>
      <w:bookmarkStart w:id="53" w:name="_Toc134623379"/>
      <w:r w:rsidRPr="009007F9">
        <w:rPr>
          <w:szCs w:val="22"/>
          <w:lang w:val="en-US"/>
        </w:rPr>
        <w:t>Gas chromatography (GC)</w:t>
      </w:r>
      <w:bookmarkStart w:id="54" w:name="_Toc129870370"/>
      <w:bookmarkEnd w:id="52"/>
      <w:bookmarkEnd w:id="53"/>
      <w:r w:rsidR="00CA5A95" w:rsidRPr="009007F9">
        <w:rPr>
          <w:szCs w:val="22"/>
          <w:lang w:val="en-US"/>
        </w:rPr>
        <w:t xml:space="preserve"> </w:t>
      </w:r>
    </w:p>
    <w:p w14:paraId="552F8889" w14:textId="28E3580C" w:rsidR="00FB6DC0" w:rsidRPr="009007F9" w:rsidRDefault="00FB6DC0" w:rsidP="00FA21FF">
      <w:pPr>
        <w:rPr>
          <w:rFonts w:cstheme="majorBidi"/>
        </w:rPr>
      </w:pPr>
      <w:r w:rsidRPr="009007F9">
        <w:t>GC-MS analyses were performed using an Agilent GC 7820A equipped with a CTC Pal-Sampler and a mass spectrometer MSD 5977B and a HP-5MS capillary column (Agilent, 30 m x 250 µm x 0.25 µm) and helium as carrier gas. Injections (1 µL) were performed in split mode. Relative conversions were calculated directly from GC-MS spectra by integration-quotient of substrates and products. GC-FID analyses were performed using a Shimadzu GC-2010 Plus equipped with an auto injector and DB-5 capillary column (Agilent, 30 m x 250 µm x 0.25 µm) and hydrogen as carrier gas. Chiral GC analyses were performed on a Shimadzu GC-2010 Plus equipped with a CP ChiraSil-Dex CB capillary column (Agilent, 25 m x 250 µm x 0.25 µm)</w:t>
      </w:r>
      <w:r w:rsidR="00CC1ACA" w:rsidRPr="009007F9">
        <w:t xml:space="preserve"> </w:t>
      </w:r>
      <w:r w:rsidR="007200B1">
        <w:t xml:space="preserve">and HP chiral </w:t>
      </w:r>
      <w:r w:rsidR="006E5A26">
        <w:t xml:space="preserve">20B </w:t>
      </w:r>
      <w:r w:rsidR="007200B1">
        <w:t>(</w:t>
      </w:r>
      <w:r w:rsidR="006E5A26">
        <w:t xml:space="preserve">Agilent, 30 m </w:t>
      </w:r>
      <w:r w:rsidR="006E5A26" w:rsidRPr="009007F9">
        <w:t xml:space="preserve">x </w:t>
      </w:r>
      <w:r w:rsidR="006E5A26">
        <w:t>320</w:t>
      </w:r>
      <w:r w:rsidR="006E5A26" w:rsidRPr="009007F9">
        <w:t xml:space="preserve"> µm x 0.25 µm</w:t>
      </w:r>
      <w:r w:rsidR="006E5A26">
        <w:t xml:space="preserve">) </w:t>
      </w:r>
      <w:r w:rsidRPr="009007F9">
        <w:t>and hydrogen as carrier gas. Injections (1 µL) were performed in split mode.</w:t>
      </w:r>
      <w:bookmarkEnd w:id="54"/>
    </w:p>
    <w:p w14:paraId="6F70FFF0" w14:textId="77777777" w:rsidR="00FA3D6A" w:rsidRPr="009007F9" w:rsidRDefault="00FA3D6A" w:rsidP="005B4D0F">
      <w:pPr>
        <w:spacing w:after="0"/>
        <w:rPr>
          <w:rFonts w:cs="Arial"/>
        </w:rPr>
      </w:pPr>
    </w:p>
    <w:p w14:paraId="53A5066F" w14:textId="06FD0D4F" w:rsidR="00FA21FF" w:rsidRPr="009007F9" w:rsidRDefault="00FB6DC0" w:rsidP="00CA5A95">
      <w:pPr>
        <w:pStyle w:val="Heading2"/>
        <w:rPr>
          <w:szCs w:val="22"/>
          <w:lang w:val="en-US"/>
        </w:rPr>
      </w:pPr>
      <w:bookmarkStart w:id="55" w:name="_Toc120012363"/>
      <w:bookmarkStart w:id="56" w:name="_Toc134623380"/>
      <w:r w:rsidRPr="009007F9">
        <w:rPr>
          <w:szCs w:val="22"/>
          <w:lang w:val="en-US"/>
        </w:rPr>
        <w:t>Circular dichroism</w:t>
      </w:r>
      <w:bookmarkStart w:id="57" w:name="_Toc129870371"/>
      <w:bookmarkStart w:id="58" w:name="_Toc62475167"/>
      <w:bookmarkEnd w:id="55"/>
      <w:bookmarkEnd w:id="56"/>
      <w:r w:rsidR="00CA5A95" w:rsidRPr="009007F9">
        <w:rPr>
          <w:szCs w:val="22"/>
          <w:lang w:val="en-US"/>
        </w:rPr>
        <w:t xml:space="preserve"> </w:t>
      </w:r>
    </w:p>
    <w:p w14:paraId="13BDF5D8" w14:textId="61B54F6D" w:rsidR="00FB6DC0" w:rsidRPr="009007F9" w:rsidRDefault="00FB6DC0" w:rsidP="00FA21FF">
      <w:pPr>
        <w:rPr>
          <w:rFonts w:cstheme="majorBidi"/>
        </w:rPr>
      </w:pPr>
      <w:r w:rsidRPr="009007F9">
        <w:t>The specific optical rotation</w:t>
      </w:r>
      <w:r w:rsidR="00FA21FF" w:rsidRPr="009007F9">
        <w:t>s</w:t>
      </w:r>
      <w:r w:rsidRPr="009007F9">
        <w:t xml:space="preserve"> w</w:t>
      </w:r>
      <w:r w:rsidR="00FA21FF" w:rsidRPr="009007F9">
        <w:t>ere</w:t>
      </w:r>
      <w:r w:rsidRPr="009007F9">
        <w:t xml:space="preserve"> measured on a Perkin Elmer Polarimeter 241. Therefore, the substance was dissolved in CHCl</w:t>
      </w:r>
      <w:r w:rsidRPr="009007F9">
        <w:rPr>
          <w:vertAlign w:val="subscript"/>
        </w:rPr>
        <w:t>3</w:t>
      </w:r>
      <w:r w:rsidRPr="009007F9">
        <w:t>, and the specific rotation was determined with a sodium and a mercury spectral lamp.</w:t>
      </w:r>
      <w:bookmarkEnd w:id="57"/>
    </w:p>
    <w:p w14:paraId="785AB439" w14:textId="77777777" w:rsidR="00FA3D6A" w:rsidRPr="009007F9" w:rsidRDefault="00FA3D6A" w:rsidP="005B4D0F">
      <w:pPr>
        <w:spacing w:after="0"/>
        <w:rPr>
          <w:rFonts w:cs="Arial"/>
        </w:rPr>
      </w:pPr>
    </w:p>
    <w:p w14:paraId="798D1DF5" w14:textId="10011A52" w:rsidR="00FB6DC0" w:rsidRPr="009007F9" w:rsidRDefault="00FB6DC0" w:rsidP="00B26A6B">
      <w:pPr>
        <w:pStyle w:val="Heading1"/>
        <w:numPr>
          <w:ilvl w:val="0"/>
          <w:numId w:val="6"/>
        </w:numPr>
        <w:tabs>
          <w:tab w:val="num" w:pos="360"/>
        </w:tabs>
        <w:ind w:left="0" w:firstLine="0"/>
        <w:rPr>
          <w:sz w:val="22"/>
          <w:szCs w:val="22"/>
        </w:rPr>
      </w:pPr>
      <w:bookmarkStart w:id="59" w:name="_Toc74843285"/>
      <w:bookmarkStart w:id="60" w:name="_Toc120012364"/>
      <w:bookmarkStart w:id="61" w:name="_Toc129870372"/>
      <w:bookmarkStart w:id="62" w:name="_Toc134623381"/>
      <w:r w:rsidRPr="009007F9">
        <w:rPr>
          <w:sz w:val="22"/>
          <w:szCs w:val="22"/>
        </w:rPr>
        <w:t>General Methods</w:t>
      </w:r>
      <w:bookmarkEnd w:id="58"/>
      <w:bookmarkEnd w:id="59"/>
      <w:bookmarkEnd w:id="60"/>
      <w:bookmarkEnd w:id="61"/>
      <w:bookmarkEnd w:id="62"/>
    </w:p>
    <w:p w14:paraId="27D93528" w14:textId="58C673DB" w:rsidR="00FA21FF" w:rsidRPr="009007F9" w:rsidRDefault="00FB6DC0" w:rsidP="00CA5A95">
      <w:pPr>
        <w:pStyle w:val="Heading2"/>
        <w:rPr>
          <w:b w:val="0"/>
          <w:bCs/>
          <w:szCs w:val="22"/>
          <w:lang w:val="en-US"/>
        </w:rPr>
      </w:pPr>
      <w:bookmarkStart w:id="63" w:name="_Toc120012365"/>
      <w:bookmarkStart w:id="64" w:name="_Toc134623382"/>
      <w:r w:rsidRPr="009007F9">
        <w:rPr>
          <w:szCs w:val="22"/>
          <w:lang w:val="en-US"/>
        </w:rPr>
        <w:t>Plasmid isolation</w:t>
      </w:r>
      <w:bookmarkStart w:id="65" w:name="_Toc129870373"/>
      <w:bookmarkEnd w:id="63"/>
      <w:bookmarkEnd w:id="64"/>
      <w:r w:rsidR="00CA5A95" w:rsidRPr="009007F9">
        <w:rPr>
          <w:b w:val="0"/>
          <w:bCs/>
          <w:szCs w:val="22"/>
          <w:lang w:val="en-US"/>
        </w:rPr>
        <w:t xml:space="preserve"> </w:t>
      </w:r>
    </w:p>
    <w:p w14:paraId="47069801" w14:textId="2803AB59" w:rsidR="00FB6DC0" w:rsidRPr="009007F9" w:rsidRDefault="00FA21FF" w:rsidP="00FA21FF">
      <w:pPr>
        <w:rPr>
          <w:rFonts w:cstheme="majorBidi"/>
          <w:b/>
          <w:bCs/>
        </w:rPr>
      </w:pPr>
      <w:r w:rsidRPr="009007F9">
        <w:t>I</w:t>
      </w:r>
      <w:r w:rsidR="00FB6DC0" w:rsidRPr="009007F9">
        <w:t>solation of the plasmid proceeded following to the standard protocol of Zyppy™Plasmid Miniprep Kit by ZymoResearch. For the photometric determination of the plasmid DNA concentration, 2 μL were measured on a Nanodrop 1000 (Agilent, Santa Clara, US) at a wavelength of 260 nm</w:t>
      </w:r>
      <w:r w:rsidR="00FB6DC0" w:rsidRPr="009007F9">
        <w:rPr>
          <w:b/>
          <w:bCs/>
        </w:rPr>
        <w:t>.</w:t>
      </w:r>
      <w:bookmarkEnd w:id="65"/>
      <w:r w:rsidR="00FB6DC0" w:rsidRPr="009007F9">
        <w:rPr>
          <w:rFonts w:cs="Arial"/>
          <w:b/>
          <w:bCs/>
          <w:i/>
        </w:rPr>
        <w:t xml:space="preserve"> </w:t>
      </w:r>
    </w:p>
    <w:p w14:paraId="02D46C87" w14:textId="77777777" w:rsidR="00FA3D6A" w:rsidRPr="009007F9" w:rsidRDefault="00FA3D6A" w:rsidP="005B4D0F">
      <w:pPr>
        <w:spacing w:after="0"/>
        <w:rPr>
          <w:rFonts w:cs="Arial"/>
          <w:i/>
        </w:rPr>
      </w:pPr>
    </w:p>
    <w:p w14:paraId="2CB61601" w14:textId="13B7D365" w:rsidR="00FA21FF" w:rsidRPr="009007F9" w:rsidRDefault="00FB6DC0" w:rsidP="00863986">
      <w:pPr>
        <w:pStyle w:val="Heading2"/>
        <w:rPr>
          <w:szCs w:val="22"/>
          <w:lang w:val="en-US"/>
        </w:rPr>
      </w:pPr>
      <w:bookmarkStart w:id="66" w:name="_Toc120012366"/>
      <w:bookmarkStart w:id="67" w:name="_Toc134623383"/>
      <w:r w:rsidRPr="009007F9">
        <w:rPr>
          <w:szCs w:val="22"/>
          <w:lang w:val="en-US"/>
        </w:rPr>
        <w:t>Site-saturation/-directed mutagenesis</w:t>
      </w:r>
      <w:bookmarkStart w:id="68" w:name="_Toc129870374"/>
      <w:bookmarkEnd w:id="66"/>
      <w:bookmarkEnd w:id="67"/>
      <w:r w:rsidR="00004375" w:rsidRPr="009007F9">
        <w:rPr>
          <w:szCs w:val="22"/>
          <w:lang w:val="en-US"/>
        </w:rPr>
        <w:t xml:space="preserve"> </w:t>
      </w:r>
    </w:p>
    <w:p w14:paraId="070BB3E2" w14:textId="62862FC4" w:rsidR="00FA21FF" w:rsidRPr="009007F9" w:rsidRDefault="00FB6DC0" w:rsidP="00FA21FF">
      <w:pPr>
        <w:rPr>
          <w:b/>
          <w:bCs/>
        </w:rPr>
      </w:pPr>
      <w:r w:rsidRPr="009007F9">
        <w:t>The gene encoding for AacSHC, or variants based on these genes were cloned into a pET-22b(+) vector system (Merck, Darmstadt, Germany). SacI and NdeI were used as restriction sites. Cloning followed the standard protocol of New England Biolabs Phusion High Fidelity DNA Polymerase.</w:t>
      </w:r>
      <w:bookmarkEnd w:id="68"/>
    </w:p>
    <w:p w14:paraId="0D43AFF5" w14:textId="21D07970" w:rsidR="00FB6DC0" w:rsidRPr="009007F9" w:rsidRDefault="00FB6DC0" w:rsidP="005B4D0F">
      <w:pPr>
        <w:spacing w:after="0"/>
        <w:rPr>
          <w:rFonts w:cs="Arial"/>
        </w:rPr>
      </w:pPr>
      <w:r w:rsidRPr="009007F9">
        <w:rPr>
          <w:rFonts w:cs="Arial"/>
          <w:b/>
          <w:bCs/>
        </w:rPr>
        <w:t>Site-saturation libraries</w:t>
      </w:r>
      <w:r w:rsidRPr="009007F9">
        <w:rPr>
          <w:rFonts w:cs="Arial"/>
        </w:rPr>
        <w:t xml:space="preserve"> were generated by </w:t>
      </w:r>
      <w:r w:rsidR="00B932EB" w:rsidRPr="009007F9">
        <w:rPr>
          <w:rFonts w:cs="Arial"/>
        </w:rPr>
        <w:t>using</w:t>
      </w:r>
      <w:r w:rsidRPr="009007F9">
        <w:rPr>
          <w:rFonts w:cs="Arial"/>
        </w:rPr>
        <w:t xml:space="preserve"> the “22c-trick” method</w:t>
      </w:r>
      <w:r w:rsidRPr="009007F9">
        <w:rPr>
          <w:rFonts w:cs="Arial"/>
        </w:rPr>
        <w:fldChar w:fldCharType="begin" w:fldLock="1"/>
      </w:r>
      <w:r w:rsidR="00E81BA1">
        <w:rPr>
          <w:rFonts w:cs="Arial"/>
        </w:rPr>
        <w:instrText>ADDIN CSL_CITATION {"citationItems":[{"id":"ITEM-1","itemData":{"DOI":"10.1021/sb300037w","ISBN":"2161-5063\\r2161-5063","ISSN":"21615063","PMID":"23656371","abstract":"Saturation mutagenesis probes define sections of the vast protein sequence space. However, even if randomization is limited this way, the combinatorial numbers problem is severe. Because diversity is created at the codon level, codon redundancy is a crucial factor determining the necessary effort for library screening. Additionally, due to the probabilistic nature of the sampling process, oversampling is required to ensure library completeness as well as a high probability to encounter all unique variants. Our trick employs a special mixture of three primers, creating a degeneracy of 22 unique codons coding for the 20 canonical amino acids. Therefore, codon redundancy and subsequent screening effort is significantly reduced, and a balanced distribution of codon per amino acid is achieved, as demonstrated exemplarily for a library of cyclohexanone monooxygenase. We show that this strategy is suitable for any saturation mutagenesis methodology to generate less-redundant libraries.","author":[{"dropping-particle":"","family":"Kille","given":"Sabrina","non-dropping-particle":"","parse-names":false,"suffix":""},{"dropping-particle":"","family":"Acevedo-Rocha","given":"Carlos G.","non-dropping-particle":"","parse-names":false,"suffix":""},{"dropping-particle":"","family":"Parra","given":"Loreto P.","non-dropping-particle":"","parse-names":false,"suffix":""},{"dropping-particle":"","family":"Zhang","given":"Zhi Gang","non-dropping-particle":"","parse-names":false,"suffix":""},{"dropping-particle":"","family":"Opperman","given":"Diederik J.","non-dropping-particle":"","parse-names":false,"suffix":""},{"dropping-particle":"","family":"Reetz","given":"Manfred T.","non-dropping-particle":"","parse-names":false,"suffix":""},{"dropping-particle":"","family":"Acevedo","given":"Juan Pablo","non-dropping-particle":"","parse-names":false,"suffix":""}],"container-title":"ACS Synthetic Biology","id":"ITEM-1","issue":"2","issued":{"date-parts":[["2013"]]},"page":"83-92","title":"Reducing codon redundancy and screening effort of combinatorial protein libraries created by saturation mutagenesis","type":"article-journal","volume":"2"},"uris":["http://www.mendeley.com/documents/?uuid=d38b63e1-75bd-41ac-a9d4-bd3a47660e24"]}],"mendeley":{"formattedCitation":"&lt;sup&gt;22&lt;/sup&gt;","plainTextFormattedCitation":"22","previouslyFormattedCitation":"&lt;sup&gt;21&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22</w:t>
      </w:r>
      <w:r w:rsidRPr="009007F9">
        <w:rPr>
          <w:rFonts w:cs="Arial"/>
        </w:rPr>
        <w:fldChar w:fldCharType="end"/>
      </w:r>
      <w:r w:rsidRPr="009007F9">
        <w:rPr>
          <w:rFonts w:cs="Arial"/>
        </w:rPr>
        <w:t xml:space="preserve"> PCR products were digested with 1 µL DpnI for 2-4 h at 37 °C, purified by agarose gel electrophoresis and ligated into the pET22b(+) vector by Gibson assembly.</w:t>
      </w:r>
      <w:r w:rsidRPr="009007F9">
        <w:rPr>
          <w:rFonts w:cs="Arial"/>
        </w:rPr>
        <w:fldChar w:fldCharType="begin" w:fldLock="1"/>
      </w:r>
      <w:r w:rsidR="00E81BA1">
        <w:rPr>
          <w:rFonts w:cs="Arial"/>
        </w:rPr>
        <w:instrText>ADDIN CSL_CITATION {"citationItems":[{"id":"ITEM-1","itemData":{"DOI":"10.1038/nmeth.1318","ISSN":"15487091","PMID":"19363495","abstract":"We describe an isothermal, single-reaction method for assembling multiple overlapping DNA molecules by the concerted action of a 5′ exonuclease, a DNA polymerase and a DNA ligase. First we recessed DNA fragments, yielding single-stranded DNA overhangs that specifically annealed, and then covalently joined them. This assembly method can be used to seamlessly construct synthetic and natural genes, genetic pathways and entire genomes, and could be a useful molecular engineering tool.","author":[{"dropping-particle":"","family":"Gibson","given":"Daniel G.","non-dropping-particle":"","parse-names":false,"suffix":""},{"dropping-particle":"","family":"Young","given":"Lei","non-dropping-particle":"","parse-names":false,"suffix":""},{"dropping-particle":"","family":"Chuang","given":"Ray Yuan","non-dropping-particle":"","parse-names":false,"suffix":""},{"dropping-particle":"","family":"Venter","given":"J. Craig","non-dropping-particle":"","parse-names":false,"suffix":""},{"dropping-particle":"","family":"Hutchison","given":"Clyde A.","non-dropping-particle":"","parse-names":false,"suffix":""},{"dropping-particle":"","family":"Smith","given":"Hamilton O.","non-dropping-particle":"","parse-names":false,"suffix":""}],"container-title":"Nature Methods","id":"ITEM-1","issue":"5","issued":{"date-parts":[["2009"]]},"page":"343-345","title":"Enzymatic assembly of DNA molecules up to several hundred kilobases","type":"article-journal","volume":"6"},"uris":["http://www.mendeley.com/documents/?uuid=97ff7774-f430-449f-995f-a8b2f3ab474f"]}],"mendeley":{"formattedCitation":"&lt;sup&gt;23&lt;/sup&gt;","plainTextFormattedCitation":"23","previouslyFormattedCitation":"&lt;sup&gt;22&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23</w:t>
      </w:r>
      <w:r w:rsidRPr="009007F9">
        <w:rPr>
          <w:rFonts w:cs="Arial"/>
        </w:rPr>
        <w:fldChar w:fldCharType="end"/>
      </w:r>
      <w:r w:rsidRPr="009007F9">
        <w:rPr>
          <w:rFonts w:cs="Arial"/>
        </w:rPr>
        <w:t xml:space="preserve"> Afterwards the plasmids were transformed via heat-shock method (see below). </w:t>
      </w:r>
      <w:r w:rsidRPr="009007F9">
        <w:rPr>
          <w:rFonts w:cs="Arial"/>
          <w:b/>
          <w:bCs/>
        </w:rPr>
        <w:t>Single-point mutated variants</w:t>
      </w:r>
      <w:r w:rsidRPr="009007F9">
        <w:rPr>
          <w:rFonts w:cs="Arial"/>
        </w:rPr>
        <w:t xml:space="preserve"> were directly transformed after DpnI digest without further purification.</w:t>
      </w:r>
    </w:p>
    <w:p w14:paraId="78C1F7DB" w14:textId="77777777" w:rsidR="00FB6DC0" w:rsidRPr="009007F9" w:rsidRDefault="00FB6DC0" w:rsidP="005B4D0F">
      <w:pPr>
        <w:spacing w:after="0"/>
        <w:rPr>
          <w:rFonts w:cs="Arial"/>
        </w:rPr>
      </w:pPr>
    </w:p>
    <w:p w14:paraId="3EF3E51C" w14:textId="4BA3F12A" w:rsidR="00FA21FF" w:rsidRPr="009007F9" w:rsidRDefault="00FB6DC0" w:rsidP="00004375">
      <w:pPr>
        <w:pStyle w:val="Heading2"/>
        <w:rPr>
          <w:szCs w:val="22"/>
          <w:lang w:val="en-US"/>
        </w:rPr>
      </w:pPr>
      <w:bookmarkStart w:id="69" w:name="_Toc120012367"/>
      <w:bookmarkStart w:id="70" w:name="_Toc134623384"/>
      <w:r w:rsidRPr="009007F9">
        <w:rPr>
          <w:szCs w:val="22"/>
          <w:lang w:val="en-US"/>
        </w:rPr>
        <w:t>Plasmid transformation via heat-shock method</w:t>
      </w:r>
      <w:bookmarkStart w:id="71" w:name="_Toc129870375"/>
      <w:bookmarkEnd w:id="69"/>
      <w:bookmarkEnd w:id="70"/>
      <w:r w:rsidR="00004375" w:rsidRPr="009007F9">
        <w:rPr>
          <w:szCs w:val="22"/>
          <w:lang w:val="en-US"/>
        </w:rPr>
        <w:t xml:space="preserve"> </w:t>
      </w:r>
    </w:p>
    <w:p w14:paraId="156C5BBA" w14:textId="61CF3636" w:rsidR="00FB6DC0" w:rsidRPr="009007F9" w:rsidRDefault="00FB6DC0" w:rsidP="00FA21FF">
      <w:pPr>
        <w:rPr>
          <w:rFonts w:cstheme="majorBidi"/>
        </w:rPr>
      </w:pPr>
      <w:r w:rsidRPr="009007F9">
        <w:t>Chemically competent cells based on rubidium chloride</w:t>
      </w:r>
      <w:r w:rsidRPr="009007F9">
        <w:rPr>
          <w:vertAlign w:val="superscript"/>
        </w:rPr>
        <w:fldChar w:fldCharType="begin" w:fldLock="1"/>
      </w:r>
      <w:r w:rsidR="00E81BA1">
        <w:rPr>
          <w:vertAlign w:val="superscript"/>
        </w:rPr>
        <w:instrText>ADDIN CSL_CITATION {"citationItems":[{"id":"ITEM-1","itemData":{"DOI":"10.1002/9780471729259.mca03ls22","ISSN":"19348525","abstract":"Transformation of bacterial cells, specifically Escherichia coli, is a widespread and powerful laboratory technique. This unit describes two protocols to make competent E. coli,which can then be used in subsequent transformations. The first protocol describes the preparation of chemically competent E. coli. These cells can be transformed in almost any laboratory with simple equipment, such as a water bath. The second protocol is used to make electrocompetent cells. These cells will yield high numbers of transformants, but require an electroporator, which may not be available in all environments. Thus, these two protocols should be sufficient for almost any situation that requires the preparation of competent E. © 2011 by JohnWiley &amp; Sons, Inc.","author":[{"dropping-particle":"","family":"Renzette","given":"Nicholas","non-dropping-particle":"","parse-names":false,"suffix":""}],"container-title":"Current Protocols in Microbiology","id":"ITEM-1","issue":"SUPPL. 22","issued":{"date-parts":[["2011","8","1"]]},"page":"A.3L.1-A.3L.5","publisher":"John Wiley &amp; Sons, Ltd","title":"Generation of transformation competent E. coli","type":"article-journal","volume":"22"},"uris":["http://www.mendeley.com/documents/?uuid=b5734e99-bc7d-35be-acb9-c477c4ac9e0b"]}],"mendeley":{"formattedCitation":"&lt;sup&gt;24&lt;/sup&gt;","plainTextFormattedCitation":"24","previouslyFormattedCitation":"&lt;sup&gt;23&lt;/sup&gt;"},"properties":{"noteIndex":0},"schema":"https://github.com/citation-style-language/schema/raw/master/csl-citation.json"}</w:instrText>
      </w:r>
      <w:r w:rsidRPr="009007F9">
        <w:rPr>
          <w:vertAlign w:val="superscript"/>
        </w:rPr>
        <w:fldChar w:fldCharType="separate"/>
      </w:r>
      <w:r w:rsidR="00E81BA1" w:rsidRPr="00E81BA1">
        <w:rPr>
          <w:noProof/>
          <w:vertAlign w:val="superscript"/>
        </w:rPr>
        <w:t>24</w:t>
      </w:r>
      <w:r w:rsidRPr="009007F9">
        <w:rPr>
          <w:vertAlign w:val="superscript"/>
        </w:rPr>
        <w:fldChar w:fldCharType="end"/>
      </w:r>
      <w:r w:rsidRPr="009007F9">
        <w:t xml:space="preserve"> were produced for the transformation of the plasmid DNA. The transformation was carried out at 4 °C. For site saturation libraries 3 µL (5 µL for single-point mutations) of the purified (crude) PCR product was added to 25 µL XL1-blue competent cells and incubated for 30 min on ice, followed by a heat shock at 42 °C for 105 s with subsequent ice cooling for 3 min. After adding 500 µL of LB medium, the cells were incubated for 40min at 37 ° C and used for inoculation of a 5 mL LB medium (Ampicillin, cend = 100 µg/mL) pre-culture overnight. Single-point variants were plated on petri dishes and grown colonies were picked and grown in 5 mL LB medium. After isolation of the plasmid, sequencing for quality control was performed. Subsequently, transformation into 50 µL BL21(DE3) was performed using the heat shock method. After regeneration 150 µL were streaked out on an agar plate (Ampicillin, c</w:t>
      </w:r>
      <w:r w:rsidRPr="009007F9">
        <w:rPr>
          <w:vertAlign w:val="subscript"/>
        </w:rPr>
        <w:t>end</w:t>
      </w:r>
      <w:r w:rsidRPr="009007F9">
        <w:t xml:space="preserve"> = 100 µg/mL) and incubated at 37 °C overnight. For quality control the plasmid was isolated from another 150 µL and sent for sequencing. For site-directed mutants the PCR product was digested with DpnI overnight and afterwards transformed into XL1-blue competent cells. After regeneration 300 µL were streaked out on an agar plate for single clone picking.</w:t>
      </w:r>
      <w:bookmarkEnd w:id="71"/>
      <w:r w:rsidRPr="009007F9">
        <w:rPr>
          <w:rFonts w:cs="Arial"/>
        </w:rPr>
        <w:t xml:space="preserve"> </w:t>
      </w:r>
    </w:p>
    <w:p w14:paraId="7907A7AA" w14:textId="77777777" w:rsidR="00FB6DC0" w:rsidRPr="009007F9" w:rsidRDefault="00FB6DC0" w:rsidP="005B4D0F">
      <w:pPr>
        <w:spacing w:after="0"/>
        <w:rPr>
          <w:rFonts w:cs="Arial"/>
        </w:rPr>
      </w:pPr>
    </w:p>
    <w:p w14:paraId="35B80E55" w14:textId="2C59EA5E" w:rsidR="00FB6DC0" w:rsidRPr="009007F9" w:rsidRDefault="00FB6DC0" w:rsidP="005B4D0F">
      <w:pPr>
        <w:pStyle w:val="Heading2"/>
        <w:rPr>
          <w:szCs w:val="22"/>
          <w:lang w:val="en-US"/>
        </w:rPr>
      </w:pPr>
      <w:bookmarkStart w:id="72" w:name="_Toc120012368"/>
      <w:bookmarkStart w:id="73" w:name="_Toc129870376"/>
      <w:bookmarkStart w:id="74" w:name="_Toc134623385"/>
      <w:r w:rsidRPr="009007F9">
        <w:rPr>
          <w:szCs w:val="22"/>
          <w:lang w:val="en-US"/>
        </w:rPr>
        <w:t>Expression of SHC in Erlenmeyer flasks</w:t>
      </w:r>
      <w:bookmarkEnd w:id="72"/>
      <w:bookmarkEnd w:id="73"/>
      <w:bookmarkEnd w:id="74"/>
    </w:p>
    <w:p w14:paraId="710AAA2B" w14:textId="77777777" w:rsidR="00FB6DC0" w:rsidRPr="009007F9" w:rsidRDefault="00FB6DC0" w:rsidP="005B4D0F">
      <w:pPr>
        <w:spacing w:after="0"/>
        <w:rPr>
          <w:rFonts w:cs="Arial"/>
          <w:bCs/>
          <w:iCs/>
          <w:spacing w:val="5"/>
        </w:rPr>
      </w:pPr>
      <w:r w:rsidRPr="009007F9">
        <w:rPr>
          <w:rFonts w:cs="Arial"/>
          <w:bCs/>
          <w:iCs/>
          <w:spacing w:val="5"/>
        </w:rPr>
        <w:t>Expression cultures were inoculated with 5 mL of the pre-culture into 500 mL of T-DAB autoinduction medium (Ampicillin, c</w:t>
      </w:r>
      <w:r w:rsidRPr="009007F9">
        <w:rPr>
          <w:rFonts w:cs="Arial"/>
          <w:bCs/>
          <w:iCs/>
          <w:spacing w:val="5"/>
          <w:vertAlign w:val="subscript"/>
        </w:rPr>
        <w:t xml:space="preserve">end </w:t>
      </w:r>
      <w:r w:rsidRPr="009007F9">
        <w:rPr>
          <w:rFonts w:cs="Arial"/>
          <w:bCs/>
          <w:iCs/>
          <w:spacing w:val="5"/>
        </w:rPr>
        <w:t xml:space="preserve">= 100 µg/mL) with lactose as the inductor. The cultures were incubated for 20 h at 37 °C, 180 rpm and harvested afterwards (8000 rpm, 30 min). The resulting pellets were frozen at </w:t>
      </w:r>
      <w:r w:rsidRPr="009007F9">
        <w:rPr>
          <w:rFonts w:ascii="Symbol" w:hAnsi="Symbol" w:cs="Arial"/>
          <w:bCs/>
          <w:iCs/>
          <w:spacing w:val="5"/>
        </w:rPr>
        <w:noBreakHyphen/>
      </w:r>
      <w:r w:rsidRPr="009007F9">
        <w:rPr>
          <w:rFonts w:cs="Arial"/>
          <w:bCs/>
          <w:iCs/>
          <w:spacing w:val="5"/>
        </w:rPr>
        <w:t>80 °C overnight and lyophilized afterwards for storage. Alternatively, the cell pellets were directly used for biotransformations or thermolysis purification.</w:t>
      </w:r>
    </w:p>
    <w:p w14:paraId="412F24EA" w14:textId="77777777" w:rsidR="00FB6DC0" w:rsidRPr="009007F9" w:rsidRDefault="00FB6DC0" w:rsidP="005B4D0F">
      <w:pPr>
        <w:spacing w:after="0"/>
        <w:rPr>
          <w:rFonts w:cs="Arial"/>
        </w:rPr>
      </w:pPr>
    </w:p>
    <w:p w14:paraId="48A7F10F" w14:textId="16575BE7" w:rsidR="00FB6DC0" w:rsidRPr="009007F9" w:rsidRDefault="00FB6DC0" w:rsidP="005B4D0F">
      <w:pPr>
        <w:pStyle w:val="Heading2"/>
        <w:rPr>
          <w:szCs w:val="22"/>
          <w:lang w:val="en-US"/>
        </w:rPr>
      </w:pPr>
      <w:bookmarkStart w:id="75" w:name="_Toc120012369"/>
      <w:bookmarkStart w:id="76" w:name="_Toc129870377"/>
      <w:bookmarkStart w:id="77" w:name="_Toc134623386"/>
      <w:r w:rsidRPr="009007F9">
        <w:rPr>
          <w:szCs w:val="22"/>
          <w:lang w:val="en-US"/>
        </w:rPr>
        <w:t>Expression of SHC libraries in 96-DW plates</w:t>
      </w:r>
      <w:bookmarkEnd w:id="75"/>
      <w:bookmarkEnd w:id="76"/>
      <w:bookmarkEnd w:id="77"/>
    </w:p>
    <w:p w14:paraId="6DD7B44C" w14:textId="77777777" w:rsidR="00FB6DC0" w:rsidRPr="009007F9" w:rsidRDefault="00FB6DC0" w:rsidP="005B4D0F">
      <w:pPr>
        <w:spacing w:after="0"/>
        <w:rPr>
          <w:rFonts w:cs="Arial"/>
        </w:rPr>
      </w:pPr>
      <w:r w:rsidRPr="009007F9">
        <w:rPr>
          <w:rFonts w:cs="Arial"/>
        </w:rPr>
        <w:t>Individual colonies were picked from generated agar plates and cultivated in 500 µL LB medium (Ampicillin, c</w:t>
      </w:r>
      <w:r w:rsidRPr="009007F9">
        <w:rPr>
          <w:rFonts w:cs="Arial"/>
          <w:vertAlign w:val="subscript"/>
        </w:rPr>
        <w:t xml:space="preserve">end </w:t>
      </w:r>
      <w:r w:rsidRPr="009007F9">
        <w:rPr>
          <w:rFonts w:cs="Arial"/>
        </w:rPr>
        <w:t>= 100 µg/ml) for 18-20 h at 37 °C, 800 rpm. Expression cultures were inoculated with 10 µL of the pre-culture into 1 mL of T-DAB autoinduction medium (Ampicillin, c</w:t>
      </w:r>
      <w:r w:rsidRPr="009007F9">
        <w:rPr>
          <w:rFonts w:cs="Arial"/>
          <w:vertAlign w:val="subscript"/>
        </w:rPr>
        <w:t xml:space="preserve">end </w:t>
      </w:r>
      <w:r w:rsidRPr="009007F9">
        <w:rPr>
          <w:rFonts w:cs="Arial"/>
        </w:rPr>
        <w:t xml:space="preserve">= 100 µg/mL) with lactose as the inductor. The cultures were incubated for 20 h at 37 °C, 800 rpm and harvested afterwards (4000 x g, 20 min). </w:t>
      </w:r>
    </w:p>
    <w:p w14:paraId="072CBE60" w14:textId="77777777" w:rsidR="00FB6DC0" w:rsidRPr="009007F9" w:rsidRDefault="00FB6DC0" w:rsidP="005B4D0F">
      <w:pPr>
        <w:spacing w:after="0"/>
        <w:rPr>
          <w:rFonts w:cs="Arial"/>
        </w:rPr>
      </w:pPr>
    </w:p>
    <w:p w14:paraId="5A90189A" w14:textId="1F95D41B" w:rsidR="00FB6DC0" w:rsidRPr="009007F9" w:rsidRDefault="00FB6DC0" w:rsidP="005B4D0F">
      <w:pPr>
        <w:pStyle w:val="Heading2"/>
        <w:rPr>
          <w:szCs w:val="22"/>
          <w:lang w:val="en-US"/>
        </w:rPr>
      </w:pPr>
      <w:bookmarkStart w:id="78" w:name="_Toc120012370"/>
      <w:bookmarkStart w:id="79" w:name="_Toc129870378"/>
      <w:bookmarkStart w:id="80" w:name="_Toc134623387"/>
      <w:r w:rsidRPr="009007F9">
        <w:rPr>
          <w:szCs w:val="22"/>
          <w:lang w:val="en-US"/>
        </w:rPr>
        <w:t>Expression in 24 DW-plates</w:t>
      </w:r>
      <w:bookmarkEnd w:id="78"/>
      <w:bookmarkEnd w:id="79"/>
      <w:bookmarkEnd w:id="80"/>
    </w:p>
    <w:p w14:paraId="650CC0D5" w14:textId="77777777" w:rsidR="00FB6DC0" w:rsidRPr="009007F9" w:rsidRDefault="00FB6DC0" w:rsidP="005B4D0F">
      <w:pPr>
        <w:spacing w:after="0"/>
        <w:rPr>
          <w:rFonts w:cs="Arial"/>
        </w:rPr>
      </w:pPr>
      <w:r w:rsidRPr="009007F9">
        <w:rPr>
          <w:rFonts w:cs="Arial"/>
        </w:rPr>
        <w:t>Individual colonies were picked from generated agar plates and cultivated in 2 mL LB medium (Ampicillin, c</w:t>
      </w:r>
      <w:r w:rsidRPr="009007F9">
        <w:rPr>
          <w:rFonts w:cs="Arial"/>
          <w:vertAlign w:val="subscript"/>
        </w:rPr>
        <w:t xml:space="preserve">end </w:t>
      </w:r>
      <w:r w:rsidRPr="009007F9">
        <w:rPr>
          <w:rFonts w:cs="Arial"/>
        </w:rPr>
        <w:t>= 100 µg/mL) for 18-20 h at 37 °C, 180 rpm. Expression cultures were inoculated with 40 µL of the pre-culture into 4 mL of T-DAB autoinduction medium (Ampicillin, c</w:t>
      </w:r>
      <w:r w:rsidRPr="009007F9">
        <w:rPr>
          <w:rFonts w:cs="Arial"/>
          <w:vertAlign w:val="subscript"/>
        </w:rPr>
        <w:t xml:space="preserve">end </w:t>
      </w:r>
      <w:r w:rsidRPr="009007F9">
        <w:rPr>
          <w:rFonts w:cs="Arial"/>
        </w:rPr>
        <w:t xml:space="preserve">= 100 µg/mL) with lactose as the inductor. The cultures were incubated for 20 h at 37 °C, 600 rpm and harvested afterwards (4000 x g, 20 min). </w:t>
      </w:r>
    </w:p>
    <w:p w14:paraId="683999B9" w14:textId="77777777" w:rsidR="00FB6DC0" w:rsidRPr="009007F9" w:rsidRDefault="00FB6DC0" w:rsidP="005B4D0F">
      <w:pPr>
        <w:spacing w:after="0"/>
        <w:rPr>
          <w:rFonts w:cs="Arial"/>
        </w:rPr>
      </w:pPr>
    </w:p>
    <w:p w14:paraId="04CB3B02" w14:textId="77777777" w:rsidR="00FB6DC0" w:rsidRPr="009007F9" w:rsidRDefault="00FB6DC0" w:rsidP="005B4D0F">
      <w:pPr>
        <w:spacing w:after="0"/>
        <w:rPr>
          <w:rFonts w:cs="Arial"/>
        </w:rPr>
      </w:pPr>
      <w:r w:rsidRPr="009007F9">
        <w:rPr>
          <w:rFonts w:cs="Arial"/>
          <w:b/>
        </w:rPr>
        <w:t>Lyophilization protocol</w:t>
      </w:r>
    </w:p>
    <w:p w14:paraId="03A36551" w14:textId="77777777" w:rsidR="00FB6DC0" w:rsidRPr="009007F9" w:rsidRDefault="00FB6DC0" w:rsidP="005B4D0F">
      <w:pPr>
        <w:spacing w:after="0"/>
        <w:rPr>
          <w:rFonts w:cs="Arial"/>
        </w:rPr>
      </w:pPr>
      <w:r w:rsidRPr="009007F9">
        <w:rPr>
          <w:rFonts w:cs="Arial"/>
        </w:rPr>
        <w:t xml:space="preserve">Freshly harvested </w:t>
      </w:r>
      <w:r w:rsidRPr="009007F9">
        <w:rPr>
          <w:rFonts w:cs="Arial"/>
          <w:i/>
        </w:rPr>
        <w:t xml:space="preserve">E. coli </w:t>
      </w:r>
      <w:r w:rsidRPr="009007F9">
        <w:rPr>
          <w:rFonts w:cs="Arial"/>
        </w:rPr>
        <w:t>cells were transferred to petri dishes and frozen at –80°C overnight. On the following day the frozen pellets were quickly transferred to</w:t>
      </w:r>
      <w:r w:rsidRPr="009007F9">
        <w:rPr>
          <w:rFonts w:cs="Arial"/>
          <w:i/>
        </w:rPr>
        <w:t xml:space="preserve"> Christ alpha 2-4 LD plus</w:t>
      </w:r>
      <w:r w:rsidRPr="009007F9">
        <w:rPr>
          <w:rFonts w:cs="Arial"/>
        </w:rPr>
        <w:t xml:space="preserve"> lyophilizer and lyophilized at –80 °C at 0.0001 atm for one. The resulting lyophilized whole cells were mortared gently and stored in 50 mL Falcon tubes at room temperature. </w:t>
      </w:r>
    </w:p>
    <w:p w14:paraId="2E7280A3" w14:textId="77777777" w:rsidR="00FB6DC0" w:rsidRPr="009007F9" w:rsidRDefault="00FB6DC0" w:rsidP="005B4D0F">
      <w:pPr>
        <w:spacing w:after="0"/>
        <w:rPr>
          <w:rFonts w:cs="Arial"/>
        </w:rPr>
      </w:pPr>
    </w:p>
    <w:p w14:paraId="79BDA722" w14:textId="12323A3A" w:rsidR="00FB6DC0" w:rsidRPr="009007F9" w:rsidRDefault="00FB6DC0" w:rsidP="005B4D0F">
      <w:pPr>
        <w:pStyle w:val="Heading2"/>
        <w:rPr>
          <w:szCs w:val="22"/>
          <w:lang w:val="en-US"/>
        </w:rPr>
      </w:pPr>
      <w:bookmarkStart w:id="81" w:name="_Toc134623388"/>
      <w:bookmarkStart w:id="82" w:name="_Toc120012371"/>
      <w:bookmarkStart w:id="83" w:name="_Toc129870379"/>
      <w:r w:rsidRPr="009007F9">
        <w:rPr>
          <w:szCs w:val="22"/>
          <w:lang w:val="en-US"/>
        </w:rPr>
        <w:t>Thermolysis purification</w:t>
      </w:r>
      <w:r w:rsidRPr="009007F9">
        <w:rPr>
          <w:szCs w:val="22"/>
          <w:lang w:val="en-US"/>
        </w:rPr>
        <w:fldChar w:fldCharType="begin" w:fldLock="1"/>
      </w:r>
      <w:r w:rsidR="00E81BA1">
        <w:rPr>
          <w:szCs w:val="22"/>
          <w:lang w:val="en-US"/>
        </w:rPr>
        <w:instrText>ADDIN CSL_CITATION {"citationItems":[{"id":"ITEM-1","itemData":{"DOI":"10.1016/j.bej.2006.09.017","ISSN":"1369703X","abstract":"The development of recombinant DNA has made it feasible to produce a wide range of valuable protein products in the bacterium Escherichia coli. Extraction of intracellular protein from E. coli is traditionally achieved by mechanical, chemical or enzymatic disruption technology. In this study, thermolysis, which differs from the traditional ones, is presented for disruption of E. coli cells to release recombinant thermostable enzyme. Heat treatment of E. coli at 80 °C is highly effective to destroy the integrity of the bacterial cell wall and release the recombinant thermostable enzyme. At the same time of disruption, the recombinant thermostable enzyme was partially purified. Moreover, thermolysis was carried out in fermentation broth in situ, which may make it a more applicable approach for industrial-scale processes. © 2006 Elsevier B.V. All rights reserved.","author":[{"dropping-particle":"","family":"Ren","given":"Xiaodong","non-dropping-particle":"","parse-names":false,"suffix":""},{"dropping-particle":"","family":"Yu","given":"Dawei","non-dropping-particle":"","parse-names":false,"suffix":""},{"dropping-particle":"","family":"Han","given":"Siping","non-dropping-particle":"","parse-names":false,"suffix":""},{"dropping-particle":"","family":"Feng","given":"Yan","non-dropping-particle":"","parse-names":false,"suffix":""}],"container-title":"Biochemical Engineering Journal","id":"ITEM-1","issue":"1","issued":{"date-parts":[["2007"]]},"page":"94-98","title":"Thermolysis of recombinant &lt;i&gt;Escherichia coli&lt;/i&gt; for recovering a thermostable enzyme","type":"article-journal","volume":"33"},"uris":["http://www.mendeley.com/documents/?uuid=f493dade-a87e-4cdd-9b76-a4d12297f752"]},{"id":"ITEM-2","itemData":{"DOI":"10.1016/j.procbio.2017.02.015","ISSN":"13595113","abstract":"Laccases belong to multicopper oxidases and are widespread in nature. Currently, mainly fungal laccases are applied in biotechnological processes. One reason for this is that fungal laccases are much better studied. Compared to fungal laccases, bacterial laccases possess some advantageous characteristics like high stability at elevated temperatures and alkaline pH values. Intracellular recombinant expression of bacterial laccases in E. coli makes however downstream processing more complex and time-consuming compared to extracellular expression of fungal enzymes. Here, we demonstrate that cell disruption by cell thermolysis is an efficient and simple method for the isolation and partial purification of recombinant bacterial laccases. Three different laccases, Tth from Thermus thermophilus, CotA from Bacillus subtilis and Ssl1 from Streptomyces sviceus, were used to compare cell disruption by cell thermolysis with sonication and high-pressure homogenization, with and without subsequent heat treatment. Cell thermolysis resulted in high laccase activities per gram of cell wet weight and in the highest specific activities of the laccases. For example, specific activity of Tth laccase after cell thermolysis was 469-fold higher than after sonication. Furthermore, high decolorization activity towards indigo carmine and alizarin red S of these laccases, isolated via cell thermolysis, demonstrate their potential for technical applications.","author":[{"dropping-particle":"","family":"Koschorreck","given":"Katja","non-dropping-particle":"","parse-names":false,"suffix":""},{"dropping-particle":"","family":"Wahrendorff","given":"Franca","non-dropping-particle":"","parse-names":false,"suffix":""},{"dropping-particle":"","family":"Biemann","given":"Stefan","non-dropping-particle":"","parse-names":false,"suffix":""},{"dropping-particle":"","family":"Jesse","given":"Annika","non-dropping-particle":"","parse-names":false,"suffix":""},{"dropping-particle":"","family":"Urlacher","given":"Vlada B.","non-dropping-particle":"","parse-names":false,"suffix":""}],"container-title":"Process Biochemistry","id":"ITEM-2","issued":{"date-parts":[["2017"]]},"page":"171-176","publisher":"Elsevier Ltd","title":"Cell thermolysis – A simple and fast approach for isolation of bacterial laccases with potential to decolorize industrial dyes","type":"article-journal","volume":"56"},"uris":["http://www.mendeley.com/documents/?uuid=893104af-b313-4f8e-a9d2-dbb614c9dec2"]}],"mendeley":{"formattedCitation":"&lt;sup&gt;25,26&lt;/sup&gt;","plainTextFormattedCitation":"25,26","previouslyFormattedCitation":"&lt;sup&gt;24,25&lt;/sup&gt;"},"properties":{"noteIndex":0},"schema":"https://github.com/citation-style-language/schema/raw/master/csl-citation.json"}</w:instrText>
      </w:r>
      <w:r w:rsidRPr="009007F9">
        <w:rPr>
          <w:szCs w:val="22"/>
          <w:lang w:val="en-US"/>
        </w:rPr>
        <w:fldChar w:fldCharType="separate"/>
      </w:r>
      <w:bookmarkEnd w:id="82"/>
      <w:bookmarkEnd w:id="83"/>
      <w:r w:rsidR="00E81BA1" w:rsidRPr="00E81BA1">
        <w:rPr>
          <w:b w:val="0"/>
          <w:noProof/>
          <w:szCs w:val="22"/>
          <w:vertAlign w:val="superscript"/>
          <w:lang w:val="en-US"/>
        </w:rPr>
        <w:t>25,26</w:t>
      </w:r>
      <w:bookmarkEnd w:id="81"/>
      <w:r w:rsidRPr="009007F9">
        <w:rPr>
          <w:szCs w:val="22"/>
          <w:lang w:val="en-US"/>
        </w:rPr>
        <w:fldChar w:fldCharType="end"/>
      </w:r>
    </w:p>
    <w:p w14:paraId="7BC1ACD9" w14:textId="225CCFB9" w:rsidR="00FB6DC0" w:rsidRPr="009007F9" w:rsidRDefault="00FB6DC0" w:rsidP="005B4D0F">
      <w:pPr>
        <w:spacing w:after="0"/>
        <w:rPr>
          <w:rFonts w:cs="Arial"/>
        </w:rPr>
      </w:pPr>
      <w:r w:rsidRPr="009007F9">
        <w:rPr>
          <w:rFonts w:cs="Arial"/>
        </w:rPr>
        <w:t>Lyophilized cells (1</w:t>
      </w:r>
      <w:r w:rsidR="00AD121F">
        <w:rPr>
          <w:rFonts w:cs="Arial"/>
        </w:rPr>
        <w:t>0</w:t>
      </w:r>
      <w:r w:rsidRPr="009007F9">
        <w:rPr>
          <w:rFonts w:cs="Arial"/>
        </w:rPr>
        <w:t xml:space="preserve"> mg) were resuspended in 1 mL </w:t>
      </w:r>
      <w:r w:rsidRPr="009007F9">
        <w:rPr>
          <w:rFonts w:cs="Arial"/>
          <w:i/>
        </w:rPr>
        <w:t>Lysis buffer</w:t>
      </w:r>
      <w:r w:rsidRPr="009007F9">
        <w:rPr>
          <w:rFonts w:cs="Arial"/>
        </w:rPr>
        <w:t xml:space="preserve"> and incubated for 30 min at 70 °C. The cell suspension was centrifuged (14000 x g, 1 min) and the supernatant was discarded. As the enzyme is membrane-bound</w:t>
      </w:r>
      <w:r w:rsidR="00AD121F">
        <w:rPr>
          <w:rFonts w:cs="Arial"/>
        </w:rPr>
        <w:t>,</w:t>
      </w:r>
      <w:r w:rsidRPr="009007F9">
        <w:rPr>
          <w:rFonts w:cs="Arial"/>
        </w:rPr>
        <w:t xml:space="preserve"> 1 mL </w:t>
      </w:r>
      <w:r w:rsidRPr="009007F9">
        <w:rPr>
          <w:rFonts w:cs="Arial"/>
          <w:i/>
          <w:iCs/>
        </w:rPr>
        <w:t>CHAPS buffer</w:t>
      </w:r>
      <w:r w:rsidRPr="009007F9">
        <w:rPr>
          <w:rFonts w:cs="Arial"/>
        </w:rPr>
        <w:t xml:space="preserve"> was added to extract it from the cell pellet by shaking at room temperature for 1-2 d, 600 rpm. After subsequent centrifugation (14000 x g, 1 min) the supernatant containing the SHC (</w:t>
      </w:r>
      <w:r w:rsidRPr="009007F9">
        <w:rPr>
          <w:rFonts w:cs="Arial"/>
          <w:i/>
          <w:iCs/>
        </w:rPr>
        <w:t>Aac</w:t>
      </w:r>
      <w:r w:rsidRPr="009007F9">
        <w:rPr>
          <w:rFonts w:cs="Arial"/>
        </w:rPr>
        <w:t xml:space="preserve"> or </w:t>
      </w:r>
      <w:r w:rsidRPr="009007F9">
        <w:rPr>
          <w:rFonts w:cs="Arial"/>
          <w:i/>
          <w:iCs/>
        </w:rPr>
        <w:t>Tel</w:t>
      </w:r>
      <w:r w:rsidRPr="009007F9">
        <w:rPr>
          <w:rFonts w:cs="Arial"/>
        </w:rPr>
        <w:t xml:space="preserve">) was transferred to a new tube followed by SDS-PAGE analysis and determination of enzyme concentration by using the </w:t>
      </w:r>
      <w:r w:rsidRPr="009007F9">
        <w:rPr>
          <w:rFonts w:cs="Arial"/>
          <w:i/>
        </w:rPr>
        <w:t>Nanodrop 1000</w:t>
      </w:r>
      <w:r w:rsidRPr="009007F9">
        <w:rPr>
          <w:rFonts w:cs="Arial"/>
          <w:b/>
          <w:i/>
        </w:rPr>
        <w:t xml:space="preserve"> </w:t>
      </w:r>
      <w:r w:rsidRPr="009007F9">
        <w:rPr>
          <w:rFonts w:cs="Arial"/>
        </w:rPr>
        <w:t xml:space="preserve">(Agilent, Santa Clara, US). Therefore the “Protein </w:t>
      </w:r>
      <w:r w:rsidRPr="009007F9">
        <w:rPr>
          <w:rFonts w:cs="Arial"/>
        </w:rPr>
        <w:lastRenderedPageBreak/>
        <w:t xml:space="preserve">A280” mode was chosen with MW = 71439 Da and molar extinction coefficient ε = 185180 as protein specific data for </w:t>
      </w:r>
      <w:r w:rsidRPr="009007F9">
        <w:rPr>
          <w:rFonts w:cs="Arial"/>
          <w:i/>
          <w:iCs/>
        </w:rPr>
        <w:t>Aac</w:t>
      </w:r>
      <w:r w:rsidRPr="009007F9">
        <w:rPr>
          <w:rFonts w:cs="Arial"/>
        </w:rPr>
        <w:t xml:space="preserve">SHC and MW =. 72668 and ε = 189230 for </w:t>
      </w:r>
      <w:r w:rsidRPr="009007F9">
        <w:rPr>
          <w:rFonts w:cs="Arial"/>
          <w:i/>
          <w:iCs/>
        </w:rPr>
        <w:t>Tel</w:t>
      </w:r>
      <w:r w:rsidRPr="009007F9">
        <w:rPr>
          <w:rFonts w:cs="Arial"/>
        </w:rPr>
        <w:t>SHC.</w:t>
      </w:r>
    </w:p>
    <w:p w14:paraId="5010F771" w14:textId="77777777" w:rsidR="00FB6DC0" w:rsidRPr="009007F9" w:rsidRDefault="00FB6DC0" w:rsidP="005B4D0F">
      <w:pPr>
        <w:spacing w:after="0"/>
        <w:rPr>
          <w:rFonts w:cs="Arial"/>
        </w:rPr>
      </w:pPr>
    </w:p>
    <w:p w14:paraId="35F19892" w14:textId="35D304B6" w:rsidR="00FB6DC0" w:rsidRPr="009007F9" w:rsidRDefault="00FB6DC0" w:rsidP="005B4D0F">
      <w:pPr>
        <w:pStyle w:val="Heading2"/>
        <w:rPr>
          <w:szCs w:val="22"/>
          <w:lang w:val="en-US"/>
        </w:rPr>
      </w:pPr>
      <w:bookmarkStart w:id="84" w:name="_Toc120012372"/>
      <w:bookmarkStart w:id="85" w:name="_Toc129870380"/>
      <w:bookmarkStart w:id="86" w:name="_Toc134623389"/>
      <w:r w:rsidRPr="009007F9">
        <w:rPr>
          <w:szCs w:val="22"/>
          <w:lang w:val="en-US"/>
        </w:rPr>
        <w:t>SDS-PAGE</w:t>
      </w:r>
      <w:bookmarkEnd w:id="84"/>
      <w:bookmarkEnd w:id="85"/>
      <w:bookmarkEnd w:id="86"/>
      <w:r w:rsidRPr="009007F9">
        <w:rPr>
          <w:szCs w:val="22"/>
          <w:lang w:val="en-US"/>
        </w:rPr>
        <w:t xml:space="preserve"> </w:t>
      </w:r>
    </w:p>
    <w:p w14:paraId="1076EFCF" w14:textId="29743283" w:rsidR="00FB6DC0" w:rsidRPr="009007F9" w:rsidRDefault="00FB6DC0" w:rsidP="005B4D0F">
      <w:pPr>
        <w:spacing w:after="0"/>
        <w:rPr>
          <w:rFonts w:cs="Arial"/>
        </w:rPr>
      </w:pPr>
      <w:r w:rsidRPr="009007F9">
        <w:rPr>
          <w:rFonts w:cs="Arial"/>
        </w:rPr>
        <w:t>After expression or purification 15 µL of the cell suspension (10 µL of the enzyme preparation) was mixed with 5 µL (2 µL) SDS loading buffer (Expedeon) and heated to 95 °C for 10 min. Afterwards 10 µl of the preparation was loaded on the pre-prepared SDS-PAGE (Expedeon) and ran for 70 min at 110V.</w:t>
      </w:r>
      <w:r w:rsidR="00E93887" w:rsidRPr="009007F9">
        <w:rPr>
          <w:rFonts w:cs="Arial"/>
        </w:rPr>
        <w:t xml:space="preserve"> </w:t>
      </w:r>
      <w:r w:rsidR="00967BC3" w:rsidRPr="009007F9">
        <w:rPr>
          <w:rFonts w:cs="Arial"/>
        </w:rPr>
        <w:t xml:space="preserve">For exemplary SDS-PAGE see refs. </w:t>
      </w:r>
      <w:r w:rsidR="00967BC3" w:rsidRPr="00115002">
        <w:rPr>
          <w:rFonts w:cs="Arial"/>
        </w:rPr>
        <w:fldChar w:fldCharType="begin" w:fldLock="1"/>
      </w:r>
      <w:r w:rsidR="00E81BA1" w:rsidRPr="00115002">
        <w:rPr>
          <w:rFonts w:cs="Arial"/>
        </w:rPr>
        <w:instrText>ADDIN CSL_CITATION {"citationItems":[{"id":"ITEM-1","itemData":{"DOI":"10.1002/anie.202101228","ISSN":"15213773","PMID":"33769659","abstract":"Cascade reactions appeared as a cutting-edge strategy to streamline the assembly of complex structural scaffolds from naturally available precursors in an atom-, as well as time, labor- and cost-efficient way. We herein report a strategy to control cationic cyclization cascades by exploiting the ability of anchoring dynamic substrates in the active site of terpene cyclases via designed hydrogen bonding. Thereby, it is possible to induce “directed” cyclizations in contrast to established “non-stop” cyclizations (99:1) and predestinate cascade termination at otherwise catalytically barely accessible intermediates. As a result, we are able to provide efficient access to naturally widely occurring apocarotenoids, value-added flavors and fragrances in gram-scale by replacing multi-stage synthetic routes to a single step with unprecedented selectivity (&gt;99.5 % ee) and high yields (up to 89 %).","author":[{"dropping-particle":"","family":"Schneider","given":"Andreas","non-dropping-particle":"","parse-names":false,"suffix":""},{"dropping-particle":"","family":"Jegl","given":"Philipp","non-dropping-particle":"","parse-names":false,"suffix":""},{"dropping-particle":"","family":"Hauer","given":"Bernhard","non-dropping-particle":"","parse-names":false,"suffix":""}],"container-title":"Angewandte Chemie - International Edition","id":"ITEM-1","issue":"24","issued":{"date-parts":[["2021","6","7"]]},"page":"13251-13256","publisher":"John Wiley and Sons Inc","title":"Stereoselective Directed Cationic Cascades Enabled by Molecular Anchoring in Terpene Cyclases","type":"article-journal","volume":"60"},"uris":["http://www.mendeley.com/documents/?uuid=3b0947be-3de3-30e1-ae4f-52f6910ee5d4"]},{"id":"ITEM-2","itemData":{"DOI":"10.1002/ANIE.202301607","ISSN":"1521-3773","abstract":"Terpene cyclases offer enormous synthetic potential, given their unique ability to forge complex hydrocarbon scaffolds from achiral precursors within a single cationic rearrangement cascade. Harnessing their synthetic power, however, proved to be challenging due to their generally low catalytic performance. In this study, we unveil the catalytic potential of the squalene-hopene cyclase (SHC) by harnessing its structure and dynamics. First, we synergistically tailored the enzyme's active site and entrance tunnel to generate a 397-fold improved (−)-ambroxide synthase. Our computational investigations explain how the introduced mutations work in concert to improve substrate acquisition, flow, and chaperoning. Kinetics, however, disclosed a terpene-induced inactivation of the membrane-bound SHC as the major turnover limitation in vivo. Merging these insights with the improved and stereoselective catalysis of the enzyme, we applied a feeding strategy to exceed 10 5 total turnovers. We believe that our results may bridge the gap for broader application of SHCs in synthetic chemistry.","author":[{"dropping-particle":"","family":"Schneider","given":"Andreas","non-dropping-particle":"","parse-names":false,"suffix":""},{"dropping-particle":"","family":"Curado","given":"Christian","non-dropping-particle":"","parse-names":false,"suffix":""},{"dropping-particle":"","family":"Lystbaek","given":"Thomas B.","non-dropping-particle":"","parse-names":false,"suffix":""},{"dropping-particle":"","family":"Osuna","given":"Sílvia","non-dropping-particle":"","parse-names":false,"suffix":""},{"dropping-particle":"","family":"Hauer","given":"Bernhard","non-dropping-particle":"","parse-names":false,"suffix":""}],"container-title":"Angewandte Chemie International Edition","id":"ITEM-2","issued":{"date-parts":[["2023","3","20"]]},"page":"e202301607","publisher":"John Wiley &amp; Sons, Ltd","title":"Harnessing the Structure and Dynamics of the Squalene-Hopene Cyclase for (-)-Ambroxide Production","type":"article-journal"},"uris":["http://www.mendeley.com/documents/?uuid=1e43cb1f-8a4c-380a-9227-df42c1f2e4d1"]}],"mendeley":{"formattedCitation":"&lt;sup&gt;7,10&lt;/sup&gt;","plainTextFormattedCitation":"7,10","previouslyFormattedCitation":"&lt;sup&gt;6,9&lt;/sup&gt;"},"properties":{"noteIndex":0},"schema":"https://github.com/citation-style-language/schema/raw/master/csl-citation.json"}</w:instrText>
      </w:r>
      <w:r w:rsidR="00967BC3" w:rsidRPr="00115002">
        <w:rPr>
          <w:rFonts w:cs="Arial"/>
        </w:rPr>
        <w:fldChar w:fldCharType="separate"/>
      </w:r>
      <w:r w:rsidR="00E81BA1" w:rsidRPr="00115002">
        <w:rPr>
          <w:rFonts w:cs="Arial"/>
          <w:noProof/>
        </w:rPr>
        <w:t>7</w:t>
      </w:r>
      <w:r w:rsidR="00115002">
        <w:rPr>
          <w:rFonts w:cs="Arial"/>
          <w:noProof/>
        </w:rPr>
        <w:t xml:space="preserve"> and </w:t>
      </w:r>
      <w:r w:rsidR="00E81BA1" w:rsidRPr="00115002">
        <w:rPr>
          <w:rFonts w:cs="Arial"/>
          <w:noProof/>
        </w:rPr>
        <w:t>10</w:t>
      </w:r>
      <w:r w:rsidR="00967BC3" w:rsidRPr="00115002">
        <w:rPr>
          <w:rFonts w:cs="Arial"/>
        </w:rPr>
        <w:fldChar w:fldCharType="end"/>
      </w:r>
      <w:r w:rsidR="00967BC3" w:rsidRPr="009007F9">
        <w:rPr>
          <w:rFonts w:cs="Arial"/>
        </w:rPr>
        <w:t>.</w:t>
      </w:r>
    </w:p>
    <w:p w14:paraId="3DDA98B7" w14:textId="77777777" w:rsidR="00FB6DC0" w:rsidRPr="009007F9" w:rsidRDefault="00FB6DC0" w:rsidP="005B4D0F">
      <w:pPr>
        <w:spacing w:after="0"/>
        <w:rPr>
          <w:rFonts w:cs="Arial"/>
        </w:rPr>
      </w:pPr>
    </w:p>
    <w:p w14:paraId="06216705" w14:textId="177D13D0" w:rsidR="00FB6DC0" w:rsidRPr="009007F9" w:rsidRDefault="00FB6DC0" w:rsidP="005B4D0F">
      <w:pPr>
        <w:pStyle w:val="Heading2"/>
        <w:rPr>
          <w:szCs w:val="22"/>
          <w:lang w:val="en-US"/>
        </w:rPr>
      </w:pPr>
      <w:bookmarkStart w:id="87" w:name="_Toc120012373"/>
      <w:bookmarkStart w:id="88" w:name="_Toc129870381"/>
      <w:bookmarkStart w:id="89" w:name="_Toc134623390"/>
      <w:r w:rsidRPr="009007F9">
        <w:rPr>
          <w:szCs w:val="22"/>
          <w:lang w:val="en-US"/>
        </w:rPr>
        <w:t>Analytical biotransformations in GC screw-cap-vials</w:t>
      </w:r>
      <w:bookmarkEnd w:id="87"/>
      <w:bookmarkEnd w:id="88"/>
      <w:bookmarkEnd w:id="89"/>
    </w:p>
    <w:p w14:paraId="4A79E9AE" w14:textId="1CD99272" w:rsidR="00FB6DC0" w:rsidRPr="009007F9" w:rsidRDefault="00233A63" w:rsidP="005B4D0F">
      <w:pPr>
        <w:spacing w:after="0"/>
        <w:rPr>
          <w:rFonts w:cs="Arial"/>
        </w:rPr>
      </w:pPr>
      <w:r>
        <w:rPr>
          <w:rFonts w:cs="Arial"/>
        </w:rPr>
        <w:t>10 mg/ml l</w:t>
      </w:r>
      <w:r w:rsidR="00FB6DC0" w:rsidRPr="009007F9">
        <w:rPr>
          <w:rFonts w:cs="Arial"/>
        </w:rPr>
        <w:t>yophilized cell</w:t>
      </w:r>
      <w:r>
        <w:rPr>
          <w:rFonts w:cs="Arial"/>
        </w:rPr>
        <w:t>s</w:t>
      </w:r>
      <w:r w:rsidR="00FB6DC0" w:rsidRPr="009007F9">
        <w:rPr>
          <w:rFonts w:cs="Arial"/>
        </w:rPr>
        <w:t xml:space="preserve"> were resuspended in </w:t>
      </w:r>
      <w:r w:rsidR="00163F6F" w:rsidRPr="009007F9">
        <w:rPr>
          <w:rFonts w:cs="Arial"/>
        </w:rPr>
        <w:t>water, water supplemented with cyclodextrins or buffer</w:t>
      </w:r>
      <w:r>
        <w:rPr>
          <w:rFonts w:cs="Arial"/>
        </w:rPr>
        <w:t xml:space="preserve"> or both</w:t>
      </w:r>
      <w:r w:rsidR="00FB6DC0" w:rsidRPr="009007F9">
        <w:rPr>
          <w:rFonts w:cs="Arial"/>
        </w:rPr>
        <w:t>. 495 µL of the cell suspension were transferred to GC screw-cap-vials and 5</w:t>
      </w:r>
      <w:r w:rsidR="005463FE">
        <w:rPr>
          <w:rFonts w:cs="Arial"/>
        </w:rPr>
        <w:t> </w:t>
      </w:r>
      <w:r w:rsidR="00FB6DC0" w:rsidRPr="009007F9">
        <w:rPr>
          <w:rFonts w:cs="Arial"/>
        </w:rPr>
        <w:t>μL of a substrate/DMSO stock (c</w:t>
      </w:r>
      <w:r w:rsidR="00FB6DC0" w:rsidRPr="009007F9">
        <w:rPr>
          <w:rFonts w:cs="Arial"/>
          <w:vertAlign w:val="subscript"/>
        </w:rPr>
        <w:t>end</w:t>
      </w:r>
      <w:r w:rsidR="00FB6DC0" w:rsidRPr="009007F9">
        <w:rPr>
          <w:rFonts w:cs="Arial"/>
        </w:rPr>
        <w:t xml:space="preserve">, substrate = 1 mM, unless otherwise noted in the reaction conditions) were added to start the reactions. Reactions were shaken at </w:t>
      </w:r>
      <w:r w:rsidR="00FA14E7">
        <w:rPr>
          <w:rFonts w:cs="Arial"/>
        </w:rPr>
        <w:t xml:space="preserve">30 °C or </w:t>
      </w:r>
      <w:r w:rsidR="00FB6DC0" w:rsidRPr="009007F9">
        <w:rPr>
          <w:rFonts w:cs="Arial"/>
        </w:rPr>
        <w:t>50 °C for 20</w:t>
      </w:r>
      <w:r w:rsidR="005463FE">
        <w:rPr>
          <w:rFonts w:cs="Arial"/>
        </w:rPr>
        <w:t> </w:t>
      </w:r>
      <w:r w:rsidR="00FB6DC0" w:rsidRPr="009007F9">
        <w:rPr>
          <w:rFonts w:cs="Arial"/>
        </w:rPr>
        <w:t>h</w:t>
      </w:r>
      <w:r w:rsidR="005463FE">
        <w:rPr>
          <w:rFonts w:cs="Arial"/>
        </w:rPr>
        <w:t xml:space="preserve">, </w:t>
      </w:r>
      <w:r w:rsidR="00FA14E7">
        <w:rPr>
          <w:rFonts w:cs="Arial"/>
        </w:rPr>
        <w:t>depending on the substrate (see Fig 2)</w:t>
      </w:r>
      <w:r w:rsidR="00FB6DC0" w:rsidRPr="009007F9">
        <w:rPr>
          <w:rFonts w:cs="Arial"/>
        </w:rPr>
        <w:t>. Reactions were stopped by adding 600 μL CH:EtOAc (1:1)</w:t>
      </w:r>
      <w:r w:rsidR="009D446A">
        <w:rPr>
          <w:rFonts w:cs="Arial"/>
        </w:rPr>
        <w:t xml:space="preserve">, </w:t>
      </w:r>
      <w:r w:rsidR="00FB6DC0" w:rsidRPr="009007F9">
        <w:rPr>
          <w:rFonts w:cs="Arial"/>
        </w:rPr>
        <w:t xml:space="preserve">vortexing </w:t>
      </w:r>
      <w:r w:rsidR="009D446A">
        <w:rPr>
          <w:rFonts w:cs="Arial"/>
        </w:rPr>
        <w:t xml:space="preserve">and shaking </w:t>
      </w:r>
      <w:r w:rsidR="00FB6DC0" w:rsidRPr="009007F9">
        <w:rPr>
          <w:rFonts w:cs="Arial"/>
        </w:rPr>
        <w:t xml:space="preserve">for </w:t>
      </w:r>
      <w:r w:rsidR="009D446A">
        <w:rPr>
          <w:rFonts w:cs="Arial"/>
        </w:rPr>
        <w:t>5</w:t>
      </w:r>
      <w:r w:rsidR="00FB6DC0" w:rsidRPr="009007F9">
        <w:rPr>
          <w:rFonts w:cs="Arial"/>
        </w:rPr>
        <w:t xml:space="preserve"> min. After centrifugation (4000 rpm, 5 min) the organic phase was analyzed via GC-MS equipped with a PAL-Sampler directly from the two-phase system. Quantification was done by</w:t>
      </w:r>
      <w:r w:rsidR="000B7C76">
        <w:rPr>
          <w:rFonts w:cs="Arial"/>
        </w:rPr>
        <w:t xml:space="preserve"> GC-FID and</w:t>
      </w:r>
      <w:r w:rsidR="00FB6DC0" w:rsidRPr="009007F9">
        <w:rPr>
          <w:rFonts w:cs="Arial"/>
        </w:rPr>
        <w:t xml:space="preserve"> dodecane </w:t>
      </w:r>
      <w:r w:rsidR="006A6282">
        <w:rPr>
          <w:rFonts w:cs="Arial"/>
        </w:rPr>
        <w:t>as</w:t>
      </w:r>
      <w:r w:rsidR="00FB6DC0" w:rsidRPr="009007F9">
        <w:rPr>
          <w:rFonts w:cs="Arial"/>
        </w:rPr>
        <w:t xml:space="preserve"> internal standard.</w:t>
      </w:r>
    </w:p>
    <w:p w14:paraId="7AE6363A" w14:textId="77777777" w:rsidR="00CA5A95" w:rsidRPr="009007F9" w:rsidRDefault="00CA5A95" w:rsidP="005B4D0F">
      <w:pPr>
        <w:spacing w:after="0"/>
        <w:rPr>
          <w:rFonts w:cs="Arial"/>
          <w:b/>
          <w:bCs/>
        </w:rPr>
      </w:pPr>
    </w:p>
    <w:p w14:paraId="4206A143" w14:textId="2250168A" w:rsidR="00FB6DC0" w:rsidRPr="009007F9" w:rsidRDefault="00FB6DC0" w:rsidP="005B4D0F">
      <w:pPr>
        <w:pStyle w:val="Heading2"/>
        <w:rPr>
          <w:szCs w:val="22"/>
          <w:lang w:val="en-US"/>
        </w:rPr>
      </w:pPr>
      <w:bookmarkStart w:id="90" w:name="_Toc120012374"/>
      <w:bookmarkStart w:id="91" w:name="_Toc129870382"/>
      <w:bookmarkStart w:id="92" w:name="_Toc134623391"/>
      <w:r w:rsidRPr="009007F9">
        <w:rPr>
          <w:szCs w:val="22"/>
          <w:lang w:val="en-US"/>
        </w:rPr>
        <w:t xml:space="preserve">Screening of </w:t>
      </w:r>
      <w:r w:rsidRPr="009007F9">
        <w:rPr>
          <w:i/>
          <w:szCs w:val="22"/>
          <w:lang w:val="en-US"/>
        </w:rPr>
        <w:t>Aac</w:t>
      </w:r>
      <w:r w:rsidRPr="009007F9">
        <w:rPr>
          <w:szCs w:val="22"/>
          <w:lang w:val="en-US"/>
        </w:rPr>
        <w:t>SHC libraries via GC-MS</w:t>
      </w:r>
      <w:bookmarkEnd w:id="90"/>
      <w:bookmarkEnd w:id="91"/>
      <w:bookmarkEnd w:id="92"/>
    </w:p>
    <w:p w14:paraId="13655425" w14:textId="2C05C215" w:rsidR="00FB6DC0" w:rsidRPr="009007F9" w:rsidRDefault="00FB6DC0" w:rsidP="005B4D0F">
      <w:pPr>
        <w:spacing w:after="0"/>
        <w:rPr>
          <w:rFonts w:cs="Arial"/>
        </w:rPr>
      </w:pPr>
      <w:r w:rsidRPr="009007F9">
        <w:rPr>
          <w:rFonts w:cs="Arial"/>
        </w:rPr>
        <w:t>Harvested pellets were resuspended in 396 µL H</w:t>
      </w:r>
      <w:r w:rsidRPr="009007F9">
        <w:rPr>
          <w:rFonts w:cs="Arial"/>
          <w:vertAlign w:val="subscript"/>
        </w:rPr>
        <w:t>2</w:t>
      </w:r>
      <w:r w:rsidRPr="009007F9">
        <w:rPr>
          <w:rFonts w:cs="Arial"/>
        </w:rPr>
        <w:t>O and transferred to another 96-DW plate equipped with 1.2 mL glass inlets. Afterwards 4 µL substrate/DMSO stock solution (substrate c</w:t>
      </w:r>
      <w:r w:rsidRPr="009007F9">
        <w:rPr>
          <w:rFonts w:cs="Arial"/>
          <w:vertAlign w:val="subscript"/>
        </w:rPr>
        <w:t xml:space="preserve">end </w:t>
      </w:r>
      <w:r w:rsidRPr="009007F9">
        <w:rPr>
          <w:rFonts w:cs="Arial"/>
        </w:rPr>
        <w:t xml:space="preserve">= 1 mM) was added directly into the cell suspension, the plates were sealed and shaken for 20 h at </w:t>
      </w:r>
      <w:r w:rsidR="004D685D" w:rsidRPr="009007F9">
        <w:rPr>
          <w:rFonts w:cs="Arial"/>
        </w:rPr>
        <w:t>30</w:t>
      </w:r>
      <w:r w:rsidR="001F3A8A" w:rsidRPr="009007F9">
        <w:rPr>
          <w:rFonts w:cs="Arial"/>
        </w:rPr>
        <w:t xml:space="preserve"> or 50</w:t>
      </w:r>
      <w:r w:rsidR="004D685D" w:rsidRPr="009007F9">
        <w:rPr>
          <w:rFonts w:cs="Arial"/>
        </w:rPr>
        <w:t xml:space="preserve"> </w:t>
      </w:r>
      <w:r w:rsidRPr="009007F9">
        <w:rPr>
          <w:rFonts w:cs="Arial"/>
        </w:rPr>
        <w:t xml:space="preserve">°C, 600 rpm. To stop the reaction 600 µL </w:t>
      </w:r>
      <w:r w:rsidR="006327CB" w:rsidRPr="009007F9">
        <w:rPr>
          <w:rFonts w:cs="Arial"/>
        </w:rPr>
        <w:t>ethyl acetate</w:t>
      </w:r>
      <w:r w:rsidRPr="009007F9">
        <w:rPr>
          <w:rFonts w:cs="Arial"/>
        </w:rPr>
        <w:t>/o-xylene (1:1) was added and the mixture was inverted for 10 min and incubated for 30 min. The plates were centrifuged (4000 x g, 5 min), sealed using polypropylene-sealings and a GC-MS equipped with a PAL-Sampler was used to inject directly from the organic phase. Quantification</w:t>
      </w:r>
      <w:r w:rsidR="005D5DC7" w:rsidRPr="009007F9">
        <w:rPr>
          <w:rFonts w:cs="Arial"/>
        </w:rPr>
        <w:t xml:space="preserve"> (GC conversion)</w:t>
      </w:r>
      <w:r w:rsidRPr="009007F9">
        <w:rPr>
          <w:rFonts w:cs="Arial"/>
        </w:rPr>
        <w:t xml:space="preserve"> was done directly from the Total Ion Count chromatogram by quotient AREA</w:t>
      </w:r>
      <w:r w:rsidRPr="009007F9">
        <w:rPr>
          <w:rFonts w:cs="Arial"/>
          <w:vertAlign w:val="subscript"/>
        </w:rPr>
        <w:t>product</w:t>
      </w:r>
      <w:r w:rsidRPr="009007F9">
        <w:rPr>
          <w:rFonts w:cs="Arial"/>
        </w:rPr>
        <w:t>/ (AREA</w:t>
      </w:r>
      <w:r w:rsidRPr="009007F9">
        <w:rPr>
          <w:rFonts w:cs="Arial"/>
          <w:vertAlign w:val="subscript"/>
        </w:rPr>
        <w:t>substrate</w:t>
      </w:r>
      <w:r w:rsidRPr="009007F9">
        <w:rPr>
          <w:rFonts w:cs="Arial"/>
        </w:rPr>
        <w:t>+AREA</w:t>
      </w:r>
      <w:r w:rsidRPr="009007F9">
        <w:rPr>
          <w:rFonts w:cs="Arial"/>
          <w:vertAlign w:val="subscript"/>
        </w:rPr>
        <w:t>product</w:t>
      </w:r>
      <w:r w:rsidRPr="009007F9">
        <w:rPr>
          <w:rFonts w:cs="Arial"/>
        </w:rPr>
        <w:t>)*100. In total 90 variants (6 control wells) per plate were screened. Promising variants were rescreened by expression in 24 DW-plates.</w:t>
      </w:r>
    </w:p>
    <w:p w14:paraId="3159C9E3" w14:textId="77777777" w:rsidR="00FB6DC0" w:rsidRPr="009007F9" w:rsidRDefault="00FB6DC0" w:rsidP="005B4D0F">
      <w:pPr>
        <w:spacing w:after="0"/>
        <w:rPr>
          <w:rFonts w:cs="Arial"/>
        </w:rPr>
      </w:pPr>
    </w:p>
    <w:p w14:paraId="5CA2D704" w14:textId="0AF54EFF" w:rsidR="00FB6DC0" w:rsidRPr="009007F9" w:rsidRDefault="00FB6DC0" w:rsidP="005B4D0F">
      <w:pPr>
        <w:pStyle w:val="Heading2"/>
        <w:rPr>
          <w:szCs w:val="22"/>
          <w:lang w:val="en-US"/>
        </w:rPr>
      </w:pPr>
      <w:bookmarkStart w:id="93" w:name="_Toc120012375"/>
      <w:bookmarkStart w:id="94" w:name="_Toc129870383"/>
      <w:bookmarkStart w:id="95" w:name="_Toc134623392"/>
      <w:r w:rsidRPr="009007F9">
        <w:rPr>
          <w:szCs w:val="22"/>
          <w:lang w:val="en-US"/>
        </w:rPr>
        <w:t>Verification of promising hits</w:t>
      </w:r>
      <w:bookmarkEnd w:id="93"/>
      <w:bookmarkEnd w:id="94"/>
      <w:bookmarkEnd w:id="95"/>
    </w:p>
    <w:p w14:paraId="0A2DCCA1" w14:textId="30184ACE" w:rsidR="0040217A" w:rsidRPr="009007F9" w:rsidRDefault="00FB6DC0" w:rsidP="005B4D0F">
      <w:pPr>
        <w:spacing w:after="0"/>
        <w:rPr>
          <w:rFonts w:cs="Arial"/>
        </w:rPr>
      </w:pPr>
      <w:r w:rsidRPr="009007F9">
        <w:rPr>
          <w:rFonts w:cs="Arial"/>
        </w:rPr>
        <w:t>Promising candidates from the 96-DW screening were taken for inoculation of a 5 mL LB pre-culture. Afterwards the plasmids were isolated and transformed for single colony picking. The single colonies were expressed in 24 DW-plates and after harvesting, the OD</w:t>
      </w:r>
      <w:r w:rsidRPr="009007F9">
        <w:rPr>
          <w:rFonts w:cs="Arial"/>
          <w:vertAlign w:val="subscript"/>
        </w:rPr>
        <w:t>600</w:t>
      </w:r>
      <w:r w:rsidRPr="009007F9">
        <w:rPr>
          <w:rFonts w:cs="Arial"/>
        </w:rPr>
        <w:t xml:space="preserve"> was set to 10 in </w:t>
      </w:r>
      <w:r w:rsidRPr="009007F9">
        <w:rPr>
          <w:rFonts w:cs="Arial"/>
          <w:i/>
        </w:rPr>
        <w:t>dd</w:t>
      </w:r>
      <w:r w:rsidRPr="009007F9">
        <w:rPr>
          <w:rFonts w:cs="Arial"/>
        </w:rPr>
        <w:t>H</w:t>
      </w:r>
      <w:r w:rsidRPr="009007F9">
        <w:rPr>
          <w:rFonts w:cs="Arial"/>
          <w:vertAlign w:val="subscript"/>
        </w:rPr>
        <w:t>2</w:t>
      </w:r>
      <w:r w:rsidRPr="009007F9">
        <w:rPr>
          <w:rFonts w:cs="Arial"/>
        </w:rPr>
        <w:t xml:space="preserve">O. 495 μL were transferred to a 2 mL screw cap vial and 1 mM </w:t>
      </w:r>
      <w:r w:rsidRPr="009007F9">
        <w:rPr>
          <w:rFonts w:cs="Arial"/>
          <w:bCs/>
          <w:iCs/>
        </w:rPr>
        <w:t>(5 µL) substrate was added as DMSO stock solution (c</w:t>
      </w:r>
      <w:r w:rsidRPr="009007F9">
        <w:rPr>
          <w:rFonts w:cs="Arial"/>
          <w:bCs/>
          <w:iCs/>
          <w:vertAlign w:val="subscript"/>
        </w:rPr>
        <w:t xml:space="preserve">DMSO </w:t>
      </w:r>
      <w:r w:rsidRPr="009007F9">
        <w:rPr>
          <w:rFonts w:cs="Arial"/>
          <w:bCs/>
          <w:iCs/>
        </w:rPr>
        <w:t xml:space="preserve">= 1%). </w:t>
      </w:r>
      <w:r w:rsidRPr="009007F9">
        <w:rPr>
          <w:rFonts w:cs="Arial"/>
        </w:rPr>
        <w:t xml:space="preserve">The reactions were carried out at least in </w:t>
      </w:r>
      <w:r w:rsidRPr="009007F9">
        <w:rPr>
          <w:rFonts w:cs="Arial"/>
        </w:rPr>
        <w:lastRenderedPageBreak/>
        <w:t>technical duplicates as analytical biotransformations.</w:t>
      </w:r>
      <w:r w:rsidRPr="009007F9">
        <w:rPr>
          <w:rFonts w:cs="Arial"/>
          <w:bCs/>
          <w:iCs/>
        </w:rPr>
        <w:t xml:space="preserve"> Reactions were carried out at 50 °C and 600 rpm for 24 h.</w:t>
      </w:r>
      <w:r w:rsidRPr="009007F9">
        <w:rPr>
          <w:rFonts w:cs="Arial"/>
        </w:rPr>
        <w:t xml:space="preserve"> Reactions were stopped by adding CH:EtOAc (1:1) and inversion of the suspension. After two extractions, the resulting organic phase was measured directly over GC-MS</w:t>
      </w:r>
      <w:r w:rsidR="00115002">
        <w:rPr>
          <w:rFonts w:cs="Arial"/>
          <w:bCs/>
          <w:iCs/>
        </w:rPr>
        <w:t xml:space="preserve"> or </w:t>
      </w:r>
      <w:r w:rsidRPr="009007F9">
        <w:rPr>
          <w:rFonts w:cs="Arial"/>
          <w:bCs/>
          <w:iCs/>
        </w:rPr>
        <w:t>FID</w:t>
      </w:r>
      <w:r w:rsidRPr="009007F9">
        <w:rPr>
          <w:rFonts w:cs="Arial"/>
        </w:rPr>
        <w:t>. Quantification was done by dodecane is internal standard.</w:t>
      </w:r>
    </w:p>
    <w:p w14:paraId="1502367C" w14:textId="77777777" w:rsidR="007707CE" w:rsidRPr="009007F9" w:rsidRDefault="007707CE" w:rsidP="005B4D0F">
      <w:pPr>
        <w:spacing w:after="0"/>
        <w:rPr>
          <w:rFonts w:cs="Arial"/>
        </w:rPr>
      </w:pPr>
    </w:p>
    <w:p w14:paraId="42B3886D" w14:textId="2ACD68DA" w:rsidR="007707CE" w:rsidRPr="009007F9" w:rsidRDefault="007707CE" w:rsidP="007707CE">
      <w:pPr>
        <w:pStyle w:val="Heading2"/>
        <w:rPr>
          <w:szCs w:val="22"/>
          <w:lang w:val="en-US"/>
        </w:rPr>
      </w:pPr>
      <w:bookmarkStart w:id="96" w:name="_Toc120012376"/>
      <w:bookmarkStart w:id="97" w:name="_Toc134623393"/>
      <w:r w:rsidRPr="009007F9">
        <w:rPr>
          <w:szCs w:val="22"/>
          <w:lang w:val="en-US"/>
        </w:rPr>
        <w:t xml:space="preserve">Determination of turnover frequency and total turnover </w:t>
      </w:r>
      <w:r w:rsidRPr="009007F9">
        <w:rPr>
          <w:i/>
          <w:iCs/>
          <w:szCs w:val="22"/>
          <w:lang w:val="en-US"/>
        </w:rPr>
        <w:t>in vivo</w:t>
      </w:r>
      <w:bookmarkEnd w:id="96"/>
      <w:bookmarkEnd w:id="97"/>
      <w:r w:rsidRPr="009007F9">
        <w:rPr>
          <w:szCs w:val="22"/>
          <w:lang w:val="en-US"/>
        </w:rPr>
        <w:t xml:space="preserve"> </w:t>
      </w:r>
    </w:p>
    <w:p w14:paraId="7C858C1E" w14:textId="247FCBB6" w:rsidR="007707CE" w:rsidRPr="009007F9" w:rsidRDefault="007707CE" w:rsidP="007707CE">
      <w:pPr>
        <w:contextualSpacing/>
        <w:rPr>
          <w:rFonts w:cs="Arial"/>
          <w:bCs/>
          <w:iCs/>
        </w:rPr>
      </w:pPr>
      <w:r w:rsidRPr="009007F9">
        <w:rPr>
          <w:rFonts w:cs="Arial"/>
          <w:bCs/>
        </w:rPr>
        <w:t>For the determination of the whole cell turnover frequency (mol</w:t>
      </w:r>
      <w:r w:rsidRPr="009007F9">
        <w:rPr>
          <w:rFonts w:cs="Arial"/>
          <w:bCs/>
          <w:vertAlign w:val="subscript"/>
        </w:rPr>
        <w:t>product</w:t>
      </w:r>
      <w:r w:rsidRPr="009007F9">
        <w:rPr>
          <w:rFonts w:cs="Arial"/>
          <w:bCs/>
        </w:rPr>
        <w:t>/mol</w:t>
      </w:r>
      <w:r w:rsidRPr="009007F9">
        <w:rPr>
          <w:rFonts w:cs="Arial"/>
          <w:bCs/>
          <w:vertAlign w:val="subscript"/>
        </w:rPr>
        <w:t>enzyme</w:t>
      </w:r>
      <w:r w:rsidRPr="009007F9">
        <w:rPr>
          <w:rFonts w:cs="Arial"/>
          <w:bCs/>
        </w:rPr>
        <w:t>*h</w:t>
      </w:r>
      <w:r w:rsidRPr="009007F9">
        <w:rPr>
          <w:rFonts w:cs="Arial"/>
          <w:bCs/>
          <w:vertAlign w:val="superscript"/>
        </w:rPr>
        <w:t>-1</w:t>
      </w:r>
      <w:r w:rsidRPr="009007F9">
        <w:rPr>
          <w:rFonts w:cs="Arial"/>
          <w:bCs/>
        </w:rPr>
        <w:t>) and total turnover (mol</w:t>
      </w:r>
      <w:r w:rsidRPr="009007F9">
        <w:rPr>
          <w:rFonts w:cs="Arial"/>
          <w:bCs/>
          <w:vertAlign w:val="subscript"/>
        </w:rPr>
        <w:t>product</w:t>
      </w:r>
      <w:r w:rsidRPr="009007F9">
        <w:rPr>
          <w:rFonts w:cs="Arial"/>
          <w:bCs/>
        </w:rPr>
        <w:t>/mol</w:t>
      </w:r>
      <w:r w:rsidRPr="009007F9">
        <w:rPr>
          <w:rFonts w:cs="Arial"/>
          <w:bCs/>
          <w:vertAlign w:val="subscript"/>
        </w:rPr>
        <w:t>enzyme</w:t>
      </w:r>
      <w:r w:rsidRPr="009007F9">
        <w:rPr>
          <w:rFonts w:cs="Arial"/>
          <w:bCs/>
        </w:rPr>
        <w:t>), the SHC content of 1</w:t>
      </w:r>
      <w:r w:rsidR="0079071E" w:rsidRPr="009007F9">
        <w:rPr>
          <w:rFonts w:cs="Arial"/>
          <w:bCs/>
        </w:rPr>
        <w:t>0</w:t>
      </w:r>
      <w:r w:rsidRPr="009007F9">
        <w:rPr>
          <w:rFonts w:cs="Arial"/>
          <w:bCs/>
        </w:rPr>
        <w:t xml:space="preserve"> mg</w:t>
      </w:r>
      <w:r w:rsidRPr="009007F9">
        <w:rPr>
          <w:rFonts w:cs="Arial"/>
          <w:bCs/>
          <w:vertAlign w:val="subscript"/>
        </w:rPr>
        <w:t>CDW</w:t>
      </w:r>
      <w:r w:rsidRPr="009007F9">
        <w:rPr>
          <w:rFonts w:cs="Arial"/>
          <w:bCs/>
        </w:rPr>
        <w:t xml:space="preserve"> of the lyophilized batch was determined </w:t>
      </w:r>
      <w:r w:rsidRPr="009007F9">
        <w:rPr>
          <w:rFonts w:cs="Arial"/>
          <w:bCs/>
          <w:i/>
          <w:iCs/>
        </w:rPr>
        <w:t>via</w:t>
      </w:r>
      <w:r w:rsidRPr="009007F9">
        <w:rPr>
          <w:rFonts w:cs="Arial"/>
          <w:bCs/>
          <w:iCs/>
        </w:rPr>
        <w:t xml:space="preserve"> Thermolysis protocol. The concentrations were determined in triplicates and full extraction was followed by SDS-PAGE. </w:t>
      </w:r>
    </w:p>
    <w:p w14:paraId="6ECC026C" w14:textId="77777777" w:rsidR="003E6F7D" w:rsidRPr="009007F9" w:rsidRDefault="003E6F7D" w:rsidP="005B4D0F">
      <w:pPr>
        <w:spacing w:after="0"/>
        <w:rPr>
          <w:rFonts w:cs="Arial"/>
        </w:rPr>
      </w:pPr>
    </w:p>
    <w:p w14:paraId="63537FB1" w14:textId="3B107457" w:rsidR="003E6F7D" w:rsidRPr="009007F9" w:rsidRDefault="003E6F7D" w:rsidP="00051726">
      <w:pPr>
        <w:pStyle w:val="Heading2"/>
        <w:rPr>
          <w:szCs w:val="22"/>
          <w:lang w:val="en-US"/>
        </w:rPr>
      </w:pPr>
      <w:bookmarkStart w:id="98" w:name="_Toc134623394"/>
      <w:r w:rsidRPr="009007F9">
        <w:rPr>
          <w:szCs w:val="22"/>
          <w:lang w:val="en-US"/>
        </w:rPr>
        <w:t>Fluorescence microscopy</w:t>
      </w:r>
      <w:bookmarkEnd w:id="98"/>
    </w:p>
    <w:p w14:paraId="267EFFAD" w14:textId="1E80248D" w:rsidR="0000654A" w:rsidRPr="009007F9" w:rsidRDefault="006E5C18" w:rsidP="00FA3D6A">
      <w:r w:rsidRPr="009007F9">
        <w:t>Samples for Fluorenscence microscopy were prepared as follows:</w:t>
      </w:r>
      <w:r w:rsidR="0008163A" w:rsidRPr="009007F9">
        <w:t xml:space="preserve"> 1 mg</w:t>
      </w:r>
      <w:r w:rsidR="0008163A" w:rsidRPr="009007F9">
        <w:rPr>
          <w:vertAlign w:val="subscript"/>
        </w:rPr>
        <w:t>CDW</w:t>
      </w:r>
      <w:r w:rsidR="0008163A" w:rsidRPr="009007F9">
        <w:t xml:space="preserve"> lyophilized and 4</w:t>
      </w:r>
      <w:r w:rsidR="00FD3F77" w:rsidRPr="009007F9">
        <w:t>.5</w:t>
      </w:r>
      <w:r w:rsidR="0008163A" w:rsidRPr="009007F9">
        <w:t xml:space="preserve"> mg</w:t>
      </w:r>
      <w:r w:rsidR="0008163A" w:rsidRPr="009007F9">
        <w:rPr>
          <w:vertAlign w:val="subscript"/>
        </w:rPr>
        <w:t>CWW</w:t>
      </w:r>
      <w:r w:rsidRPr="009007F9">
        <w:t xml:space="preserve"> </w:t>
      </w:r>
      <w:r w:rsidR="0008163A" w:rsidRPr="009007F9">
        <w:t xml:space="preserve">freshly prepared </w:t>
      </w:r>
      <w:r w:rsidR="00BA462F" w:rsidRPr="009007F9">
        <w:rPr>
          <w:i/>
          <w:iCs/>
        </w:rPr>
        <w:t>E. coli</w:t>
      </w:r>
      <w:r w:rsidR="00BA462F" w:rsidRPr="009007F9">
        <w:t xml:space="preserve"> cells were </w:t>
      </w:r>
      <w:r w:rsidRPr="009007F9">
        <w:t xml:space="preserve">fixed using 100 µl </w:t>
      </w:r>
      <w:r w:rsidR="008623FD" w:rsidRPr="009007F9">
        <w:t xml:space="preserve">4% </w:t>
      </w:r>
      <w:r w:rsidR="00CE60C3" w:rsidRPr="009007F9">
        <w:t>paraformaldehyde</w:t>
      </w:r>
      <w:r w:rsidRPr="009007F9">
        <w:t xml:space="preserve"> </w:t>
      </w:r>
      <w:r w:rsidR="008623FD" w:rsidRPr="009007F9">
        <w:t>in PBS</w:t>
      </w:r>
      <w:r w:rsidR="00C167D2" w:rsidRPr="009007F9">
        <w:t xml:space="preserve"> </w:t>
      </w:r>
      <w:r w:rsidRPr="009007F9">
        <w:t xml:space="preserve">solution. In order to wash the </w:t>
      </w:r>
      <w:r w:rsidR="00B41EB8" w:rsidRPr="009007F9">
        <w:t>cells,</w:t>
      </w:r>
      <w:r w:rsidRPr="009007F9">
        <w:t xml:space="preserve"> the mixture was centrifuged (12.000 x g, 30 sec), the supernatant was discarded</w:t>
      </w:r>
      <w:r w:rsidR="00FD3F77" w:rsidRPr="009007F9">
        <w:t>,</w:t>
      </w:r>
      <w:r w:rsidRPr="009007F9">
        <w:t xml:space="preserve"> and 1</w:t>
      </w:r>
      <w:r w:rsidR="000603E0" w:rsidRPr="009007F9">
        <w:t> </w:t>
      </w:r>
      <w:r w:rsidRPr="009007F9">
        <w:t>m</w:t>
      </w:r>
      <w:r w:rsidR="000603E0" w:rsidRPr="009007F9">
        <w:t>L</w:t>
      </w:r>
      <w:r w:rsidRPr="009007F9">
        <w:t xml:space="preserve"> of PBS solution was added. The cells were resuspended and centrifuged (12.000 x g, 30 sec) again. The supernatant was </w:t>
      </w:r>
      <w:r w:rsidR="000E672A" w:rsidRPr="009007F9">
        <w:t>discarded,</w:t>
      </w:r>
      <w:r w:rsidRPr="009007F9">
        <w:t xml:space="preserve"> and the resulting pellet was resuspended on 100 µl sterile H</w:t>
      </w:r>
      <w:r w:rsidR="000603E0" w:rsidRPr="009007F9">
        <w:rPr>
          <w:vertAlign w:val="subscript"/>
        </w:rPr>
        <w:t>2</w:t>
      </w:r>
      <w:r w:rsidRPr="009007F9">
        <w:t>O. Afterwards 5 µl of the washed samples were struck out on a glass plate (</w:t>
      </w:r>
      <w:r w:rsidR="00C167D2" w:rsidRPr="009007F9">
        <w:t>Thermo Scientific</w:t>
      </w:r>
      <w:r w:rsidRPr="009007F9">
        <w:t>) marked with</w:t>
      </w:r>
      <w:r w:rsidR="00332025" w:rsidRPr="009007F9">
        <w:t xml:space="preserve"> 5 µl</w:t>
      </w:r>
      <w:r w:rsidRPr="009007F9">
        <w:t xml:space="preserve"> D</w:t>
      </w:r>
      <w:r w:rsidR="00DA0F69" w:rsidRPr="009007F9">
        <w:t>AP</w:t>
      </w:r>
      <w:r w:rsidRPr="009007F9">
        <w:t>I</w:t>
      </w:r>
      <w:r w:rsidR="00C167D2" w:rsidRPr="009007F9">
        <w:t xml:space="preserve"> </w:t>
      </w:r>
      <w:r w:rsidR="00B21C88" w:rsidRPr="009007F9">
        <w:t xml:space="preserve">(Sigma-Aldrich) </w:t>
      </w:r>
      <w:r w:rsidR="00C167D2" w:rsidRPr="009007F9">
        <w:t>and</w:t>
      </w:r>
      <w:r w:rsidRPr="009007F9">
        <w:t xml:space="preserve"> </w:t>
      </w:r>
      <w:r w:rsidR="000603E0" w:rsidRPr="009007F9">
        <w:t>SYTOX</w:t>
      </w:r>
      <w:r w:rsidR="00615DDB" w:rsidRPr="009007F9">
        <w:rPr>
          <w:vertAlign w:val="superscript"/>
        </w:rPr>
        <w:t>TM</w:t>
      </w:r>
      <w:r w:rsidR="00ED51CD" w:rsidRPr="009007F9">
        <w:t xml:space="preserve"> 4-64 (</w:t>
      </w:r>
      <w:r w:rsidR="00615DDB" w:rsidRPr="009007F9">
        <w:t>Thermo Scientific</w:t>
      </w:r>
      <w:r w:rsidR="00B21C88" w:rsidRPr="009007F9">
        <w:t>)</w:t>
      </w:r>
      <w:r w:rsidRPr="009007F9">
        <w:t xml:space="preserve"> and visualized using Fluorescence microscope (</w:t>
      </w:r>
      <w:r w:rsidR="00332025" w:rsidRPr="009007F9">
        <w:t>ZEISS Axiovert 200 equipped with a AxioCam HRm</w:t>
      </w:r>
      <w:r w:rsidRPr="009007F9">
        <w:t xml:space="preserve">) with filters: </w:t>
      </w:r>
      <w:r w:rsidR="001A2280" w:rsidRPr="009007F9">
        <w:t xml:space="preserve">Fs01 365 </w:t>
      </w:r>
      <w:r w:rsidR="001A2280" w:rsidRPr="009007F9">
        <w:rPr>
          <w:rFonts w:cs="Arial"/>
        </w:rPr>
        <w:t>±</w:t>
      </w:r>
      <w:r w:rsidR="001A2280" w:rsidRPr="009007F9">
        <w:t xml:space="preserve"> 12 </w:t>
      </w:r>
      <w:r w:rsidR="00C44FD3" w:rsidRPr="009007F9">
        <w:t xml:space="preserve">nm </w:t>
      </w:r>
      <w:r w:rsidR="001A2280" w:rsidRPr="009007F9">
        <w:t>and Fs</w:t>
      </w:r>
      <w:r w:rsidR="00C44FD3" w:rsidRPr="009007F9">
        <w:t xml:space="preserve">09 470 </w:t>
      </w:r>
      <w:r w:rsidR="00C44FD3" w:rsidRPr="009007F9">
        <w:rPr>
          <w:rFonts w:cs="Arial"/>
        </w:rPr>
        <w:t>± 40 nm</w:t>
      </w:r>
      <w:r w:rsidR="00B21C88" w:rsidRPr="009007F9">
        <w:t>.</w:t>
      </w:r>
      <w:r w:rsidRPr="009007F9">
        <w:t xml:space="preserve"> </w:t>
      </w:r>
      <w:r w:rsidR="00DE1183" w:rsidRPr="009007F9">
        <w:t xml:space="preserve">Pictures were </w:t>
      </w:r>
      <w:r w:rsidR="008F10F8" w:rsidRPr="009007F9">
        <w:t>edited</w:t>
      </w:r>
      <w:r w:rsidR="00DE1183" w:rsidRPr="009007F9">
        <w:t xml:space="preserve"> with</w:t>
      </w:r>
      <w:r w:rsidR="004A4255" w:rsidRPr="009007F9">
        <w:t xml:space="preserve"> ImageJ</w:t>
      </w:r>
      <w:r w:rsidR="006149ED" w:rsidRPr="009007F9">
        <w:t>.</w:t>
      </w:r>
      <w:r w:rsidR="003D455E" w:rsidRPr="009007F9">
        <w:t xml:space="preserve"> </w:t>
      </w:r>
      <w:r w:rsidRPr="009007F9">
        <w:t xml:space="preserve">The resulting pictures are presented in Fig. </w:t>
      </w:r>
      <w:r w:rsidR="00330A84" w:rsidRPr="009007F9">
        <w:t xml:space="preserve">3 and </w:t>
      </w:r>
      <w:r w:rsidR="00615DDB" w:rsidRPr="009007F9">
        <w:t>S</w:t>
      </w:r>
      <w:r w:rsidR="00330A84" w:rsidRPr="009007F9">
        <w:t>10</w:t>
      </w:r>
      <w:r w:rsidRPr="009007F9">
        <w:t>.</w:t>
      </w:r>
    </w:p>
    <w:p w14:paraId="2ACB5B85" w14:textId="750A9B21" w:rsidR="00EA4F2D" w:rsidRPr="009007F9" w:rsidRDefault="00EA4F2D" w:rsidP="00EA4F2D">
      <w:pPr>
        <w:pStyle w:val="Heading1"/>
        <w:numPr>
          <w:ilvl w:val="0"/>
          <w:numId w:val="6"/>
        </w:numPr>
        <w:tabs>
          <w:tab w:val="num" w:pos="360"/>
        </w:tabs>
        <w:ind w:left="0" w:firstLine="0"/>
        <w:jc w:val="left"/>
        <w:rPr>
          <w:sz w:val="22"/>
          <w:szCs w:val="22"/>
        </w:rPr>
      </w:pPr>
      <w:bookmarkStart w:id="99" w:name="_Toc55919665"/>
      <w:bookmarkStart w:id="100" w:name="_Toc120012378"/>
      <w:bookmarkStart w:id="101" w:name="_Toc134623395"/>
      <w:r w:rsidRPr="009007F9">
        <w:rPr>
          <w:sz w:val="22"/>
          <w:szCs w:val="22"/>
        </w:rPr>
        <w:t>Computational methods</w:t>
      </w:r>
      <w:bookmarkEnd w:id="99"/>
      <w:bookmarkEnd w:id="100"/>
      <w:bookmarkEnd w:id="101"/>
    </w:p>
    <w:p w14:paraId="5682CF5D" w14:textId="5ECADF96" w:rsidR="00EA4F2D" w:rsidRPr="009007F9" w:rsidRDefault="00EA4F2D" w:rsidP="00EA4F2D">
      <w:pPr>
        <w:pStyle w:val="Heading2"/>
        <w:rPr>
          <w:szCs w:val="22"/>
        </w:rPr>
      </w:pPr>
      <w:bookmarkStart w:id="102" w:name="_Toc120012379"/>
      <w:bookmarkStart w:id="103" w:name="_Toc134623396"/>
      <w:r w:rsidRPr="009007F9">
        <w:rPr>
          <w:szCs w:val="22"/>
        </w:rPr>
        <w:t>Docking simulations</w:t>
      </w:r>
      <w:bookmarkEnd w:id="102"/>
      <w:bookmarkEnd w:id="103"/>
      <w:r w:rsidRPr="009007F9">
        <w:rPr>
          <w:szCs w:val="22"/>
        </w:rPr>
        <w:t xml:space="preserve"> </w:t>
      </w:r>
    </w:p>
    <w:p w14:paraId="7359F8A6" w14:textId="77777777" w:rsidR="00EA4F2D" w:rsidRPr="009007F9" w:rsidRDefault="00EA4F2D" w:rsidP="00EA4F2D">
      <w:pPr>
        <w:rPr>
          <w:rFonts w:cs="Arial"/>
        </w:rPr>
      </w:pPr>
      <w:r w:rsidRPr="009007F9">
        <w:rPr>
          <w:rFonts w:cs="Arial"/>
        </w:rPr>
        <w:t>Docking studies were performed using YASARA,</w:t>
      </w:r>
      <w:sdt>
        <w:sdtPr>
          <w:rPr>
            <w:rFonts w:cs="Arial"/>
            <w:color w:val="000000"/>
            <w:vertAlign w:val="superscript"/>
          </w:rPr>
          <w:tag w:val="MENDELEY_CITATION_v3_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"/>
          <w:id w:val="234056269"/>
          <w:placeholder>
            <w:docPart w:val="220D0D00ABBF49E4BA5565F187D58E9D"/>
          </w:placeholder>
        </w:sdtPr>
        <w:sdtEndPr>
          <w:rPr>
            <w:rFonts w:cstheme="minorBidi"/>
          </w:rPr>
        </w:sdtEndPr>
        <w:sdtContent>
          <w:r w:rsidRPr="009007F9">
            <w:rPr>
              <w:color w:val="000000"/>
              <w:vertAlign w:val="superscript"/>
            </w:rPr>
            <w:t>6</w:t>
          </w:r>
        </w:sdtContent>
      </w:sdt>
      <w:r w:rsidRPr="009007F9">
        <w:rPr>
          <w:rFonts w:cs="Arial"/>
        </w:rPr>
        <w:t xml:space="preserve"> which uses Autodock and VINA algorithms for the calculation of defined ligand-receptor interaction. Homolog SHC models of </w:t>
      </w:r>
      <w:r w:rsidRPr="009007F9">
        <w:rPr>
          <w:rFonts w:cs="Arial"/>
          <w:i/>
          <w:iCs/>
        </w:rPr>
        <w:t>Tel</w:t>
      </w:r>
      <w:r w:rsidRPr="009007F9">
        <w:rPr>
          <w:rFonts w:cs="Arial"/>
        </w:rPr>
        <w:t xml:space="preserve"> and </w:t>
      </w:r>
      <w:r w:rsidRPr="009007F9">
        <w:rPr>
          <w:rFonts w:cs="Arial"/>
          <w:i/>
          <w:iCs/>
        </w:rPr>
        <w:t>Zmo</w:t>
      </w:r>
      <w:r w:rsidRPr="009007F9">
        <w:rPr>
          <w:rFonts w:cs="Arial"/>
        </w:rPr>
        <w:t>1 were generated by RoseTTaFold.</w:t>
      </w:r>
      <w:sdt>
        <w:sdtPr>
          <w:rPr>
            <w:rFonts w:cs="Arial"/>
            <w:color w:val="000000"/>
            <w:vertAlign w:val="superscript"/>
          </w:rPr>
          <w:tag w:val="MENDELEY_CITATION_v3_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"/>
          <w:id w:val="-1962030351"/>
          <w:placeholder>
            <w:docPart w:val="220D0D00ABBF49E4BA5565F187D58E9D"/>
          </w:placeholder>
        </w:sdtPr>
        <w:sdtEndPr>
          <w:rPr>
            <w:rFonts w:cstheme="minorBidi"/>
          </w:rPr>
        </w:sdtEndPr>
        <w:sdtContent>
          <w:r w:rsidRPr="009007F9">
            <w:rPr>
              <w:color w:val="000000"/>
              <w:vertAlign w:val="superscript"/>
            </w:rPr>
            <w:t>13</w:t>
          </w:r>
        </w:sdtContent>
      </w:sdt>
      <w:r w:rsidRPr="009007F9">
        <w:rPr>
          <w:rFonts w:cs="Arial"/>
        </w:rPr>
        <w:t xml:space="preserve">  </w:t>
      </w:r>
      <w:r w:rsidRPr="009007F9">
        <w:rPr>
          <w:rFonts w:cs="Arial"/>
          <w:i/>
        </w:rPr>
        <w:t>In silico</w:t>
      </w:r>
      <w:r w:rsidRPr="009007F9">
        <w:rPr>
          <w:rFonts w:cs="Arial"/>
        </w:rPr>
        <w:t xml:space="preserve"> mutations of SHCs were introduced by changing the specific amino acid in the sequence based, which homology structure was modeled by RoseTTaFold. The most plausible and lowest energy model was used for visualization.</w:t>
      </w:r>
    </w:p>
    <w:p w14:paraId="6B0E1CF9" w14:textId="2D26499B" w:rsidR="00DB589D" w:rsidRPr="004765AF" w:rsidRDefault="00DB589D" w:rsidP="004765AF">
      <w:pPr>
        <w:pStyle w:val="Heading2"/>
        <w:rPr>
          <w:lang w:val="en-US"/>
        </w:rPr>
      </w:pPr>
      <w:bookmarkStart w:id="104" w:name="_Toc134623397"/>
      <w:r w:rsidRPr="004765AF">
        <w:rPr>
          <w:lang w:val="en-US"/>
        </w:rPr>
        <w:t>Free energy calculations</w:t>
      </w:r>
      <w:bookmarkEnd w:id="104"/>
    </w:p>
    <w:p w14:paraId="16892AA8" w14:textId="77777777" w:rsidR="00CF5A6C" w:rsidRPr="004765AF" w:rsidRDefault="00CF5A6C" w:rsidP="004765AF">
      <w:pPr>
        <w:pStyle w:val="Heading2"/>
        <w:rPr>
          <w:lang w:val="en-US"/>
        </w:rPr>
      </w:pPr>
      <w:bookmarkStart w:id="105" w:name="_Toc134623398"/>
      <w:r w:rsidRPr="004765AF">
        <w:rPr>
          <w:lang w:val="en-US"/>
        </w:rPr>
        <w:t>Molecular model</w:t>
      </w:r>
      <w:bookmarkEnd w:id="105"/>
    </w:p>
    <w:p w14:paraId="17F4535B" w14:textId="66F883DF" w:rsidR="002D12A4" w:rsidRPr="009007F9" w:rsidRDefault="002D12A4" w:rsidP="002D12A4">
      <w:pPr>
        <w:rPr>
          <w:rFonts w:cs="Arial"/>
        </w:rPr>
      </w:pPr>
      <w:r w:rsidRPr="009007F9">
        <w:rPr>
          <w:rFonts w:cs="Arial"/>
        </w:rPr>
        <w:t>Native (αCD, βCD, γCD) and hydroxypropyl-cyclodextrins (2HP-αCD, 2HP-βCD, 2HP-γCD) were modelled with the GROMOS-compatible force field 53A6</w:t>
      </w:r>
      <w:r w:rsidRPr="009007F9">
        <w:rPr>
          <w:rFonts w:cs="Arial"/>
          <w:vertAlign w:val="subscript"/>
        </w:rPr>
        <w:t>GLYC</w:t>
      </w:r>
      <w:r w:rsidRPr="009007F9">
        <w:rPr>
          <w:rFonts w:cs="Arial"/>
          <w:vertAlign w:val="subscript"/>
        </w:rPr>
        <w:fldChar w:fldCharType="begin" w:fldLock="1"/>
      </w:r>
      <w:r w:rsidR="00E81BA1">
        <w:rPr>
          <w:rFonts w:cs="Arial"/>
          <w:vertAlign w:val="subscript"/>
        </w:rPr>
        <w:instrText>ADDIN CSL_CITATION {"citationItems":[{"id":"ITEM-1","itemData":{"DOI":"10.1021/CT300479H/ASSET/IMAGES/LARGE/CT-2012-00479H_0006.JPEG","ISSN":"15499618","abstract":"An improved parameter set for explicit-solvent simulations of carbohydrates (referred to as GROMOS 53A6 GLYC) is presented, allowing proper description of the most stable conformation of all 16 possible aldohexopyranose-based monosaccharides. This set includes refinement of torsional potential parameters associated with the determination of hexopyranose rings conformation by fitting to their corresponding quantum-mechanical profiles. Other parameters, as the rules for third and excluded neighbors, are taken directly from the GROMOS 53A6 force field. Comparisons of the herein presented parameter set to our previous version (GROMOS 45A4), the GLYCAM06 force field, and available NMR data are presented in terms of ring puckering free energies, conformational distribution of the hydroxymethyl group, and glycosidic linkage geometries for 16 selected monosaccharides and eight disaccharides. The proposed parameter modifications have shown a significant improvement for the above-mentioned quantities over the two tested force fields, while retaining full compatibility with the GROMOS 53A6 and 54A7 parameter sets for other classes of biomolecules. © 2012 American Chemical Society.","author":[{"dropping-particle":"","family":"Pol-Fachin","given":"Laercio","non-dropping-particle":"","parse-names":false,"suffix":""},{"dropping-particle":"","family":"Rusu","given":"Victor H.","non-dropping-particle":"","parse-names":false,"suffix":""},{"dropping-particle":"","family":"Verli","given":"Hugo","non-dropping-particle":"","parse-names":false,"suffix":""},{"dropping-particle":"","family":"Lins","given":"Roberto D.","non-dropping-particle":"","parse-names":false,"suffix":""}],"container-title":"Journal of Chemical Theory and Computation","id":"ITEM-1","issue":"11","issued":{"date-parts":[["2012","11","13"]]},"page":"4681-4690","publisher":"American Chemical Society","title":"GROMOS 53A6 GLYC, an improved GROMOS force field for hexopyranose-based carbohydrates","type":"article-journal","volume":"8"},"uris":["http://www.mendeley.com/documents/?uuid=d3b0bc79-53dc-30b8-b5fa-82e14f95a982"]}],"mendeley":{"formattedCitation":"&lt;sup&gt;27&lt;/sup&gt;","plainTextFormattedCitation":"27","previouslyFormattedCitation":"&lt;sup&gt;26&lt;/sup&gt;"},"properties":{"noteIndex":0},"schema":"https://github.com/citation-style-language/schema/raw/master/csl-citation.json"}</w:instrText>
      </w:r>
      <w:r w:rsidRPr="009007F9">
        <w:rPr>
          <w:rFonts w:cs="Arial"/>
          <w:vertAlign w:val="subscript"/>
        </w:rPr>
        <w:fldChar w:fldCharType="separate"/>
      </w:r>
      <w:r w:rsidR="00E81BA1" w:rsidRPr="00E81BA1">
        <w:rPr>
          <w:rFonts w:cs="Arial"/>
          <w:noProof/>
          <w:vertAlign w:val="superscript"/>
        </w:rPr>
        <w:t>27</w:t>
      </w:r>
      <w:r w:rsidRPr="009007F9">
        <w:rPr>
          <w:rFonts w:cs="Arial"/>
          <w:vertAlign w:val="subscript"/>
        </w:rPr>
        <w:fldChar w:fldCharType="end"/>
      </w:r>
      <w:r w:rsidRPr="009007F9">
        <w:rPr>
          <w:rFonts w:cs="Arial"/>
        </w:rPr>
        <w:t xml:space="preserve">, which is based on the </w:t>
      </w:r>
      <w:r w:rsidRPr="009007F9">
        <w:rPr>
          <w:rFonts w:cs="Arial"/>
        </w:rPr>
        <w:lastRenderedPageBreak/>
        <w:t>GROMOS 53A6 force field</w:t>
      </w:r>
      <w:r w:rsidRPr="009007F9">
        <w:rPr>
          <w:rFonts w:cs="Arial"/>
        </w:rPr>
        <w:fldChar w:fldCharType="begin" w:fldLock="1"/>
      </w:r>
      <w:r w:rsidR="00E81BA1">
        <w:rPr>
          <w:rFonts w:cs="Arial"/>
        </w:rPr>
        <w:instrText>ADDIN CSL_CITATION {"citationItems":[{"id":"ITEM-1","itemData":{"DOI":"10.1002/JCC.20090","ISSN":"1096-987X","PMID":"15264259","abstract":"Successive parameterizations of the GROMOS force field have been used successfully to simulate biomolecular systems over a long period of time. The continuing expansion of computational power with time makes it possible to compute ever more properties for an increasing variety of molecular systems with greater precision. This has led to recurrent parameterizations of the GROMOS force field all aimed at achieving better agreement with experimental data. Here we report the results of the latest, extensive reparameterization of the GROMOS force field. In contrast to the parameterization of other biomolecular force fields, this parameterization of the GROMOS force field is based primarily on reproducing the free enthalpies of hydration and apolar solvation for a range of compounds. This approach was chosen because the relative free enthalpy of solvation between polar and apolar environments is a key property in many biomolecular processes of interest, such as protein folding, biomolecular association, membrane formation, and transport over membranes. The newest parameter sets, 53A5 and 53A6, were optimized by first fitting to reproduce the thermodynamic properties of pure liquids of a range of small polar molecules and the solvation free enthalpies of amino acid analogs in cyclohexane (53A5). The partial charges were then adjusted to reproduce the hydration free enthalpies in water (53A6). Both parameter sets are fully documented, and the differences between these and previous parameter sets are discussed. © 2004 Wiley Periodicals, Inc.","author":[{"dropping-particle":"","family":"Oostenbrink","given":"Chris","non-dropping-particle":"","parse-names":false,"suffix":""},{"dropping-particle":"","family":"Villa","given":"Alessandra","non-dropping-particle":"","parse-names":false,"suffix":""},{"dropping-particle":"","family":"Mark","given":"Alan E.","non-dropping-particle":"","parse-names":false,"suffix":""},{"dropping-particle":"","family":"Gunsteren","given":"Wilfred F.","non-dropping-particle":"Van","parse-names":false,"suffix":""}],"container-title":"Journal of Computational Chemistry","id":"ITEM-1","issue":"13","issued":{"date-parts":[["2004","10","1"]]},"page":"1656-1676","publisher":"John Wiley &amp; Sons, Ltd","title":"A biomolecular force field based on the free enthalpy of hydration and solvation: The GROMOS force-field parameter sets 53A5 and 53A6","type":"article-journal","volume":"25"},"uris":["http://www.mendeley.com/documents/?uuid=b02ee05b-eb12-3723-825e-e48fca67bebb"]}],"mendeley":{"formattedCitation":"&lt;sup&gt;28&lt;/sup&gt;","plainTextFormattedCitation":"28","previouslyFormattedCitation":"&lt;sup&gt;27&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28</w:t>
      </w:r>
      <w:r w:rsidRPr="009007F9">
        <w:rPr>
          <w:rFonts w:cs="Arial"/>
        </w:rPr>
        <w:fldChar w:fldCharType="end"/>
      </w:r>
      <w:r w:rsidRPr="009007F9">
        <w:rPr>
          <w:rFonts w:cs="Arial"/>
        </w:rPr>
        <w:t xml:space="preserve"> and includes modified torsional-angle parameters for hexopyranoses. In the context of pure carbohydrate systems, the force field 53A6 is equivalent to 53A5</w:t>
      </w:r>
      <w:r w:rsidRPr="009007F9">
        <w:rPr>
          <w:rFonts w:cs="Arial"/>
        </w:rPr>
        <w:fldChar w:fldCharType="begin" w:fldLock="1"/>
      </w:r>
      <w:r w:rsidR="00E81BA1">
        <w:rPr>
          <w:rFonts w:cs="Arial"/>
        </w:rPr>
        <w:instrText>ADDIN CSL_CITATION {"citationItems":[{"id":"ITEM-1","itemData":{"DOI":"10.1002/JCC.20090","ISSN":"1096-987X","PMID":"15264259","abstract":"Successive parameterizations of the GROMOS force field have been used successfully to simulate biomolecular systems over a long period of time. The continuing expansion of computational power with time makes it possible to compute ever more properties for an increasing variety of molecular systems with greater precision. This has led to recurrent parameterizations of the GROMOS force field all aimed at achieving better agreement with experimental data. Here we report the results of the latest, extensive reparameterization of the GROMOS force field. In contrast to the parameterization of other biomolecular force fields, this parameterization of the GROMOS force field is based primarily on reproducing the free enthalpies of hydration and apolar solvation for a range of compounds. This approach was chosen because the relative free enthalpy of solvation between polar and apolar environments is a key property in many biomolecular processes of interest, such as protein folding, biomolecular association, membrane formation, and transport over membranes. The newest parameter sets, 53A5 and 53A6, were optimized by first fitting to reproduce the thermodynamic properties of pure liquids of a range of small polar molecules and the solvation free enthalpies of amino acid analogs in cyclohexane (53A5). The partial charges were then adjusted to reproduce the hydration free enthalpies in water (53A6). Both parameter sets are fully documented, and the differences between these and previous parameter sets are discussed. © 2004 Wiley Periodicals, Inc.","author":[{"dropping-particle":"","family":"Oostenbrink","given":"Chris","non-dropping-particle":"","parse-names":false,"suffix":""},{"dropping-particle":"","family":"Villa","given":"Alessandra","non-dropping-particle":"","parse-names":false,"suffix":""},{"dropping-particle":"","family":"Mark","given":"Alan E.","non-dropping-particle":"","parse-names":false,"suffix":""},{"dropping-particle":"","family":"Gunsteren","given":"Wilfred F.","non-dropping-particle":"Van","parse-names":false,"suffix":""}],"container-title":"Journal of Computational Chemistry","id":"ITEM-1","issue":"13","issued":{"date-parts":[["2004","10","1"]]},"page":"1656-1676","publisher":"John Wiley &amp; Sons, Ltd","title":"A biomolecular force field based on the free enthalpy of hydration and solvation: The GROMOS force-field parameter sets 53A5 and 53A6","type":"article-journal","volume":"25"},"uris":["http://www.mendeley.com/documents/?uuid=b02ee05b-eb12-3723-825e-e48fca67bebb"]}],"mendeley":{"formattedCitation":"&lt;sup&gt;28&lt;/sup&gt;","plainTextFormattedCitation":"28","previouslyFormattedCitation":"&lt;sup&gt;27&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28</w:t>
      </w:r>
      <w:r w:rsidRPr="009007F9">
        <w:rPr>
          <w:rFonts w:cs="Arial"/>
        </w:rPr>
        <w:fldChar w:fldCharType="end"/>
      </w:r>
      <w:r w:rsidRPr="009007F9">
        <w:rPr>
          <w:rFonts w:cs="Arial"/>
        </w:rPr>
        <w:t xml:space="preserve"> as well as recent modifications referred to as 54A7</w:t>
      </w:r>
      <w:r w:rsidRPr="009007F9">
        <w:rPr>
          <w:rFonts w:cs="Arial"/>
        </w:rPr>
        <w:fldChar w:fldCharType="begin" w:fldLock="1"/>
      </w:r>
      <w:r w:rsidR="00E81BA1">
        <w:rPr>
          <w:rFonts w:cs="Arial"/>
        </w:rPr>
        <w:instrText>ADDIN CSL_CITATION {"citationItems":[{"id":"ITEM-1","itemData":{"DOI":"10.1002/JCC.21396","ISSN":"1096-987X","PMID":"19827145","abstract":"A new force field for the simulation of dipalmitoylphosphatidylcholine (DPPC) in the liquid-crystalline, fluid phase at zero surface tension is presented. The structure of the bilayer with the area per lipid (0.629 nm 2; experiment 0.629-0.64 nm2), the volume per lipid ( 1.226 nm3; experiment 1.229-1.232 nm3), and the ordering of the palmitoyl chains (order parameters) are all in very good agreement with experiment. Experimental electron density profiles are well reproduced in particular with regard to the penetration of water into the bilayer. The force field was further validated by simulating the spontaneous assembly of DPPC into a bilayer in water. Notably, the timescale on which membrane sealing was observed using this model appears closer to the timescales for membrane resealing suggested by electroporation experiments than previous simulations using existing models. © 2009 Wiley Periodicals, Inc.","author":[{"dropping-particle":"","family":"Poger","given":"David","non-dropping-particle":"","parse-names":false,"suffix":""},{"dropping-particle":"","family":"Gunsteren","given":"Wilfred F.","non-dropping-particle":"Van","parse-names":false,"suffix":""},{"dropping-particle":"","family":"Mark","given":"Alan E.","non-dropping-particle":"","parse-names":false,"suffix":""}],"container-title":"Journal of Computational Chemistry","id":"ITEM-1","issue":"6","issued":{"date-parts":[["2010","4","30"]]},"page":"1117-1125","publisher":"John Wiley &amp; Sons, Ltd","title":"A new force field for simulating phosphatidylcholine bilayers","type":"article-journal","volume":"31"},"uris":["http://www.mendeley.com/documents/?uuid=0839fd9a-cdb8-35d0-a1bb-9c5f168ec33a"]},{"id":"ITEM-2","itemData":{"DOI":"10.1007/S00249-011-0700-9/FIGURES/12","ISSN":"01757571","PMID":"21533652","abstract":"New parameter sets of the GROMOS biomolecular force field, 54A7 and 54B7, are introduced. These parameter sets summarise some previously published force field modifications: The 53A6 helical propensities are corrected through new φ/ψ torsional angle terms and a modification of the N-H, C=O repulsion, a new atom type for a charged -CH 3 in the choline moiety is added, the Na + and Cl - ions are modified to reproduce the free energy of hydration, and additional improper torsional angle types for free energy calculations involving a chirality change are introduced. The new helical propensity modification is tested using the benchmark proteins hen egg-white lysozyme, fox1 RNA binding domain, chorismate mutase and the GCN4-p1 peptide. The stability of the proteins is improved in comparison with the 53A6 force field, and good agreement with a range of primary experimental data is obtained. © 2011 European Biophysical Societies' Association.","author":[{"dropping-particle":"","family":"Schmid","given":"Nathan","non-dropping-particle":"","parse-names":false,"suffix":""},{"dropping-particle":"","family":"Eichenberger","given":"Andreas P.","non-dropping-particle":"","parse-names":false,"suffix":""},{"dropping-particle":"","family":"Choutko","given":"Alexandra","non-dropping-particle":"","parse-names":false,"suffix":""},{"dropping-particle":"","family":"Riniker","given":"Sereina","non-dropping-particle":"","parse-names":false,"suffix":""},{"dropping-particle":"","family":"Winger","given":"Moritz","non-dropping-particle":"","parse-names":false,"suffix":""},{"dropping-particle":"","family":"Mark","given":"Alan E.","non-dropping-particle":"","parse-names":false,"suffix":""},{"dropping-particle":"","family":"Gunsteren","given":"Wilfred F.","non-dropping-particle":"Van","parse-names":false,"suffix":""}],"container-title":"European Biophysics Journal","id":"ITEM-2","issue":"7","issued":{"date-parts":[["2011","7","30"]]},"page":"843-856","publisher":"Springer","title":"Definition and testing of the GROMOS force-field versions 54A7 and 54B7","type":"article-journal","volume":"40"},"uris":["http://www.mendeley.com/documents/?uuid=394b741e-f785-35a3-9629-770eb4311ac8"]}],"mendeley":{"formattedCitation":"&lt;sup&gt;29,30&lt;/sup&gt;","plainTextFormattedCitation":"29,30","previouslyFormattedCitation":"&lt;sup&gt;28,29&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29,30</w:t>
      </w:r>
      <w:r w:rsidRPr="009007F9">
        <w:rPr>
          <w:rFonts w:cs="Arial"/>
        </w:rPr>
        <w:fldChar w:fldCharType="end"/>
      </w:r>
      <w:r w:rsidRPr="009007F9">
        <w:rPr>
          <w:rFonts w:cs="Arial"/>
        </w:rPr>
        <w:t xml:space="preserve"> and 54A8</w:t>
      </w:r>
      <w:r w:rsidRPr="009007F9">
        <w:rPr>
          <w:rFonts w:cs="Arial"/>
        </w:rPr>
        <w:fldChar w:fldCharType="begin" w:fldLock="1"/>
      </w:r>
      <w:r w:rsidR="00E81BA1">
        <w:rPr>
          <w:rFonts w:cs="Arial"/>
        </w:rPr>
        <w:instrText>ADDIN CSL_CITATION {"citationItems":[{"id":"ITEM-1","itemData":{"DOI":"10.1021/CT300156H/SUPPL_FILE/CT300156H_SI_002.PDF","ISSN":"15499626","abstract":"A GROMOS force-field parameter set 54A8 is developed, which is based on the latest 54A7 set [Schmid et al. Eur. Biophys. J. 2011, 40, 843-856] and involves a recalibration of the nonbonded interaction parameters for the charged amino acid side chains, based on ionic side chain analogs. After a thorough analysis of the available experimental data, conventional hydration free energies for the ammonium; mono-, di-, tri-, and tetramethyl-ammonium; formate; acetate; propanoate; imidazolium; and guanidinium ions are combined with a standard absolute intrinsic proton hydration free energy δGhyd</w:instrText>
      </w:r>
      <w:r w:rsidR="00E81BA1">
        <w:rPr>
          <w:rFonts w:ascii="Cambria Math" w:hAnsi="Cambria Math" w:cs="Cambria Math"/>
        </w:rPr>
        <w:instrText>⊖</w:instrText>
      </w:r>
      <w:r w:rsidR="00E81BA1">
        <w:rPr>
          <w:rFonts w:cs="Arial"/>
        </w:rPr>
        <w:instrText>[Hg+] = -1100 kJ·mol -1 to yield absolute intrinsic single-ion hydration free energies serving as experimental target data. The raw hydration free energies calculated from atomistic simulations are affected by electrostatic and finite-size artifacts, and corrections are applied to reach methodological independence prior to comparison with these experimental values. Except for monomethyl-ammonium, ions with parameters derived directly from the 54A7 force field considerably underestimate (ammonium, formate, acetate, propanoate, guanidinium) or overestimate (di-, tri-, and tetramethyl-ammonium; imidazolium) the magnitude of the intrinsic hydration free energy, the largest deviation affecting the acetate ion (40.0 kJ·mol-1). After reparameterization into 54A8, the mean and maximal absolute deviations between simulated and experimental data over the set of 10 ions are reduced from 23.1 and 40.0 kJ·mol-1, respectively, to 1.8 and 6.3 kJ·mol-1, respectively. Although the 54A7 and 54A8 parameter sets differ significantly in terms of the hydration free energies of the ions considered, other properties such as ion-water radial distribution functions and ion-ion potentials of mean force appear to be only moderately sensitive to this change. These properties are similar for the two sets and, in the case of the ion-water radial distribution functions, in good agreement with available experimental data. © 2012 American Chemical Society.","author":[{"dropping-particle":"","family":"Reif","given":"Maria M.","non-dropping-particle":"","parse-names":false,"suffix":""},{"dropping-particle":"","family":"Hünenberger","given":"Philippe H.","non-dropping-particle":"","parse-names":false,"suffix":""},{"dropping-particle":"","family":"Oostenbrink","given":"Chris","non-dropping-particle":"","parse-names":false,"suffix":""}],"container-title":"Journal of Chemical Theory and Computation","id":"ITEM-1","issue":"10","issued":{"date-parts":[["2012","10","9"]]},"page":"3705-3723","publisher":"American Chemical Society","title":"New interaction parameters for charged amino acid side chains in the GROMOS force field","type":"article-journal","volume":"8"},"uris":["http://www.mendeley.com/documents/?uuid=37249eea-fd42-3629-957b-473c8acd04eb"]}],"mendeley":{"formattedCitation":"&lt;sup&gt;31&lt;/sup&gt;","plainTextFormattedCitation":"31","previouslyFormattedCitation":"&lt;sup&gt;30&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31</w:t>
      </w:r>
      <w:r w:rsidRPr="009007F9">
        <w:rPr>
          <w:rFonts w:cs="Arial"/>
        </w:rPr>
        <w:fldChar w:fldCharType="end"/>
      </w:r>
      <w:r w:rsidRPr="009007F9">
        <w:rPr>
          <w:rFonts w:cs="Arial"/>
        </w:rPr>
        <w:t xml:space="preserve"> and nearly identical to the set 45A4</w:t>
      </w:r>
      <w:r w:rsidRPr="009007F9">
        <w:rPr>
          <w:rFonts w:cs="Arial"/>
        </w:rPr>
        <w:fldChar w:fldCharType="begin" w:fldLock="1"/>
      </w:r>
      <w:r w:rsidR="00E81BA1">
        <w:rPr>
          <w:rFonts w:cs="Arial"/>
        </w:rPr>
        <w:instrText>ADDIN CSL_CITATION {"citationItems":[{"id":"ITEM-1","itemData":{"DOI":"10.1002/JCC.20275","ISSN":"1096-987X","PMID":"16035088","abstract":"A new parameter set (referred to as 45A4) is developed for the explicit-solvent simulation of hexopyranose-based carbohydrates. This set is compatible with the most recent version of the GROMOS force field for proteins, nucleic acids, and lipids, and the SPC water model. The parametrization procedure relies on: (1) reassigning the atomic partial charges based on a fit to the quantum-mechanical electrostatic potential around a trisaccharide; (2) refining the torsional potential parameters associated with the rotations of the hydroxymethyl, hydroxyl, and anomeric alkoxy groups by fitting to corresponding quantum-mechanical profiles for hexopyranosides; (3) adapting the torsional potential parameters determining the ring conformation so as to stabilize the (experimentally predominant) 4C1, chair conformation. The other (van der Waals and nontorsional covalent) parameters and the rules for third and excluded neighbors are taken directly from the most recent version of the GROMOS force field (except for one additional exclusion). The new set is general enough to define parameters for any (unbranched) hexopyranose-based mono-, di-, oligo- or polysaccharide. In the present article, this force field is validated for a limited set of monosaccharides (α- and β3-D-glucose, α- and β-D-galactose) and disaccharides (trehalose, maltose, and cellobiose) in solution, by comparing the results of simulations to available experimental data. More extensive validation will be the scope of a forthcoming article. © 2005 Wiley Periodicals, Inc.","author":[{"dropping-particle":"","family":"Lins","given":"Roberto D.","non-dropping-particle":"","parse-names":false,"suffix":""},{"dropping-particle":"","family":"Hünenberger","given":"Philippe H.","non-dropping-particle":"","parse-names":false,"suffix":""}],"container-title":"Journal of Computational Chemistry","id":"ITEM-1","issue":"13","issued":{"date-parts":[["2005","10","1"]]},"page":"1400-1412","publisher":"John Wiley &amp; Sons, Ltd","title":"A new GROMOS force field for hexopyranose-based carbohydrates","type":"article-journal","volume":"26"},"uris":["http://www.mendeley.com/documents/?uuid=b9c8fd4b-41f4-326f-8d5f-b0b26a65f11f"]}],"mendeley":{"formattedCitation":"&lt;sup&gt;32&lt;/sup&gt;","plainTextFormattedCitation":"32","previouslyFormattedCitation":"&lt;sup&gt;31&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32</w:t>
      </w:r>
      <w:r w:rsidRPr="009007F9">
        <w:rPr>
          <w:rFonts w:cs="Arial"/>
        </w:rPr>
        <w:fldChar w:fldCharType="end"/>
      </w:r>
      <w:r w:rsidRPr="009007F9">
        <w:rPr>
          <w:rFonts w:cs="Arial"/>
        </w:rPr>
        <w:t>. The only minor difference between 45A4 and 53A6 force fields was a change in the repulsive coefficient of the Lennard-Jones interactions between atom type OA (used for all sugar oxygen atoms in these two force fields) and nonpolar carbon atoms (intermolecular or intramolecular beyond third covalent neighbors)</w:t>
      </w:r>
      <w:r w:rsidRPr="009007F9">
        <w:rPr>
          <w:rFonts w:cs="Arial"/>
        </w:rPr>
        <w:fldChar w:fldCharType="begin" w:fldLock="1"/>
      </w:r>
      <w:r w:rsidR="00E81BA1">
        <w:rPr>
          <w:rFonts w:cs="Arial"/>
        </w:rPr>
        <w:instrText>ADDIN CSL_CITATION {"citationItems":[{"id":"ITEM-1","itemData":{"DOI":"10.1002/JCC.21675","ISSN":"1096-987X","abstract":"This article presents a reoptimization of the GROMOS 53A6 force field for hexopyranose-based carbohydrates (nearly equivalent to 45A4 for pure carbohydrate systems) into a new version 56ACARBO (nearly equivalent to 53A6 for non-carbohydrate systems). This reoptimization was found necessary to repair a number of shortcomings of the 53A6 (45A4) parameter set and to extend the scope of the force field to properties that had not been included previously into the parameterization procedure. The new 56ACARBO force field is characterized by: (i) the formulation of systematic build-up rules for the automatic generation of force-field topologies over a large class of compounds including (but not restricted to) unfunctionalized polyhexopyranoses with arbritrary connectivities; (ii) the systematic use of enhanced sampling methods for inclusion of experimental thermodynamic data concerning slow or unphysical processes into the parameterization procedure; and (iii) an extensive validation against available experimental data in solution and, to a limited extent, theoretical (quantum-mechanical) data in the gas phase. At present, the 56ACARBO force field is restricted to compounds of the elements C, O, and H presenting single bonds only, no oxygen functions other than alcohol, ether, hemiacetal, or acetal, and no cyclic segments other than six-membered rings (separated by at least one intermediate atom). After calibration, this force field is shown to reproduce well the relative free energies of ring conformers, anomers, epimers, hydroxymethyl rotamers, and glycosidic linkage conformers. As a result, the 56A CARBO force field should be suitable for: (i) the characterization of the dynamics of pyranose ring conformational transitions (in simulations on the microsecond timescale); (ii) the investigation of systems where alternative ring conformations become significantly populated; (iii) the investigation of anomerization or epimerization in terms of free-energy differences; and (iv) the design of simulation approaches accelerating the anomerization process along an unphysical pathway. © 2010 Wiley Periodicals, Inc.","author":[{"dropping-particle":"","family":"Hansen","given":"Halvor S.","non-dropping-particle":"","parse-names":false,"suffix":""},{"dropping-particle":"","family":"Hünenberger","given":"Philippe H.","non-dropping-particle":"","parse-names":false,"suffix":""}],"container-title":"Journal of Computational Chemistry","id":"ITEM-1","issue":"6","issued":{"date-parts":[["2011","4","30"]]},"page":"998-1032","publisher":"John Wiley &amp; Sons, Ltd","title":"A reoptimized GROMOS force field for hexopyranose-based carbohydrates accounting for the relative free energies of ring conformers, anomers, epimers, hydroxymethyl rotamers, and glycosidic linkage conformers","type":"article-journal","volume":"32"},"uris":["http://www.mendeley.com/documents/?uuid=b56836c2-21b9-36e1-8058-6799a53c9743"]}],"mendeley":{"formattedCitation":"&lt;sup&gt;33&lt;/sup&gt;","plainTextFormattedCitation":"33","previouslyFormattedCitation":"&lt;sup&gt;32&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33</w:t>
      </w:r>
      <w:r w:rsidRPr="009007F9">
        <w:rPr>
          <w:rFonts w:cs="Arial"/>
        </w:rPr>
        <w:fldChar w:fldCharType="end"/>
      </w:r>
      <w:r w:rsidRPr="009007F9">
        <w:rPr>
          <w:rFonts w:cs="Arial"/>
        </w:rPr>
        <w:t>. Molecular models for all guest molecules except ambroxide were generated manually by transferring parameters from similar molecules in the GROMOS building block library</w:t>
      </w:r>
      <w:r w:rsidRPr="009007F9">
        <w:rPr>
          <w:rFonts w:cs="Arial"/>
        </w:rPr>
        <w:fldChar w:fldCharType="begin" w:fldLock="1"/>
      </w:r>
      <w:r w:rsidR="00E81BA1">
        <w:rPr>
          <w:rFonts w:cs="Arial"/>
        </w:rPr>
        <w:instrText>ADDIN CSL_CITATION {"citationItems":[{"id":"ITEM-1","itemData":{"DOI":"10.1007/S00249-011-0700-9/FIGURES/12","ISSN":"01757571","PMID":"21533652","abstract":"New parameter sets of the GROMOS biomolecular force field, 54A7 and 54B7, are introduced. These parameter sets summarise some previously published force field modifications: The 53A6 helical propensities are corrected through new φ/ψ torsional angle terms and a modification of the N-H, C=O repulsion, a new atom type for a charged -CH 3 in the choline moiety is added, the Na + and Cl - ions are modified to reproduce the free energy of hydration, and additional improper torsional angle types for free energy calculations involving a chirality change are introduced. The new helical propensity modification is tested using the benchmark proteins hen egg-white lysozyme, fox1 RNA binding domain, chorismate mutase and the GCN4-p1 peptide. The stability of the proteins is improved in comparison with the 53A6 force field, and good agreement with a range of primary experimental data is obtained. © 2011 European Biophysical Societies' Association.","author":[{"dropping-particle":"","family":"Schmid","given":"Nathan","non-dropping-particle":"","parse-names":false,"suffix":""},{"dropping-particle":"","family":"Eichenberger","given":"Andreas P.","non-dropping-particle":"","parse-names":false,"suffix":""},{"dropping-particle":"","family":"Choutko","given":"Alexandra","non-dropping-particle":"","parse-names":false,"suffix":""},{"dropping-particle":"","family":"Riniker","given":"Sereina","non-dropping-particle":"","parse-names":false,"suffix":""},{"dropping-particle":"","family":"Winger","given":"Moritz","non-dropping-particle":"","parse-names":false,"suffix":""},{"dropping-particle":"","family":"Mark","given":"Alan E.","non-dropping-particle":"","parse-names":false,"suffix":""},{"dropping-particle":"","family":"Gunsteren","given":"Wilfred F.","non-dropping-particle":"Van","parse-names":false,"suffix":""}],"container-title":"European Biophysics Journal","id":"ITEM-1","issue":"7","issued":{"date-parts":[["2011","7","30"]]},"page":"843-856","publisher":"Springer","title":"Definition and testing of the GROMOS force-field versions 54A7 and 54B7","type":"article-journal","volume":"40"},"uris":["http://www.mendeley.com/documents/?uuid=394b741e-f785-35a3-9629-770eb4311ac8"]}],"mendeley":{"formattedCitation":"&lt;sup&gt;30&lt;/sup&gt;","plainTextFormattedCitation":"30","previouslyFormattedCitation":"&lt;sup&gt;29&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30</w:t>
      </w:r>
      <w:r w:rsidRPr="009007F9">
        <w:rPr>
          <w:rFonts w:cs="Arial"/>
        </w:rPr>
        <w:fldChar w:fldCharType="end"/>
      </w:r>
      <w:r w:rsidRPr="009007F9">
        <w:rPr>
          <w:rFonts w:cs="Arial"/>
        </w:rPr>
        <w:t xml:space="preserve">. For ambroxide </w:t>
      </w:r>
      <w:r>
        <w:rPr>
          <w:rFonts w:cs="Arial"/>
        </w:rPr>
        <w:t>(</w:t>
      </w:r>
      <w:r w:rsidRPr="0047545F">
        <w:rPr>
          <w:rFonts w:cs="Arial"/>
          <w:b/>
          <w:bCs/>
        </w:rPr>
        <w:t>22</w:t>
      </w:r>
      <w:r>
        <w:rPr>
          <w:rFonts w:cs="Arial"/>
        </w:rPr>
        <w:t>)</w:t>
      </w:r>
      <w:r w:rsidRPr="009007F9">
        <w:rPr>
          <w:rFonts w:cs="Arial"/>
        </w:rPr>
        <w:t xml:space="preserve"> an initial topology was obtained from the automated topology builder</w:t>
      </w:r>
      <w:r w:rsidRPr="009007F9">
        <w:rPr>
          <w:rFonts w:cs="Arial"/>
        </w:rPr>
        <w:fldChar w:fldCharType="begin" w:fldLock="1"/>
      </w:r>
      <w:r w:rsidR="00E81BA1">
        <w:rPr>
          <w:rFonts w:cs="Arial"/>
        </w:rPr>
        <w:instrText>ADDIN CSL_CITATION {"citationItems":[{"id":"ITEM-1","itemData":{"DOI":"10.1021/CT200196M/SUPPL_FILE/CT200196M_SI_001.PDF","ISSN":"15499626","abstract":"The Automated force field Topology Builder (ATB, http://compbio.biosci.uq. edu.au/atb) is a Web-accessible server that can provide topologies and parameters for a wide range of molecules appropriate for use in molecular simulations, computational drug design, and X-ray refinement. The ATB has three primary functions: (1) to act as a repository for molecules that have been parametrized as part of the GROMOS family of force fields, (2) to act as a repository for pre-equilibrated systems for use as starting configurations in molecular dynamics simulations (solvent mixtures, lipid systems pre-equilibrated to adopt a specific phase, etc.), and (3) to generate force field descriptions of novel molecules compatible with the GROMOS family of force fields in a variety of formats (GROMOS, GROMACS, and CNS). Force field descriptions of novel molecules are derived using a multistep process in which results from quantum mechanical (QM) calculations are combined with a knowledge-based approach to ensure compatibility (as far as possible) with a specific parameter set of the GROMOS force field. The ATB has several unique features: (1) It requires that the user stipulate the protonation and tautomeric states of the molecule. (2) The symmetry of the molecule is analyzed to ensure that equivalent atoms are assigned identical parameters. (3) Charge groups are assigned automatically. (4) Where the assignment of a given parameter is ambiguous, a range of possible alternatives is provided. The ATB also provides several validation tools to assist the user to assess the degree to which the topology generated may be appropriate for a given task. In addition to detailing the steps involved in generating a force field topology compatible with a specific GROMOS parameter set (GROMOS 53A6), the challenges involved in the automatic generation of force field parameters for atomic simulations in general are discussed. © 2011 American Chemical Society.","author":[{"dropping-particle":"","family":"Malde","given":"Alpeshkumar K.","non-dropping-particle":"","parse-names":false,"suffix":""},{"dropping-particle":"","family":"Zuo","given":"Le","non-dropping-particle":"","parse-names":false,"suffix":""},{"dropping-particle":"","family":"Breeze","given":"Matthew","non-dropping-particle":"","parse-names":false,"suffix":""},{"dropping-particle":"","family":"Stroet","given":"Martin","non-dropping-particle":"","parse-names":false,"suffix":""},{"dropping-particle":"","family":"Poger","given":"David","non-dropping-particle":"","parse-names":false,"suffix":""},{"dropping-particle":"","family":"Nair","given":"Pramod C.","non-dropping-particle":"","parse-names":false,"suffix":""},{"dropping-particle":"","family":"Oostenbrink","given":"Chris","non-dropping-particle":"","parse-names":false,"suffix":""},{"dropping-particle":"","family":"Mark","given":"Alan E.","non-dropping-particle":"","parse-names":false,"suffix":""}],"container-title":"Journal of Chemical Theory and Computation","id":"ITEM-1","issue":"12","issued":{"date-parts":[["2011","12","13"]]},"page":"4026-4037","publisher":"American Chemical Society","title":"An Automated force field Topology Builder (ATB) and repository: Version 1.0","type":"article-journal","volume":"7"},"uris":["http://www.mendeley.com/documents/?uuid=7902a7b5-7dc2-3148-90ca-a458a810a005"]}],"mendeley":{"formattedCitation":"&lt;sup&gt;34&lt;/sup&gt;","plainTextFormattedCitation":"34","previouslyFormattedCitation":"&lt;sup&gt;33&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34</w:t>
      </w:r>
      <w:r w:rsidRPr="009007F9">
        <w:rPr>
          <w:rFonts w:cs="Arial"/>
        </w:rPr>
        <w:fldChar w:fldCharType="end"/>
      </w:r>
      <w:r w:rsidRPr="009007F9">
        <w:rPr>
          <w:rFonts w:cs="Arial"/>
        </w:rPr>
        <w:t>. This topology was adapted manually by replacing tailor-made covalent force field parameters by similar ones from the standard types of the 54A8 set. Moreover, the partial charges were adapted to be consistent with the other molecules. GROMOS topologies of all molecules are provided in Data Repository of the University of Stuttgart (</w:t>
      </w:r>
      <w:r w:rsidRPr="009007F9">
        <w:rPr>
          <w:rFonts w:cs="Arial"/>
          <w:color w:val="FF0000"/>
        </w:rPr>
        <w:t>INSERT LINK UPON ACCEPTANCE</w:t>
      </w:r>
      <w:r w:rsidRPr="009007F9">
        <w:rPr>
          <w:rFonts w:cs="Arial"/>
        </w:rPr>
        <w:t>). The simple point charge (SPC) model</w:t>
      </w:r>
      <w:r w:rsidRPr="009007F9">
        <w:rPr>
          <w:rFonts w:cs="Arial"/>
        </w:rPr>
        <w:fldChar w:fldCharType="begin" w:fldLock="1"/>
      </w:r>
      <w:r w:rsidR="00E81BA1">
        <w:rPr>
          <w:rFonts w:cs="Arial"/>
        </w:rPr>
        <w:instrText>ADDIN CSL_CITATION {"citationItems":[{"id":"ITEM-1","itemData":{"author":[{"dropping-particle":"","family":"Berendsen","given":"H. J. C.","non-dropping-particle":"","parse-names":false,"suffix":""},{"dropping-particle":"","family":"Postma","given":"J. P. M.","non-dropping-particle":"","parse-names":false,"suffix":""},{"dropping-particle":"","family":"Gunsteren","given":"W. F.","non-dropping-particle":"van","parse-names":false,"suffix":""},{"dropping-particle":"","family":"Hermans","given":"J.","non-dropping-particle":"","parse-names":false,"suffix":""}],"editor":[{"dropping-particle":"","family":"Pullman","given":"B","non-dropping-particle":"","parse-names":false,"suffix":""}],"id":"ITEM-1","issued":{"date-parts":[["1981"]]},"number-of-pages":"331-342","title":"Intermolecular Forces","type":"book"},"uris":["http://www.mendeley.com/documents/?uuid=d155a80b-e2d4-31ce-9c8c-bf71a7c96e58"]}],"mendeley":{"formattedCitation":"&lt;sup&gt;35&lt;/sup&gt;","plainTextFormattedCitation":"35","previouslyFormattedCitation":"&lt;sup&gt;34&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35</w:t>
      </w:r>
      <w:r w:rsidRPr="009007F9">
        <w:rPr>
          <w:rFonts w:cs="Arial"/>
        </w:rPr>
        <w:fldChar w:fldCharType="end"/>
      </w:r>
      <w:r w:rsidRPr="009007F9">
        <w:rPr>
          <w:rFonts w:cs="Arial"/>
        </w:rPr>
        <w:t xml:space="preserve"> was used to describe the solvent water. The membrane was not modelled explicitly but instead mimicked by bulk cyclohexane based on the good agreement between calculated free energies for transferring amino acid side chains from water into the center of a lipid bilayer and the experimental water to cyclohexane transfer free energy.</w:t>
      </w:r>
      <w:r w:rsidRPr="009007F9">
        <w:rPr>
          <w:rFonts w:cs="Arial"/>
        </w:rPr>
        <w:fldChar w:fldCharType="begin" w:fldLock="1"/>
      </w:r>
      <w:r w:rsidR="00E81BA1">
        <w:rPr>
          <w:rFonts w:cs="Arial"/>
        </w:rPr>
        <w:instrText>ADDIN CSL_CITATION {"citationItems":[{"id":"ITEM-1","itemData":{"DOI":"10.1529/BIOPHYSJ.107.112805","ISSN":"0006-3495","PMID":"18212019","abstract":"We have calculated the distribution in a lipid bilayer of small molecules mimicking 17 natural amino acids in atomistic detail by molecular dynamics simulation. We considered both charged and uncharged forms for Lys, Arg, Glu, and Asp. The results give detailed insight in the molecular basis of the preferred location and orientation of each side chain as well the preferred charge state for ionizable residues. Partitioning of charged and polar side chains is accompanied by water defects connecting the side chains to bulk water. These water defects dominate the energetic of partitioning, rather than simple partitioning between water and a hydrophobic phase. Lys, Glu, and Asp become uncharged well before reaching the center of the membrane, but Arg may be either charged or uncharged at the center of the membrane. Phe has a broad distribution in the membrane but Trp and Tyr localize strongly to the interfacial region. The distributions are useful for the development of coarsegrained and implicit membrane potentials for simulation and structure prediction. We discuss the relationship between the distribution in membranes, bulk partitioning to cyclohexane, and several amino acid hydrophobicity scales. © 2008 by the Biophysical Society.","author":[{"dropping-particle":"","family":"MacCallum","given":"Justin L.","non-dropping-particle":"","parse-names":false,"suffix":""},{"dropping-particle":"","family":"Drew Bennett","given":"W. F.","non-dropping-particle":"","parse-names":false,"suffix":""},{"dropping-particle":"","family":"Peter Tieleman","given":"D.","non-dropping-particle":"","parse-names":false,"suffix":""}],"container-title":"Biophysical Journal","id":"ITEM-1","issue":"9","issued":{"date-parts":[["2008","5","1"]]},"page":"3393-3404","publisher":"Cell Press","title":"Distribution of Amino Acids in a Lipid Bilayer from Computer Simulations","type":"article-journal","volume":"94"},"uris":["http://www.mendeley.com/documents/?uuid=d43eb71a-00fe-31b4-b32f-b3ed5143e06a"]}],"mendeley":{"formattedCitation":"&lt;sup&gt;36&lt;/sup&gt;","plainTextFormattedCitation":"36","previouslyFormattedCitation":"&lt;sup&gt;35&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36</w:t>
      </w:r>
      <w:r w:rsidRPr="009007F9">
        <w:rPr>
          <w:rFonts w:cs="Arial"/>
        </w:rPr>
        <w:fldChar w:fldCharType="end"/>
      </w:r>
      <w:r w:rsidRPr="009007F9">
        <w:rPr>
          <w:rFonts w:cs="Arial"/>
        </w:rPr>
        <w:t xml:space="preserve"> Previous work using the force fields mentioned above indicated good agreement with experimentally determined structural properties for the native cyclodextrins</w:t>
      </w:r>
      <w:r w:rsidRPr="009007F9">
        <w:rPr>
          <w:rFonts w:cs="Arial"/>
        </w:rPr>
        <w:fldChar w:fldCharType="begin" w:fldLock="1"/>
      </w:r>
      <w:r w:rsidR="00E81BA1">
        <w:rPr>
          <w:rFonts w:cs="Arial"/>
        </w:rPr>
        <w:instrText>ADDIN CSL_CITATION {"citationItems":[{"id":"ITEM-1","itemData":{"DOI":"10.1021/ACS.JPCB.7B11808/ASSET/IMAGES/LARGE/JP-2017-118084_0010.JPEG","ISSN":"15205207","PMID":"29287148","abstract":"Molecular dynamics simulations of native α-, β-, and γ-cyclodextrin in aqueous solution have been conducted with the goal to investigate the performance of the CHARMM36 force field, the AMBER-compatible q4md-CD force field, and five variants of the GROMOS force field. The properties analyzed are structural parameters derived from X-ray diffraction and NMR experiments as well as hydrogen bonds and hydration patterns, including hydration free enthalpies. Recent revisions of the torsional-angle parameters for carbohydrate systems within the GROMOS family of force fields lead to a significant improvement of the agreement between simulated and experimental NMR data. Therefore, we recommend using the variant 53A6GLYC instead of 53A6 and 56A6CARBO-R or 2016H66 instead of 56A6CARBO to simulate cyclodextrins in solution. The CHARMM36 and q4md-CD force fields show a similar performance as the three recommended GROMOS parameter sets. A significant difference is the more flexible nature of the cyclodextrins modeled with the CHARMM36 and q4md-CD force fields compared to the three recommended GROMOS parameter sets.","author":[{"dropping-particle":"","family":"Gebhardt","given":"Julia","non-dropping-particle":"","parse-names":false,"suffix":""},{"dropping-particle":"","family":"Kleist","given":"Catharina","non-dropping-particle":"","parse-names":false,"suffix":""},{"dropping-particle":"","family":"Jakobtorweihen","given":"Sven","non-dropping-particle":"","parse-names":false,"suffix":""},{"dropping-particle":"","family":"Hansen","given":"Niels","non-dropping-particle":"","parse-names":false,"suffix":""}],"container-title":"Journal of Physical Chemistry B","id":"ITEM-1","issue":"5","issued":{"date-parts":[["2018","2","8"]]},"page":"1608-1626","publisher":"American Chemical Society","title":"Validation and Comparison of Force Fields for Native Cyclodextrins in Aqueous Solution","type":"article-journal","volume":"122"},"uris":["http://www.mendeley.com/documents/?uuid=ff8199bf-79a6-3e7c-afcc-0790a5e5ef49"]}],"mendeley":{"formattedCitation":"&lt;sup&gt;37&lt;/sup&gt;","plainTextFormattedCitation":"37","previouslyFormattedCitation":"&lt;sup&gt;36&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37</w:t>
      </w:r>
      <w:r w:rsidRPr="009007F9">
        <w:rPr>
          <w:rFonts w:cs="Arial"/>
        </w:rPr>
        <w:fldChar w:fldCharType="end"/>
      </w:r>
      <w:r w:rsidRPr="009007F9">
        <w:rPr>
          <w:rFonts w:cs="Arial"/>
        </w:rPr>
        <w:t xml:space="preserve"> while the binding free energy for different organic molecules including alcohols, ketones and ethers were overestimated by 5 to 10 kJ/mol.</w:t>
      </w:r>
      <w:r w:rsidRPr="009007F9">
        <w:rPr>
          <w:rFonts w:cs="Arial"/>
        </w:rPr>
        <w:fldChar w:fldCharType="begin" w:fldLock="1"/>
      </w:r>
      <w:r w:rsidR="00E81BA1">
        <w:rPr>
          <w:rFonts w:cs="Arial"/>
        </w:rPr>
        <w:instrText>ADDIN CSL_CITATION {"citationItems":[{"id":"ITEM-1","itemData":{"DOI":"10.1016/J.FLUID.2016.02.001","ISSN":"0378-3812","abstract":"Comparison of three variants of the GROMOS force field for carbohydrates, 53A6GLYC, 56A6CARBO_R and a small modification of the latter, referred to as 56A6CARBO_R+, has been conducted by examining the standard binding free enthalpy of linear alcohols from 1-butanol to 1-dodecanol to α-cyclodextrin in aqueous solution. The double decoupling approach was employed to calculate the standard binding free enthalpy of 1-hexanol, while for all other compounds relative binding free enthalpies for pairs of alcohols differing by two carbon atoms were calculated from twin-system enveloping distribution sampling simulations. While all three force fields slightly overestimate the magnitude of the standard binding free enthalpy of 1-hexanol the 53A6GLYC and 56A6CARBO_R+ parameter sets are a little closer to the experimental data than 56A6CARBO_R. For relative binding free enthalpies no significant difference between the force fields was observed. All three force fields support those experimental measurements that found a distinct increase in the binding affinity with increasing number of carbon atoms even for longer chain lengths up to 1-dodecanol.","author":[{"dropping-particle":"","family":"Gebhardt","given":"Julia","non-dropping-particle":"","parse-names":false,"suffix":""},{"dropping-particle":"","family":"Hansen","given":"Niels","non-dropping-particle":"","parse-names":false,"suffix":""}],"container-title":"Fluid Phase Equilibria","id":"ITEM-1","issued":{"date-parts":[["2016","8","25"]]},"page":"1-17","publisher":"Elsevier","title":"Calculation of binding affinities for linear alcohols to α-cyclodextrin by twin-system enveloping distribution sampling simulations","type":"article-journal","volume":"422"},"uris":["http://www.mendeley.com/documents/?uuid=a2756b7a-9197-3f60-b90e-464a1e74aee7"]},{"id":"ITEM-2","itemData":{"DOI":"10.1002/CITE.201700057","ISSN":"1522-2640","abstract":"Free-energy calculations based on molecular simulations provide access to a wide range of thermodynamic properties such as the solubility and partitioning of a molecule in and between various phases. It is demonstrated how molecular dynamics free-energy simulations may be used to obtain the solubilities of primary alcohols and n-alkanes in water and binding affinities of primary alcohols to α-cyclodextrin. The equivalence of two distinct routes to calculate binding free energies is shown leading to the conclusion that host-guest binding affinities may be used to probe the underlying molecular force field.","author":[{"dropping-particle":"","family":"Markthaler","given":"Daniel","non-dropping-particle":"","parse-names":false,"suffix":""},{"dropping-particle":"","family":"Gebhardt","given":"Julia","non-dropping-particle":"","parse-names":false,"suffix":""},{"dropping-particle":"","family":"Jakobtorweihen","given":"Sven","non-dropping-particle":"","parse-names":false,"suffix":""},{"dropping-particle":"","family":"Hansen","given":"Niels","non-dropping-particle":"","parse-names":false,"suffix":""}],"container-title":"Chemie Ingenieur Technik","id":"ITEM-2","issue":"10","issued":{"date-parts":[["2017","10","1"]]},"page":"1306-1314","publisher":"John Wiley &amp; Sons, Ltd","title":"Molecular Simulations of Thermodynamic Properties for the System α-Cyclodextrin/Alcohol in Aqueous Solution","type":"article-journal","volume":"89"},"uris":["http://www.mendeley.com/documents/?uuid=81e81d08-ed5e-3c8d-9e45-ef9441179501"]},{"id":"ITEM-3","itemData":{"DOI":"10.1002/CITE.201800050","ISSN":"1522-2640","abstract":"The key to nanoscale control of physical, chemical, and biological processes lies in well-founded models of noncovalent binding. Atomistic simulations probe the free-energy surface underlying molecular assembly processes in solution. Two examples of noncovalent binding studied by molecular dynamics simulations are discussed, the dimerization of a water-soluble perylene bisimide derivative in aqueous solution with a focus on the influence of solvent composition on the aggregation strength and the binding of 1-butanol to α-cyclodextrin at infinite dilution with the focus on the determination of method-independent binding free energies.","author":[{"dropping-particle":"","family":"Baz","given":"Jörg","non-dropping-particle":"","parse-names":false,"suffix":""},{"dropping-particle":"","family":"Gebhardt","given":"Julia","non-dropping-particle":"","parse-names":false,"suffix":""},{"dropping-particle":"","family":"Kraus","given":"Hamzeh","non-dropping-particle":"","parse-names":false,"suffix":""},{"dropping-particle":"","family":"Markthaler","given":"Daniel","non-dropping-particle":"","parse-names":false,"suffix":""},{"dropping-particle":"","family":"Hansen","given":"Niels","non-dropping-particle":"","parse-names":false,"suffix":""}],"container-title":"Chemie Ingenieur Technik","id":"ITEM-3","issue":"11","issued":{"date-parts":[["2018","11","1"]]},"page":"1864-1875","publisher":"John Wiley &amp; Sons, Ltd","title":"Insights into Noncovalent Binding Obtained from Molecular Dynamics Simulations","type":"article-journal","volume":"90"},"uris":["http://www.mendeley.com/documents/?uuid=4342b78a-7e3d-354a-9859-0e2bd65ab36c"]}],"mendeley":{"formattedCitation":"&lt;sup&gt;38–40&lt;/sup&gt;","plainTextFormattedCitation":"38–40","previouslyFormattedCitation":"&lt;sup&gt;37–39&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38–40</w:t>
      </w:r>
      <w:r w:rsidRPr="009007F9">
        <w:rPr>
          <w:rFonts w:cs="Arial"/>
        </w:rPr>
        <w:fldChar w:fldCharType="end"/>
      </w:r>
      <w:r w:rsidRPr="009007F9">
        <w:rPr>
          <w:rFonts w:cs="Arial"/>
        </w:rPr>
        <w:t xml:space="preserve"> However, in the present work the difference between two free energies for transferring a guest molecule from water into a hydrophobic environment is relevant. This difference benefits from error compensation because also the transfer free energy of the guest molecule from water into cyclohexane is likely to be overestimated by a similar amount as indicated from comparison between simulated and reported thermophysical properties for neryl acetone </w:t>
      </w:r>
      <w:r w:rsidRPr="0017606F">
        <w:rPr>
          <w:rFonts w:cs="Arial"/>
        </w:rPr>
        <w:t>(</w:t>
      </w:r>
      <w:r w:rsidRPr="0017606F">
        <w:rPr>
          <w:rFonts w:cs="Arial"/>
          <w:b/>
          <w:bCs/>
          <w:i/>
          <w:iCs/>
        </w:rPr>
        <w:t>Z</w:t>
      </w:r>
      <w:r w:rsidRPr="0017606F">
        <w:rPr>
          <w:rFonts w:cs="Arial"/>
          <w:b/>
          <w:bCs/>
        </w:rPr>
        <w:t>-17</w:t>
      </w:r>
      <w:r w:rsidRPr="0017606F">
        <w:rPr>
          <w:rFonts w:cs="Arial"/>
        </w:rPr>
        <w:t>)</w:t>
      </w:r>
      <w:r w:rsidRPr="009007F9">
        <w:rPr>
          <w:rFonts w:cs="Arial"/>
        </w:rPr>
        <w:t xml:space="preserve"> (enthalpy of vaporization, vapor pressure and aqueous solubility). </w:t>
      </w:r>
      <w:r w:rsidR="00304A51">
        <w:rPr>
          <w:rFonts w:cs="Arial"/>
        </w:rPr>
        <w:br/>
      </w:r>
    </w:p>
    <w:p w14:paraId="65D9043D" w14:textId="77777777" w:rsidR="00CF5A6C" w:rsidRPr="004765AF" w:rsidRDefault="00CF5A6C" w:rsidP="004765AF">
      <w:pPr>
        <w:pStyle w:val="Heading2"/>
        <w:rPr>
          <w:lang w:val="en-US"/>
        </w:rPr>
      </w:pPr>
      <w:bookmarkStart w:id="106" w:name="_Toc134623399"/>
      <w:r w:rsidRPr="004765AF">
        <w:rPr>
          <w:lang w:val="en-US"/>
        </w:rPr>
        <w:t>Simulation Details</w:t>
      </w:r>
      <w:bookmarkEnd w:id="106"/>
    </w:p>
    <w:p w14:paraId="7B027A8D" w14:textId="66899083" w:rsidR="00B50EA0" w:rsidRPr="009007F9" w:rsidRDefault="00B50EA0" w:rsidP="00B50EA0">
      <w:pPr>
        <w:rPr>
          <w:rFonts w:cs="Arial"/>
        </w:rPr>
      </w:pPr>
      <w:r w:rsidRPr="009007F9">
        <w:rPr>
          <w:rFonts w:cs="Arial"/>
        </w:rPr>
        <w:t>All simulations were conducted with the GROMACS 2016.4 program</w:t>
      </w:r>
      <w:r w:rsidRPr="009007F9">
        <w:rPr>
          <w:rFonts w:cs="Arial"/>
        </w:rPr>
        <w:fldChar w:fldCharType="begin" w:fldLock="1"/>
      </w:r>
      <w:r w:rsidR="00E81BA1">
        <w:rPr>
          <w:rFonts w:cs="Arial"/>
        </w:rPr>
        <w:instrText>ADDIN CSL_CITATION {"citationItems":[{"id":"ITEM-1","itemData":{"DOI":"10.1016/J.SOFTX.2015.06.001","ISSN":"2352-7110","abstract":"GROMACS is one of the most widely used open-source and free software codes in chemistry, used primarily for dynamical simulations of biomolecules. It provides a rich set of calculation types, preparation and analysis tools. Several advanced techniques for free-energy calculations are supported. In version 5, it reaches new performance heights, through several new and enhanced parallelization algorithms. These work on every level; SIMD registers inside cores, multithreading, heterogeneous CPU-GPU acceleration, state-of-the-art 3D domain decomposition, and ensemble-level parallelization through built-in replica exchange and the separate Copernicus framework. The latest best-in-class compressed trajectory storage format is supported.","author":[{"dropping-particle":"","family":"Abraham","given":"Mark James","non-dropping-particle":"","parse-names":false,"suffix":""},{"dropping-particle":"","family":"Murtola","given":"Teemu","non-dropping-particle":"","parse-names":false,"suffix":""},{"dropping-particle":"","family":"Schulz","given":"Roland","non-dropping-particle":"","parse-names":false,"suffix":""},{"dropping-particle":"","family":"Páll","given":"Szilárd","non-dropping-particle":"","parse-names":false,"suffix":""},{"dropping-particle":"","family":"Smith","given":"Jeremy C.","non-dropping-particle":"","parse-names":false,"suffix":""},{"dropping-particle":"","family":"Hess","given":"Berk","non-dropping-particle":"","parse-names":false,"suffix":""},{"dropping-particle":"","family":"Lindah","given":"Erik","non-dropping-particle":"","parse-names":false,"suffix":""}],"container-title":"SoftwareX","id":"ITEM-1","issued":{"date-parts":[["2015","9","1"]]},"page":"19-25","publisher":"Elsevier","title":"GROMACS: High performance molecular simulations through multi-level parallelism from laptops to supercomputers","type":"article-journal","volume":"1-2"},"uris":["http://www.mendeley.com/documents/?uuid=e2cdc15d-55ed-3a7d-b366-0d7f8656791b"]}],"mendeley":{"formattedCitation":"&lt;sup&gt;41&lt;/sup&gt;","plainTextFormattedCitation":"41","previouslyFormattedCitation":"&lt;sup&gt;40&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41</w:t>
      </w:r>
      <w:r w:rsidRPr="009007F9">
        <w:rPr>
          <w:rFonts w:cs="Arial"/>
        </w:rPr>
        <w:fldChar w:fldCharType="end"/>
      </w:r>
      <w:r w:rsidRPr="009007F9">
        <w:rPr>
          <w:rFonts w:cs="Arial"/>
        </w:rPr>
        <w:t xml:space="preserve"> patched to the free-energy library PLUMED 2.4.2</w:t>
      </w:r>
      <w:r w:rsidRPr="009007F9">
        <w:rPr>
          <w:rFonts w:cs="Arial"/>
        </w:rPr>
        <w:fldChar w:fldCharType="begin" w:fldLock="1"/>
      </w:r>
      <w:r w:rsidR="00E81BA1">
        <w:rPr>
          <w:rFonts w:cs="Arial"/>
        </w:rPr>
        <w:instrText>ADDIN CSL_CITATION {"citationItems":[{"id":"ITEM-1","itemData":{"DOI":"10.1016/J.CPC.2013.09.018","ISSN":"0010-4655","abstract":"Enhancing sampling and analyzing simulations are central issues in molecular simulation. Recently, we introduced PLUMED, an open-source plug-in that provides some of the most popular molecular dynamics (MD) codes with implementations of a variety of different enhanced sampling algorithms and collective variables (CVs). The rapid changes in this field, in particular new directions in enhanced sampling and dimensionality reduction together with new hardware, require a code that is more flexible and more efficient. We therefore present PLUMED 2 here - a complete rewrite of the code in an object-oriented programming language (C++). This new version introduces greater flexibility and greater modularity, which both extends its core capabilities and makes it far easier to add new methods and CVs. It also has a simpler interface with the MD engines and provides a single software library containing both tools and core facilities. Ultimately, the new code better serves the ever-growing community of users and contributors in coping with the new challenges arising in the field. © 2013 Elsevier B.V. All rights reserved.","author":[{"dropping-particle":"","family":"Tribello","given":"Gareth A.","non-dropping-particle":"","parse-names":false,"suffix":""},{"dropping-particle":"","family":"Bonomi","given":"Massimiliano","non-dropping-particle":"","parse-names":false,"suffix":""},{"dropping-particle":"","family":"Branduardi","given":"Davide","non-dropping-particle":"","parse-names":false,"suffix":""},{"dropping-particle":"","family":"Camilloni","given":"Carlo","non-dropping-particle":"","parse-names":false,"suffix":""},{"dropping-particle":"","family":"Bussi","given":"Giovanni","non-dropping-particle":"","parse-names":false,"suffix":""}],"container-title":"Computer Physics Communications","id":"ITEM-1","issue":"2","issued":{"date-parts":[["2014","2","1"]]},"page":"604-613","publisher":"North-Holland","title":"PLUMED 2: New feathers for an old bird","type":"article-journal","volume":"185"},"uris":["http://www.mendeley.com/documents/?uuid=0d31e6e7-a4eb-3dfd-8916-011962f70b46"]}],"mendeley":{"formattedCitation":"&lt;sup&gt;42&lt;/sup&gt;","plainTextFormattedCitation":"42","previouslyFormattedCitation":"&lt;sup&gt;41&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42</w:t>
      </w:r>
      <w:r w:rsidRPr="009007F9">
        <w:rPr>
          <w:rFonts w:cs="Arial"/>
        </w:rPr>
        <w:fldChar w:fldCharType="end"/>
      </w:r>
      <w:r w:rsidRPr="009007F9">
        <w:rPr>
          <w:rFonts w:cs="Arial"/>
        </w:rPr>
        <w:t xml:space="preserve"> for restraints definition. Each system was solvated with </w:t>
      </w:r>
      <w:r w:rsidRPr="009007F9">
        <w:rPr>
          <w:rFonts w:ascii="Cambria Math" w:hAnsi="Cambria Math" w:cs="Cambria Math"/>
        </w:rPr>
        <w:t>∼</w:t>
      </w:r>
      <w:r w:rsidRPr="009007F9">
        <w:rPr>
          <w:rFonts w:cs="Arial"/>
        </w:rPr>
        <w:t>1450 water molecules in an orthorhombic box of approximate dimensions 3.6 x 3.6 x 3.6 nm</w:t>
      </w:r>
      <w:r w:rsidRPr="009007F9">
        <w:rPr>
          <w:rFonts w:cs="Arial"/>
          <w:vertAlign w:val="superscript"/>
        </w:rPr>
        <w:t>3</w:t>
      </w:r>
      <w:r w:rsidRPr="009007F9">
        <w:rPr>
          <w:rFonts w:cs="Arial"/>
        </w:rPr>
        <w:t>. Production simulations were run at isothermal-isobaric conditions at 300 K and ambient pressure, with temperature control using a Nosé-Hoover thermostat</w:t>
      </w:r>
      <w:r w:rsidRPr="009007F9">
        <w:rPr>
          <w:rFonts w:cs="Arial"/>
        </w:rPr>
        <w:fldChar w:fldCharType="begin" w:fldLock="1"/>
      </w:r>
      <w:r w:rsidR="00E81BA1">
        <w:rPr>
          <w:rFonts w:cs="Arial"/>
        </w:rPr>
        <w:instrText>ADDIN CSL_CITATION {"citationItems":[{"id":"ITEM-1","itemData":{"DOI":"10.1080/00268978400101201","ISSN":"13623028","abstract":"A molecular dynamics simulation method which can generate configurations belonging to the canonical (T, V, N) ensemble or the constant temperature constant pressure (T, P, N) ensemble, is proposed....","author":[{"dropping-particle":"","family":"Nosé","given":"Shūichi","non-dropping-particle":"","parse-names":false,"suffix":""},{"dropping-particle":"","family":"Nosi~","given":"Shuichi","non-dropping-particle":"","parse-names":false,"suffix":""}],"container-title":"http://dx.doi.org/10.1080/00268978400101201","id":"ITEM-1","issue":"2","issued":{"date-parts":[["2006"]]},"page":"255-268","publisher":" Taylor &amp; Francis Group ","title":"A molecular dynamics method for simulations in the canonical ensemble","type":"article-journal","volume":"52"},"uris":["http://www.mendeley.com/documents/?uuid=a7f37af5-956d-3cb5-a348-bad5649ae75d"]},{"id":"ITEM-2","itemData":{"DOI":"10.1103/PhysRevA.31.1695","ISSN":"10502947","PMID":"9895674","abstract":"Nosé has modified Newtonian dynamics so as to reproduce both the canonical and the isothermal-isobaric probability densities in the phase space of an N-body system. He did this by scaling time (with s) and distance (with V1/D in D dimensions) through Lagrangian equations of motion. The dynamical equations describe the evolution of these two scaling variables and their two conjugate momenta ps and pv. Here we develop a slightly different set of equations, free of time scaling. We find the dynamical steady-state probability density in an extended phase space with variables x, px, V, , and , where the x are reduced distances and the two variables and act as thermodynamic friction coefficients. We find that these friction coefficients have Gaussian distributions. From the distributions the extent of small-system non-Newtonian behavior can be estimated. We illustrate the dynamical equations by considering their application to the simplest possible case, a one-dimensional classical harmonic oscillator. © 1985 The American Physical Society.","author":[{"dropping-particle":"","family":"Hoover","given":"William G.","non-dropping-particle":"","parse-names":false,"suffix":""}],"container-title":"Physical Review A","id":"ITEM-2","issue":"3","issued":{"date-parts":[["1985","3","1"]]},"page":"1695","publisher":"American Physical Society","title":"Canonical dynamics: Equilibrium phase-space distributions","type":"article-journal","volume":"31"},"uris":["http://www.mendeley.com/documents/?uuid=2f51e4be-d114-3565-b78b-57635b93cc61"]}],"mendeley":{"formattedCitation":"&lt;sup&gt;43,44&lt;/sup&gt;","plainTextFormattedCitation":"43,44","previouslyFormattedCitation":"&lt;sup&gt;42,43&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43,44</w:t>
      </w:r>
      <w:r w:rsidRPr="009007F9">
        <w:rPr>
          <w:rFonts w:cs="Arial"/>
        </w:rPr>
        <w:fldChar w:fldCharType="end"/>
      </w:r>
      <w:r w:rsidRPr="009007F9">
        <w:rPr>
          <w:rFonts w:cs="Arial"/>
        </w:rPr>
        <w:t xml:space="preserve"> (friction constant </w:t>
      </w:r>
      <m:oMath>
        <m:sSub>
          <m:sSubPr>
            <m:ctrlPr>
              <w:rPr>
                <w:rFonts w:ascii="Cambria Math" w:hAnsi="Cambria Math" w:cs="Arial"/>
                <w:i/>
              </w:rPr>
            </m:ctrlPr>
          </m:sSubPr>
          <m:e>
            <m:r>
              <w:rPr>
                <w:rFonts w:ascii="Cambria Math" w:hAnsi="Cambria Math" w:cs="Arial"/>
              </w:rPr>
              <m:t>τ</m:t>
            </m:r>
          </m:e>
          <m:sub>
            <m:r>
              <w:rPr>
                <w:rFonts w:ascii="Cambria Math" w:hAnsi="Cambria Math" w:cs="Arial"/>
              </w:rPr>
              <m:t>T</m:t>
            </m:r>
          </m:sub>
        </m:sSub>
        <m:r>
          <w:rPr>
            <w:rFonts w:ascii="Cambria Math" w:hAnsi="Cambria Math" w:cs="Arial"/>
          </w:rPr>
          <m:t xml:space="preserve">=1.0 </m:t>
        </m:r>
        <m:sSup>
          <m:sSupPr>
            <m:ctrlPr>
              <w:rPr>
                <w:rFonts w:ascii="Cambria Math" w:hAnsi="Cambria Math" w:cs="Arial"/>
                <w:i/>
              </w:rPr>
            </m:ctrlPr>
          </m:sSupPr>
          <m:e>
            <m:r>
              <m:rPr>
                <m:sty m:val="p"/>
              </m:rPr>
              <w:rPr>
                <w:rFonts w:ascii="Cambria Math" w:hAnsi="Cambria Math" w:cs="Arial"/>
              </w:rPr>
              <m:t>ps</m:t>
            </m:r>
          </m:e>
          <m:sup>
            <m:r>
              <w:rPr>
                <w:rFonts w:ascii="Cambria Math" w:hAnsi="Cambria Math" w:cs="Arial"/>
              </w:rPr>
              <m:t>-1</m:t>
            </m:r>
          </m:sup>
        </m:sSup>
      </m:oMath>
      <w:r w:rsidRPr="009007F9">
        <w:rPr>
          <w:rFonts w:eastAsiaTheme="minorEastAsia" w:cs="Arial"/>
          <w:color w:val="000000" w:themeColor="text1"/>
        </w:rPr>
        <w:t xml:space="preserve">) </w:t>
      </w:r>
      <w:r w:rsidRPr="009007F9">
        <w:rPr>
          <w:rFonts w:cs="Arial"/>
        </w:rPr>
        <w:t>and a Parrinello-Rahman barostat</w:t>
      </w:r>
      <w:r w:rsidRPr="009007F9">
        <w:rPr>
          <w:rFonts w:cs="Arial"/>
        </w:rPr>
        <w:fldChar w:fldCharType="begin" w:fldLock="1"/>
      </w:r>
      <w:r w:rsidR="00E81BA1">
        <w:rPr>
          <w:rFonts w:cs="Arial"/>
        </w:rPr>
        <w:instrText>ADDIN CSL_CITATION {"citationItems":[{"id":"ITEM-1","itemData":{"DOI":"10.1063/1.328693","ISSN":"0021-8979","abstract":"A new Lagrangian formulation is introduced. It can be used to make molecular dynamics (MD) calculations on systems under the most general, externally applied, conditions of stress. In this formulat...","author":[{"dropping-particle":"","family":"Parrinello","given":"M.","non-dropping-particle":"","parse-names":false,"suffix":""},{"dropping-particle":"","family":"Rahman","given":"A.","non-dropping-particle":"","parse-names":false,"suffix":""}],"container-title":"Journal of Applied Physics","id":"ITEM-1","issue":"12","issued":{"date-parts":[["1998","8","14"]]},"page":"7182","publisher":"American Institute of PhysicsAIP","title":"Polymorphic transitions in single crystals: A new molecular dynamics method","type":"article-journal","volume":"52"},"uris":["http://www.mendeley.com/documents/?uuid=b210fa7b-baf3-303c-a226-e5c0b5942b5d"]}],"mendeley":{"formattedCitation":"&lt;sup&gt;45&lt;/sup&gt;","plainTextFormattedCitation":"45","previouslyFormattedCitation":"&lt;sup&gt;44&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45</w:t>
      </w:r>
      <w:r w:rsidRPr="009007F9">
        <w:rPr>
          <w:rFonts w:cs="Arial"/>
        </w:rPr>
        <w:fldChar w:fldCharType="end"/>
      </w:r>
      <w:r w:rsidRPr="009007F9">
        <w:rPr>
          <w:rFonts w:cs="Arial"/>
          <w:color w:val="4472C4" w:themeColor="accent1"/>
        </w:rPr>
        <w:t xml:space="preserve"> </w:t>
      </w:r>
      <w:r w:rsidRPr="009007F9">
        <w:rPr>
          <w:rFonts w:cs="Arial"/>
        </w:rPr>
        <w:t xml:space="preserve">(coupling constant </w:t>
      </w:r>
      <m:oMath>
        <m:sSub>
          <m:sSubPr>
            <m:ctrlPr>
              <w:rPr>
                <w:rFonts w:ascii="Cambria Math" w:hAnsi="Cambria Math" w:cs="Arial"/>
                <w:i/>
              </w:rPr>
            </m:ctrlPr>
          </m:sSubPr>
          <m:e>
            <m:r>
              <w:rPr>
                <w:rFonts w:ascii="Cambria Math" w:hAnsi="Cambria Math" w:cs="Arial"/>
              </w:rPr>
              <m:t>τ</m:t>
            </m:r>
          </m:e>
          <m:sub>
            <m:r>
              <w:rPr>
                <w:rFonts w:ascii="Cambria Math" w:hAnsi="Cambria Math" w:cs="Arial"/>
              </w:rPr>
              <m:t>P</m:t>
            </m:r>
          </m:sub>
        </m:sSub>
        <m:r>
          <w:rPr>
            <w:rFonts w:ascii="Cambria Math" w:hAnsi="Cambria Math" w:cs="Arial"/>
          </w:rPr>
          <m:t xml:space="preserve">=2.0 </m:t>
        </m:r>
        <m:sSup>
          <m:sSupPr>
            <m:ctrlPr>
              <w:rPr>
                <w:rFonts w:ascii="Cambria Math" w:hAnsi="Cambria Math" w:cs="Arial"/>
                <w:i/>
              </w:rPr>
            </m:ctrlPr>
          </m:sSupPr>
          <m:e>
            <m:r>
              <m:rPr>
                <m:sty m:val="p"/>
              </m:rPr>
              <w:rPr>
                <w:rFonts w:ascii="Cambria Math" w:hAnsi="Cambria Math" w:cs="Arial"/>
              </w:rPr>
              <m:t>ps</m:t>
            </m:r>
          </m:e>
          <m:sup>
            <m:r>
              <w:rPr>
                <w:rFonts w:ascii="Cambria Math" w:hAnsi="Cambria Math" w:cs="Arial"/>
              </w:rPr>
              <m:t>-1</m:t>
            </m:r>
          </m:sup>
        </m:sSup>
      </m:oMath>
      <w:r w:rsidRPr="009007F9">
        <w:rPr>
          <w:rFonts w:cs="Arial"/>
        </w:rPr>
        <w:t>) for pressure control. A Verlet-buffered neighbor list</w:t>
      </w:r>
      <w:r w:rsidRPr="009007F9">
        <w:rPr>
          <w:rFonts w:cs="Arial"/>
        </w:rPr>
        <w:fldChar w:fldCharType="begin" w:fldLock="1"/>
      </w:r>
      <w:r w:rsidR="00E81BA1">
        <w:rPr>
          <w:rFonts w:cs="Arial"/>
        </w:rPr>
        <w:instrText>ADDIN CSL_CITATION {"citationItems":[{"id":"ITEM-1","itemData":{"DOI":"10.1016/J.CPC.2013.06.003","ISSN":"0010-4655","abstract":"Calculating interactions or correlations between pairs of particles is typically the most time-consuming task in particle simulation or correlation analysis. Straightforward implementations using a double loop over particle pairs have traditionally worked well, especially since compilers usually do a good job of unrolling the inner loop. In order to reach high performance on modern CPU and accelerator architectures, single-instruction multiple-data (SIMD) parallelization has become essential. Avoiding memory bottlenecks is also increasingly important and requires reducing the ratio of memory to arithmetic operations. Moreover, when pairs only interact within a certain cut-off distance, good SIMD utilization can only be achieved by reordering input and output data, which quickly becomes a limiting factor. Here we present an algorithm for SIMD parallelization based on grouping a fixed number of particles, e.g. 2, 4, or 8, into spatial clusters. Calculating all interactions between particles in a pair of such clusters improves data reuse compared to the traditional scheme and results in a more efficient SIMD parallelization. Adjusting the cluster size allows the algorithm to map to SIMD units of various widths. This flexibility not only enables fast and efficient implementation on current CPUs and accelerator architectures like GPUs or Intel MIC, but it also makes the algorithm future-proof. We present the algorithm with an application to molecular dynamics simulations, where we can also make use of the effective buffering the method introduces. © 2013 Elsevier B.V. All rights reserved.","author":[{"dropping-particle":"","family":"Páll","given":"Szilárd","non-dropping-particle":"","parse-names":false,"suffix":""},{"dropping-particle":"","family":"Hess","given":"Berk","non-dropping-particle":"","parse-names":false,"suffix":""}],"container-title":"Computer Physics Communications","id":"ITEM-1","issue":"12","issued":{"date-parts":[["2013","12","1"]]},"page":"2641-2650","publisher":"North-Holland","title":"A flexible algorithm for calculating pair interactions on SIMD architectures","type":"article-journal","volume":"184"},"uris":["http://www.mendeley.com/documents/?uuid=821274be-d1da-3134-aa3d-a00d2ae2d424"]}],"mendeley":{"formattedCitation":"&lt;sup&gt;46&lt;/sup&gt;","plainTextFormattedCitation":"46","previouslyFormattedCitation":"&lt;sup&gt;45&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46</w:t>
      </w:r>
      <w:r w:rsidRPr="009007F9">
        <w:rPr>
          <w:rFonts w:cs="Arial"/>
        </w:rPr>
        <w:fldChar w:fldCharType="end"/>
      </w:r>
      <w:r w:rsidRPr="009007F9">
        <w:rPr>
          <w:rFonts w:cs="Arial"/>
        </w:rPr>
        <w:t xml:space="preserve"> which was updated every 40 steps, was applied for </w:t>
      </w:r>
      <w:r w:rsidRPr="009007F9">
        <w:rPr>
          <w:rFonts w:cs="Arial"/>
        </w:rPr>
        <w:lastRenderedPageBreak/>
        <w:t>the treatment of short-range electrostatic and van der Waals interactions with potentials shifted to zero at 1.4 nm. The latter were modeled by the Lennard-Jones potential. Analytic dispersion corrections were applied for energy and pressure calculation. Long-range electrostatic interactions were treated with the smooth particle-mesh Ewald (PME) method</w:t>
      </w:r>
      <w:r w:rsidRPr="009007F9">
        <w:rPr>
          <w:rFonts w:cs="Arial"/>
        </w:rPr>
        <w:fldChar w:fldCharType="begin" w:fldLock="1"/>
      </w:r>
      <w:r w:rsidR="00E81BA1">
        <w:rPr>
          <w:rFonts w:cs="Arial"/>
        </w:rPr>
        <w:instrText>ADDIN CSL_CITATION {"citationItems":[{"id":"ITEM-1","itemData":{"DOI":"10.1063/1.470117","ISSN":"0021-9606","abstract":"The previously developed particle mesh Ewald method is reformulated in terms of efficient B</w:instrText>
      </w:r>
      <w:r w:rsidR="00E81BA1">
        <w:rPr>
          <w:rFonts w:ascii="Cambria Math" w:hAnsi="Cambria Math" w:cs="Cambria Math"/>
        </w:rPr>
        <w:instrText>‐</w:instrText>
      </w:r>
      <w:r w:rsidR="00E81BA1">
        <w:rPr>
          <w:rFonts w:cs="Arial"/>
        </w:rPr>
        <w:instrText>spline interpolation of the structure factors. This reformulation allows a natural extension of the metho...","author":[{"dropping-particle":"","family":"Essmann","given":"Ulrich","non-dropping-particle":"","parse-names":false,"suffix":""},{"dropping-particle":"","family":"Perera","given":"Lalith","non-dropping-particle":"","parse-names":false,"suffix":""},{"dropping-particle":"","family":"Berkowitz","given":"Max L.","non-dropping-particle":"","parse-names":false,"suffix":""},{"dropping-particle":"","family":"Darden","given":"Tom","non-dropping-particle":"","parse-names":false,"suffix":""},{"dropping-particle":"","family":"Lee","given":"Hsing","non-dropping-particle":"","parse-names":false,"suffix":""},{"dropping-particle":"","family":"Pedersen","given":"Lee G.","non-dropping-particle":"","parse-names":false,"suffix":""}],"container-title":"The Journal of Chemical Physics","id":"ITEM-1","issue":"19","issued":{"date-parts":[["1998","8","31"]]},"page":"8577","publisher":"American Institute of PhysicsAIP","title":"A smooth particle mesh Ewald method","type":"article-journal","volume":"103"},"uris":["http://www.mendeley.com/documents/?uuid=e33c3270-1bbd-33b2-9050-cda164b81f21"]}],"mendeley":{"formattedCitation":"&lt;sup&gt;47&lt;/sup&gt;","plainTextFormattedCitation":"47","previouslyFormattedCitation":"&lt;sup&gt;46&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47</w:t>
      </w:r>
      <w:r w:rsidRPr="009007F9">
        <w:rPr>
          <w:rFonts w:cs="Arial"/>
        </w:rPr>
        <w:fldChar w:fldCharType="end"/>
      </w:r>
      <w:r w:rsidRPr="009007F9">
        <w:rPr>
          <w:rFonts w:cs="Arial"/>
        </w:rPr>
        <w:t xml:space="preserve"> using a real-space cut-off of 1.4 nm with a cubic splines interpolation scheme and a grid spacing of 0.12 nm. The center of mass </w:t>
      </w:r>
      <w:r>
        <w:rPr>
          <w:rFonts w:cs="Arial"/>
        </w:rPr>
        <w:t xml:space="preserve">(COM) </w:t>
      </w:r>
      <w:r w:rsidRPr="009007F9">
        <w:rPr>
          <w:rFonts w:cs="Arial"/>
        </w:rPr>
        <w:t>translation of the computational box was removed every 1000 steps. All bond lengths as well water bond angles were constrained using the LINCS algorithm.</w:t>
      </w:r>
      <w:r w:rsidRPr="009007F9">
        <w:rPr>
          <w:rFonts w:cs="Arial"/>
        </w:rPr>
        <w:fldChar w:fldCharType="begin" w:fldLock="1"/>
      </w:r>
      <w:r w:rsidR="00E81BA1">
        <w:rPr>
          <w:rFonts w:cs="Arial"/>
        </w:rPr>
        <w:instrText>ADDIN CSL_CITATION {"citationItems":[{"id":"ITEM-1","itemData":{"DOI":"10.1002/(SICI)1096-987X(199709)18:12","abstract":"In this article, we present a new LINear Constraint Solver Ž. LINCS for molecular simulations with bond constraints. The algorithm is inherently stable, as the constraints themselves are reset instead of derivatives of the constraints, thereby eliminating drift. Although the derivation of the algorithm is presented in terms of matrices, no matrix matrix multiplications are needed and only the nonzero matrix elements have to be stored, making the method useful for very large molecules. At the same accuracy, the LINCS algorithm is three to four times faster than the SHAKE algorithm. Parallelization of the algorithm is straightforward","author":[{"dropping-particle":"","family":"Hess","given":"Berk","non-dropping-particle":"","parse-names":false,"suffix":""},{"dropping-particle":"","family":"Bekker","given":"Henk","non-dropping-particle":"","parse-names":false,"suffix":""},{"dropping-particle":"","family":"Berendsen","given":"Herman J C","non-dropping-particle":"","parse-names":false,"suffix":""},{"dropping-particle":"","family":"Fraaije","given":"Johannes G E M","non-dropping-particle":"","parse-names":false,"suffix":""}],"container-title":"J Comput Chem","id":"ITEM-1","issued":{"date-parts":[["1997"]]},"page":"14631472","publisher":"John Wiley &amp; Sons, Inc","title":"LINCS: A Linear Constraint Solver for Molecular Simulations","type":"article-journal","volume":"18"},"uris":["http://www.mendeley.com/documents/?uuid=aab75b83-5463-3d3c-8951-81de30690bcd"]}],"mendeley":{"formattedCitation":"&lt;sup&gt;48&lt;/sup&gt;","plainTextFormattedCitation":"48","previouslyFormattedCitation":"&lt;sup&gt;47&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48</w:t>
      </w:r>
      <w:r w:rsidRPr="009007F9">
        <w:rPr>
          <w:rFonts w:cs="Arial"/>
        </w:rPr>
        <w:fldChar w:fldCharType="end"/>
      </w:r>
      <w:r w:rsidR="00304A51">
        <w:rPr>
          <w:rFonts w:cs="Arial"/>
        </w:rPr>
        <w:br/>
      </w:r>
    </w:p>
    <w:p w14:paraId="623B6E7B" w14:textId="77777777" w:rsidR="00CF5A6C" w:rsidRPr="004765AF" w:rsidRDefault="00CF5A6C" w:rsidP="004765AF">
      <w:pPr>
        <w:pStyle w:val="Heading2"/>
        <w:rPr>
          <w:lang w:val="en-US"/>
        </w:rPr>
      </w:pPr>
      <w:bookmarkStart w:id="107" w:name="_Toc134623400"/>
      <w:r w:rsidRPr="004765AF">
        <w:rPr>
          <w:lang w:val="en-US"/>
        </w:rPr>
        <w:t>Double Decoupling</w:t>
      </w:r>
      <w:bookmarkEnd w:id="107"/>
    </w:p>
    <w:p w14:paraId="7A9DC4DB" w14:textId="464D4219" w:rsidR="00304A51" w:rsidRPr="009007F9" w:rsidRDefault="00304A51" w:rsidP="00304A51">
      <w:pPr>
        <w:rPr>
          <w:rFonts w:cs="Arial"/>
        </w:rPr>
      </w:pPr>
      <w:r w:rsidRPr="009007F9">
        <w:rPr>
          <w:rFonts w:cs="Arial"/>
        </w:rPr>
        <w:t xml:space="preserve">Following the </w:t>
      </w:r>
      <w:r w:rsidRPr="009007F9">
        <w:rPr>
          <w:rFonts w:cs="Arial"/>
          <w:color w:val="000000" w:themeColor="text1"/>
        </w:rPr>
        <w:t xml:space="preserve">double decoupling methodology (DDM), </w:t>
      </w:r>
      <w:r w:rsidRPr="009007F9">
        <w:rPr>
          <w:rFonts w:cs="Arial"/>
        </w:rPr>
        <w:t>the standard binding free energy for a guest bound to a host molecule (here in the form of a solvated 1:1 complex) is calculated as:</w:t>
      </w:r>
      <w:r w:rsidRPr="009007F9">
        <w:rPr>
          <w:rFonts w:cs="Arial"/>
        </w:rPr>
        <w:fldChar w:fldCharType="begin" w:fldLock="1"/>
      </w:r>
      <w:r w:rsidR="00E81BA1">
        <w:rPr>
          <w:rFonts w:cs="Arial"/>
        </w:rPr>
        <w:instrText>ADDIN CSL_CITATION {"citationItems":[{"id":"ITEM-1","itemData":{"DOI":"10.1021/JP807701H/ASSET/IMAGES/JP-2008-07701H_M011.GIF","ISSN":"15206106","PMID":"19146384","abstract":"An increasing number of studies have reported computations of the standard (absolute) binding free energy of small ligands to proteins using molecular dynamics (MD) simulations and explicit solvent molecules that are in good agreement with experiments. This encouraging progress suggests that physics-based approaches hold the promise of making important contributions to the process of drug discovery and optimization in the near future. Two types of approaches are principally used to compute binding free energies with MD simulations. The most widely known is the alchemical double decoupling method, in which the interaction of the ligand with its surroundings are progressively switched off. It is also possible to use a potential of mean force (PMF) method, in which the ligand is physically separated from the protein receptor. For both of these computational approaches, restraining potentials may be activated and released during the simulation for sampling efficiently the changes in translational, rotational, and conformational freedom of the ligand and protein upon binding. Because such restraining potentials add bias to the simulations, it is important that their effects be rigorously removed to yield a binding free energy that is properly unbiased with respect to the standard state. A review of recent results is presented, and differences in computational methods are discussed. Examples of computations with T4-lysozyme mutants, FKBP12, SH2 domain, and cytochrome P450 are discussed and compared. Remaining difficulties and challenges are highlighted. © 2009 American Chemical Society.","author":[{"dropping-particle":"","family":"Deng","given":"Yuqing","non-dropping-particle":"","parse-names":false,"suffix":""},{"dropping-particle":"","family":"Roux","given":"Benoît","non-dropping-particle":"","parse-names":false,"suffix":""}],"container-title":"Journal of Physical Chemistry B","id":"ITEM-1","issue":"8","issued":{"date-parts":[["2009","2","26"]]},"page":"2234-2246","publisher":"American Chemical Society","title":"Computations of standard binding free energies with molecular dynamics simulations","type":"article-journal","volume":"113"},"uris":["http://www.mendeley.com/documents/?uuid=98033455-1ab0-34e4-9fa3-abaac612d76e"]}],"mendeley":{"formattedCitation":"&lt;sup&gt;49&lt;/sup&gt;","plainTextFormattedCitation":"49","previouslyFormattedCitation":"&lt;sup&gt;48&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49</w:t>
      </w:r>
      <w:r w:rsidRPr="009007F9">
        <w:rPr>
          <w:rFonts w:cs="Arial"/>
        </w:rPr>
        <w:fldChar w:fldCharType="end"/>
      </w:r>
    </w:p>
    <w:p w14:paraId="11961234" w14:textId="77777777" w:rsidR="00304A51" w:rsidRPr="009007F9" w:rsidRDefault="00304A51" w:rsidP="00304A51">
      <w:pPr>
        <w:rPr>
          <w:rFonts w:cs="Arial"/>
        </w:rPr>
      </w:pPr>
      <m:oMathPara>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m:rPr>
                  <m:sty m:val="p"/>
                </m:rPr>
                <w:rPr>
                  <w:rFonts w:ascii="Cambria Math" w:hAnsi="Cambria Math" w:cs="Arial"/>
                </w:rPr>
                <m:t>bind</m:t>
              </m:r>
            </m:sub>
            <m:sup>
              <m:r>
                <w:rPr>
                  <w:rFonts w:ascii="Cambria Math" w:hAnsi="Cambria Math" w:cs="Arial"/>
                </w:rPr>
                <m:t>0</m:t>
              </m:r>
            </m:sup>
          </m:sSubSup>
          <m:r>
            <w:rPr>
              <w:rFonts w:ascii="Cambria Math" w:eastAsiaTheme="minorEastAsia" w:hAnsi="Cambria Math" w:cs="Arial"/>
            </w:rPr>
            <m:t>=∆</m:t>
          </m:r>
          <m:sSubSup>
            <m:sSubSupPr>
              <m:ctrlPr>
                <w:rPr>
                  <w:rFonts w:ascii="Cambria Math" w:eastAsiaTheme="minorEastAsia" w:hAnsi="Cambria Math" w:cs="Arial"/>
                  <w:i/>
                </w:rPr>
              </m:ctrlPr>
            </m:sSubSupPr>
            <m:e>
              <m:r>
                <w:rPr>
                  <w:rFonts w:ascii="Cambria Math" w:eastAsiaTheme="minorEastAsia" w:hAnsi="Cambria Math" w:cs="Arial"/>
                </w:rPr>
                <m:t>G</m:t>
              </m:r>
            </m:e>
            <m:sub>
              <m:r>
                <w:rPr>
                  <w:rFonts w:ascii="Cambria Math" w:eastAsiaTheme="minorEastAsia" w:hAnsi="Cambria Math" w:cs="Arial"/>
                </w:rPr>
                <m:t>0*→1*</m:t>
              </m:r>
            </m:sub>
            <m:sup>
              <m:r>
                <m:rPr>
                  <m:sty m:val="p"/>
                </m:rPr>
                <w:rPr>
                  <w:rFonts w:ascii="Cambria Math" w:eastAsiaTheme="minorEastAsia" w:hAnsi="Cambria Math" w:cs="Arial"/>
                </w:rPr>
                <m:t>B</m:t>
              </m:r>
            </m:sup>
          </m:sSubSup>
          <m:r>
            <w:rPr>
              <w:rFonts w:ascii="Cambria Math" w:eastAsiaTheme="minorEastAsia" w:hAnsi="Cambria Math" w:cs="Arial"/>
            </w:rPr>
            <m:t>-∆</m:t>
          </m:r>
          <m:sSubSup>
            <m:sSubSupPr>
              <m:ctrlPr>
                <w:rPr>
                  <w:rFonts w:ascii="Cambria Math" w:eastAsiaTheme="minorEastAsia" w:hAnsi="Cambria Math" w:cs="Arial"/>
                  <w:i/>
                </w:rPr>
              </m:ctrlPr>
            </m:sSubSupPr>
            <m:e>
              <m:r>
                <w:rPr>
                  <w:rFonts w:ascii="Cambria Math" w:eastAsiaTheme="minorEastAsia" w:hAnsi="Cambria Math" w:cs="Arial"/>
                </w:rPr>
                <m:t>G</m:t>
              </m:r>
            </m:e>
            <m:sub>
              <m:r>
                <w:rPr>
                  <w:rFonts w:ascii="Cambria Math" w:eastAsiaTheme="minorEastAsia" w:hAnsi="Cambria Math" w:cs="Arial"/>
                </w:rPr>
                <m:t>0→3</m:t>
              </m:r>
            </m:sub>
            <m:sup>
              <m:r>
                <m:rPr>
                  <m:sty m:val="p"/>
                </m:rPr>
                <w:rPr>
                  <w:rFonts w:ascii="Cambria Math" w:eastAsiaTheme="minorEastAsia" w:hAnsi="Cambria Math" w:cs="Arial"/>
                </w:rPr>
                <m:t>H</m:t>
              </m:r>
            </m:sup>
          </m:sSubSup>
        </m:oMath>
      </m:oMathPara>
    </w:p>
    <w:p w14:paraId="4545061E" w14:textId="77777777" w:rsidR="00304A51" w:rsidRPr="009007F9" w:rsidRDefault="00304A51" w:rsidP="00304A51">
      <w:pPr>
        <w:rPr>
          <w:rFonts w:cs="Arial"/>
        </w:rPr>
      </w:pPr>
      <w:r w:rsidRPr="009007F9">
        <w:rPr>
          <w:rFonts w:cs="Arial"/>
        </w:rPr>
        <w:t xml:space="preserve">with </w:t>
      </w:r>
    </w:p>
    <w:p w14:paraId="040893B4" w14:textId="77777777" w:rsidR="00304A51" w:rsidRPr="009007F9" w:rsidRDefault="00304A51" w:rsidP="00304A51">
      <w:pPr>
        <w:rPr>
          <w:rFonts w:cs="Arial"/>
        </w:rPr>
      </w:pPr>
      <m:oMathPara>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0→3</m:t>
              </m:r>
            </m:sub>
            <m:sup>
              <m:r>
                <m:rPr>
                  <m:sty m:val="p"/>
                </m:rPr>
                <w:rPr>
                  <w:rFonts w:ascii="Cambria Math" w:hAnsi="Cambria Math" w:cs="Arial"/>
                </w:rPr>
                <m:t>H</m:t>
              </m:r>
            </m:sup>
          </m:sSubSup>
          <m:r>
            <w:rPr>
              <w:rFonts w:ascii="Cambria Math" w:eastAsiaTheme="minorEastAsia" w:hAnsi="Cambria Math" w:cs="Arial"/>
            </w:rPr>
            <m:t>=</m:t>
          </m:r>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0→1</m:t>
              </m:r>
            </m:sub>
            <m:sup>
              <m:r>
                <m:rPr>
                  <m:sty m:val="p"/>
                </m:rPr>
                <w:rPr>
                  <w:rFonts w:ascii="Cambria Math" w:hAnsi="Cambria Math" w:cs="Arial"/>
                </w:rPr>
                <m:t>H</m:t>
              </m:r>
            </m:sup>
          </m:sSubSup>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1→2</m:t>
              </m:r>
            </m:sub>
            <m:sup>
              <m:r>
                <m:rPr>
                  <m:sty m:val="p"/>
                </m:rPr>
                <w:rPr>
                  <w:rFonts w:ascii="Cambria Math" w:hAnsi="Cambria Math" w:cs="Arial"/>
                </w:rPr>
                <m:t>H</m:t>
              </m:r>
            </m:sup>
          </m:sSubSup>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2→3</m:t>
              </m:r>
            </m:sub>
            <m:sup>
              <m:r>
                <m:rPr>
                  <m:sty m:val="p"/>
                </m:rPr>
                <w:rPr>
                  <w:rFonts w:ascii="Cambria Math" w:hAnsi="Cambria Math" w:cs="Arial"/>
                </w:rPr>
                <m:t>H</m:t>
              </m:r>
            </m:sup>
          </m:sSubSup>
        </m:oMath>
      </m:oMathPara>
    </w:p>
    <w:p w14:paraId="58171BF5" w14:textId="61EBF5C0" w:rsidR="00304A51" w:rsidRPr="009007F9" w:rsidRDefault="00304A51" w:rsidP="00304A51">
      <w:pPr>
        <w:rPr>
          <w:rFonts w:cs="Arial"/>
        </w:rPr>
      </w:pPr>
      <w:r w:rsidRPr="00B92669">
        <w:rPr>
          <w:rFonts w:cs="Arial"/>
          <w:color w:val="000000" w:themeColor="text1"/>
        </w:rPr>
        <w:t>(see Fig. S18 (A))</w:t>
      </w:r>
      <w:r w:rsidRPr="00B92669">
        <w:rPr>
          <w:rFonts w:cs="Arial"/>
        </w:rPr>
        <w:t xml:space="preserve">. </w:t>
      </w:r>
      <m:oMath>
        <m:r>
          <m:rPr>
            <m:sty m:val="p"/>
          </m:rPr>
          <w:rPr>
            <w:rFonts w:ascii="Cambria Math" w:hAnsi="Cambria Math" w:cs="Arial"/>
          </w:rPr>
          <m:t>∆</m:t>
        </m:r>
        <m:sSubSup>
          <m:sSubSupPr>
            <m:ctrlPr>
              <w:rPr>
                <w:rFonts w:ascii="Cambria Math" w:hAnsi="Cambria Math" w:cs="Arial"/>
              </w:rPr>
            </m:ctrlPr>
          </m:sSubSupPr>
          <m:e>
            <m:r>
              <m:rPr>
                <m:sty m:val="p"/>
              </m:rPr>
              <w:rPr>
                <w:rFonts w:ascii="Cambria Math" w:hAnsi="Cambria Math" w:cs="Arial"/>
              </w:rPr>
              <m:t>G</m:t>
            </m:r>
          </m:e>
          <m:sub>
            <m:r>
              <m:rPr>
                <m:sty m:val="p"/>
              </m:rPr>
              <w:rPr>
                <w:rFonts w:ascii="Cambria Math" w:hAnsi="Cambria Math" w:cs="Arial"/>
              </w:rPr>
              <m:t>bind</m:t>
            </m:r>
          </m:sub>
          <m:sup>
            <m:r>
              <m:rPr>
                <m:sty m:val="p"/>
              </m:rPr>
              <w:rPr>
                <w:rFonts w:ascii="Cambria Math" w:hAnsi="Cambria Math" w:cs="Arial"/>
              </w:rPr>
              <m:t>0</m:t>
            </m:r>
          </m:sup>
        </m:sSubSup>
      </m:oMath>
      <w:r w:rsidRPr="00B92669">
        <w:rPr>
          <w:rFonts w:eastAsiaTheme="minorEastAsia" w:cs="Arial"/>
        </w:rPr>
        <w:t xml:space="preserve"> is equivalent to the </w:t>
      </w:r>
      <w:r w:rsidRPr="00B92669">
        <w:rPr>
          <w:rFonts w:cs="Arial"/>
        </w:rPr>
        <w:t xml:space="preserve">transfer free energy </w:t>
      </w:r>
      <w:r w:rsidRPr="00B92669">
        <w:rPr>
          <w:rFonts w:eastAsiaTheme="minorEastAsia" w:cs="Arial"/>
        </w:rPr>
        <w:t xml:space="preserve">from </w:t>
      </w:r>
      <w:r>
        <w:rPr>
          <w:rFonts w:eastAsiaTheme="minorEastAsia" w:cs="Arial"/>
        </w:rPr>
        <w:t xml:space="preserve">bulk </w:t>
      </w:r>
      <w:r w:rsidRPr="00B92669">
        <w:rPr>
          <w:rFonts w:eastAsiaTheme="minorEastAsia" w:cs="Arial"/>
        </w:rPr>
        <w:t xml:space="preserve">water to the </w:t>
      </w:r>
      <w:r w:rsidRPr="009007F9">
        <w:rPr>
          <w:rFonts w:cs="Arial"/>
        </w:rPr>
        <w:t>cyclodextrin</w:t>
      </w:r>
      <w:r>
        <w:rPr>
          <w:rFonts w:cs="Arial"/>
        </w:rPr>
        <w:t xml:space="preserve"> (</w:t>
      </w:r>
      <w:r w:rsidRPr="00B92669">
        <w:rPr>
          <w:rFonts w:eastAsiaTheme="minorEastAsia" w:cs="Arial"/>
        </w:rPr>
        <w:t>CD</w:t>
      </w:r>
      <w:r>
        <w:rPr>
          <w:rFonts w:eastAsiaTheme="minorEastAsia" w:cs="Arial"/>
        </w:rPr>
        <w:t>)</w:t>
      </w:r>
      <w:r w:rsidRPr="00B92669">
        <w:rPr>
          <w:rFonts w:eastAsiaTheme="minorEastAsia" w:cs="Arial"/>
        </w:rPr>
        <w:t>-based host</w:t>
      </w:r>
      <w:r w:rsidRPr="00B92669">
        <w:rPr>
          <w:rFonts w:cs="Arial"/>
          <w:color w:val="000000" w:themeColor="text1"/>
        </w:rPr>
        <w:t xml:space="preserve"> (</w:t>
      </w:r>
      <m:oMath>
        <m:r>
          <m:rPr>
            <m:sty m:val="p"/>
          </m:rPr>
          <w:rPr>
            <w:rFonts w:ascii="Cambria Math" w:hAnsi="Cambria Math" w:cs="Arial"/>
          </w:rPr>
          <m:t>∆</m:t>
        </m:r>
        <m:sSub>
          <m:sSubPr>
            <m:ctrlPr>
              <w:rPr>
                <w:rFonts w:ascii="Cambria Math" w:hAnsi="Cambria Math" w:cs="Arial"/>
              </w:rPr>
            </m:ctrlPr>
          </m:sSubPr>
          <m:e>
            <m:r>
              <w:rPr>
                <w:rFonts w:ascii="Cambria Math" w:hAnsi="Cambria Math" w:cs="Arial"/>
              </w:rPr>
              <m:t>G</m:t>
            </m:r>
          </m:e>
          <m:sub>
            <m:r>
              <m:rPr>
                <m:sty m:val="p"/>
              </m:rPr>
              <w:rPr>
                <w:rFonts w:ascii="Cambria Math" w:hAnsi="Cambria Math" w:cs="Arial"/>
              </w:rPr>
              <m:t>H2O→CD</m:t>
            </m:r>
          </m:sub>
        </m:sSub>
      </m:oMath>
      <w:r w:rsidRPr="00B92669">
        <w:rPr>
          <w:rFonts w:cs="Arial"/>
          <w:color w:val="000000" w:themeColor="text1"/>
        </w:rPr>
        <w:t>).</w:t>
      </w:r>
      <w:r w:rsidRPr="00B92669">
        <w:rPr>
          <w:rFonts w:cs="Arial"/>
        </w:rPr>
        <w:t xml:space="preserve"> </w:t>
      </w:r>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0→1</m:t>
            </m:r>
          </m:sub>
          <m:sup>
            <m:r>
              <m:rPr>
                <m:sty m:val="p"/>
              </m:rPr>
              <w:rPr>
                <w:rFonts w:ascii="Cambria Math" w:hAnsi="Cambria Math" w:cs="Arial"/>
              </w:rPr>
              <m:t>H</m:t>
            </m:r>
          </m:sup>
        </m:sSubSup>
      </m:oMath>
      <w:r w:rsidRPr="00B92669">
        <w:rPr>
          <w:rFonts w:eastAsiaTheme="minorEastAsia" w:cs="Arial"/>
        </w:rPr>
        <w:t xml:space="preserve"> corresponds to the free energy contribution for the application of a </w:t>
      </w:r>
      <w:r w:rsidRPr="00B92669">
        <w:rPr>
          <w:rFonts w:cs="Arial"/>
        </w:rPr>
        <w:t xml:space="preserve">distance restraint between the </w:t>
      </w:r>
      <w:r>
        <w:rPr>
          <w:rFonts w:cs="Arial"/>
        </w:rPr>
        <w:t>COM</w:t>
      </w:r>
      <w:r w:rsidRPr="00B92669">
        <w:rPr>
          <w:rFonts w:cs="Arial"/>
        </w:rPr>
        <w:t xml:space="preserve"> of the fully interacting and bound guest and the </w:t>
      </w:r>
      <w:r>
        <w:rPr>
          <w:rFonts w:cs="Arial"/>
        </w:rPr>
        <w:t xml:space="preserve">COM of </w:t>
      </w:r>
      <w:r w:rsidRPr="00B92669">
        <w:rPr>
          <w:rFonts w:cs="Arial"/>
        </w:rPr>
        <w:t>cyclodextrin in order to prevent the guest f</w:t>
      </w:r>
      <w:r w:rsidRPr="009007F9">
        <w:rPr>
          <w:rFonts w:cs="Arial"/>
        </w:rPr>
        <w:t xml:space="preserve">rom leaving the host’s binding pocket once it is decoupled. This distance restraint (harmonic flat-bottom potential with force constant </w:t>
      </w:r>
      <m:oMath>
        <m:sSub>
          <m:sSubPr>
            <m:ctrlPr>
              <w:rPr>
                <w:rFonts w:ascii="Cambria Math" w:hAnsi="Cambria Math" w:cs="Arial"/>
                <w:i/>
              </w:rPr>
            </m:ctrlPr>
          </m:sSubPr>
          <m:e>
            <m:r>
              <w:rPr>
                <w:rFonts w:ascii="Cambria Math" w:hAnsi="Cambria Math" w:cs="Arial"/>
              </w:rPr>
              <m:t>K</m:t>
            </m:r>
          </m:e>
          <m:sub>
            <m:r>
              <w:rPr>
                <w:rFonts w:ascii="Cambria Math" w:hAnsi="Cambria Math" w:cs="Arial"/>
              </w:rPr>
              <m:t>r</m:t>
            </m:r>
          </m:sub>
        </m:sSub>
        <m:r>
          <w:rPr>
            <w:rFonts w:ascii="Cambria Math" w:eastAsiaTheme="minorEastAsia" w:hAnsi="Cambria Math" w:cs="Arial"/>
          </w:rPr>
          <m:t xml:space="preserve">=500 </m:t>
        </m:r>
        <m:r>
          <m:rPr>
            <m:sty m:val="p"/>
          </m:rPr>
          <w:rPr>
            <w:rFonts w:ascii="Cambria Math" w:eastAsiaTheme="minorEastAsia" w:hAnsi="Cambria Math" w:cs="Arial"/>
          </w:rPr>
          <m:t xml:space="preserve">kJ </m:t>
        </m:r>
        <m:sSup>
          <m:sSupPr>
            <m:ctrlPr>
              <w:rPr>
                <w:rFonts w:ascii="Cambria Math" w:eastAsiaTheme="minorEastAsia" w:hAnsi="Cambria Math" w:cs="Arial"/>
                <w:iCs/>
              </w:rPr>
            </m:ctrlPr>
          </m:sSupPr>
          <m:e>
            <m:r>
              <m:rPr>
                <m:sty m:val="p"/>
              </m:rPr>
              <w:rPr>
                <w:rFonts w:ascii="Cambria Math" w:eastAsiaTheme="minorEastAsia" w:hAnsi="Cambria Math" w:cs="Arial"/>
              </w:rPr>
              <m:t>mol</m:t>
            </m:r>
          </m:e>
          <m:sup>
            <m:r>
              <m:rPr>
                <m:sty m:val="p"/>
              </m:rPr>
              <w:rPr>
                <w:rFonts w:ascii="Cambria Math" w:eastAsiaTheme="minorEastAsia" w:hAnsi="Cambria Math" w:cs="Arial"/>
              </w:rPr>
              <m:t>-1</m:t>
            </m:r>
          </m:sup>
        </m:sSup>
        <m:sSup>
          <m:sSupPr>
            <m:ctrlPr>
              <w:rPr>
                <w:rFonts w:ascii="Cambria Math" w:eastAsiaTheme="minorEastAsia" w:hAnsi="Cambria Math" w:cs="Arial"/>
                <w:iCs/>
              </w:rPr>
            </m:ctrlPr>
          </m:sSupPr>
          <m:e>
            <m:r>
              <m:rPr>
                <m:sty m:val="p"/>
              </m:rPr>
              <w:rPr>
                <w:rFonts w:ascii="Cambria Math" w:eastAsiaTheme="minorEastAsia" w:hAnsi="Cambria Math" w:cs="Arial"/>
              </w:rPr>
              <m:t>nm</m:t>
            </m:r>
          </m:e>
          <m:sup>
            <m:r>
              <m:rPr>
                <m:sty m:val="p"/>
              </m:rPr>
              <w:rPr>
                <w:rFonts w:ascii="Cambria Math" w:eastAsiaTheme="minorEastAsia" w:hAnsi="Cambria Math" w:cs="Arial"/>
              </w:rPr>
              <m:t>-2</m:t>
            </m:r>
          </m:sup>
        </m:sSup>
      </m:oMath>
      <w:r w:rsidRPr="009007F9">
        <w:rPr>
          <w:rFonts w:eastAsiaTheme="minorEastAsia" w:cs="Arial"/>
          <w:iCs/>
        </w:rPr>
        <w:t xml:space="preserve"> and threshold parameter </w:t>
      </w:r>
      <m:oMath>
        <m:sSub>
          <m:sSubPr>
            <m:ctrlPr>
              <w:rPr>
                <w:rFonts w:ascii="Cambria Math" w:hAnsi="Cambria Math" w:cs="Arial"/>
                <w:i/>
              </w:rPr>
            </m:ctrlPr>
          </m:sSubPr>
          <m:e>
            <m:r>
              <w:rPr>
                <w:rFonts w:ascii="Cambria Math" w:hAnsi="Cambria Math" w:cs="Arial"/>
              </w:rPr>
              <m:t>r</m:t>
            </m:r>
          </m:e>
          <m:sub>
            <m:r>
              <w:rPr>
                <w:rFonts w:ascii="Cambria Math" w:hAnsi="Cambria Math" w:cs="Arial"/>
              </w:rPr>
              <m:t>0</m:t>
            </m:r>
          </m:sub>
        </m:sSub>
        <m:r>
          <w:rPr>
            <w:rFonts w:ascii="Cambria Math" w:hAnsi="Cambria Math" w:cs="Arial"/>
          </w:rPr>
          <m:t xml:space="preserve">=0.2 </m:t>
        </m:r>
        <m:r>
          <m:rPr>
            <m:sty m:val="p"/>
          </m:rPr>
          <w:rPr>
            <w:rFonts w:ascii="Cambria Math" w:hAnsi="Cambria Math" w:cs="Arial"/>
          </w:rPr>
          <m:t>nm</m:t>
        </m:r>
      </m:oMath>
      <w:r w:rsidRPr="009007F9">
        <w:rPr>
          <w:rFonts w:cs="Arial"/>
        </w:rPr>
        <w:t xml:space="preserve">) was activated prior to the decoupling of the guest by gradually increasing the value of </w:t>
      </w:r>
      <m:oMath>
        <m:sSub>
          <m:sSubPr>
            <m:ctrlPr>
              <w:rPr>
                <w:rFonts w:ascii="Cambria Math" w:hAnsi="Cambria Math" w:cs="Arial"/>
                <w:i/>
              </w:rPr>
            </m:ctrlPr>
          </m:sSubPr>
          <m:e>
            <m:r>
              <w:rPr>
                <w:rFonts w:ascii="Cambria Math" w:hAnsi="Cambria Math" w:cs="Arial"/>
              </w:rPr>
              <m:t>K</m:t>
            </m:r>
          </m:e>
          <m:sub>
            <m:r>
              <w:rPr>
                <w:rFonts w:ascii="Cambria Math" w:hAnsi="Cambria Math" w:cs="Arial"/>
              </w:rPr>
              <m:t>r</m:t>
            </m:r>
          </m:sub>
        </m:sSub>
      </m:oMath>
      <w:r w:rsidRPr="009007F9">
        <w:rPr>
          <w:rFonts w:eastAsiaTheme="minorEastAsia" w:cs="Arial"/>
        </w:rPr>
        <w:t xml:space="preserve"> from 0 (unrestrained bound guest) to the final value with</w:t>
      </w:r>
      <w:r w:rsidRPr="009007F9">
        <w:rPr>
          <w:rFonts w:cs="Arial"/>
        </w:rPr>
        <w:t xml:space="preserve">in a sequence of 8 discrete steps with 20 ns per step. The free energy contribution for removing this distance restraint again from </w:t>
      </w:r>
      <w:r>
        <w:rPr>
          <w:rFonts w:cs="Arial"/>
        </w:rPr>
        <w:t xml:space="preserve">the </w:t>
      </w:r>
      <w:r w:rsidRPr="009007F9">
        <w:rPr>
          <w:rFonts w:cs="Arial"/>
        </w:rPr>
        <w:t xml:space="preserve">decoupled i.e. non-interacting guest is given by </w:t>
      </w:r>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2→3</m:t>
            </m:r>
          </m:sub>
          <m:sup>
            <m:r>
              <m:rPr>
                <m:sty m:val="p"/>
              </m:rPr>
              <w:rPr>
                <w:rFonts w:ascii="Cambria Math" w:hAnsi="Cambria Math" w:cs="Arial"/>
              </w:rPr>
              <m:t>H</m:t>
            </m:r>
          </m:sup>
        </m:sSubSup>
      </m:oMath>
      <w:r>
        <w:rPr>
          <w:rFonts w:eastAsiaTheme="minorEastAsia" w:cs="Arial"/>
        </w:rPr>
        <w:t xml:space="preserve">. This pure entropic contribution can be </w:t>
      </w:r>
      <w:r w:rsidRPr="009007F9">
        <w:rPr>
          <w:rFonts w:eastAsiaTheme="minorEastAsia" w:cs="Arial"/>
        </w:rPr>
        <w:t>calculated analytically</w:t>
      </w:r>
      <w:r>
        <w:rPr>
          <w:rFonts w:eastAsiaTheme="minorEastAsia" w:cs="Arial"/>
        </w:rPr>
        <w:t xml:space="preserve"> and accounts for the transfer of the decoupled guest from the </w:t>
      </w:r>
      <w:r w:rsidRPr="009007F9">
        <w:rPr>
          <w:rFonts w:cs="Arial"/>
        </w:rPr>
        <w:t xml:space="preserve">effective volume </w:t>
      </w:r>
      <m:oMath>
        <m:sSub>
          <m:sSubPr>
            <m:ctrlPr>
              <w:rPr>
                <w:rFonts w:ascii="Cambria Math" w:eastAsiaTheme="minorEastAsia" w:hAnsi="Cambria Math" w:cs="Arial"/>
                <w:i/>
              </w:rPr>
            </m:ctrlPr>
          </m:sSubPr>
          <m:e>
            <m:r>
              <w:rPr>
                <w:rFonts w:ascii="Cambria Math" w:eastAsiaTheme="minorEastAsia" w:hAnsi="Cambria Math" w:cs="Arial"/>
              </w:rPr>
              <m:t>V</m:t>
            </m:r>
          </m:e>
          <m:sub>
            <m:r>
              <m:rPr>
                <m:sty m:val="p"/>
              </m:rPr>
              <w:rPr>
                <w:rFonts w:ascii="Cambria Math" w:eastAsiaTheme="minorEastAsia" w:hAnsi="Cambria Math" w:cs="Arial"/>
              </w:rPr>
              <m:t>eff</m:t>
            </m:r>
          </m:sub>
        </m:sSub>
      </m:oMath>
      <w:r>
        <w:rPr>
          <w:rFonts w:eastAsiaTheme="minorEastAsia" w:cs="Arial"/>
        </w:rPr>
        <w:t xml:space="preserve"> to the </w:t>
      </w:r>
      <w:r w:rsidRPr="009007F9">
        <w:rPr>
          <w:rFonts w:cs="Arial"/>
        </w:rPr>
        <w:t xml:space="preserve">standard state volume </w:t>
      </w:r>
      <m:oMath>
        <m:sSup>
          <m:sSupPr>
            <m:ctrlPr>
              <w:rPr>
                <w:rFonts w:ascii="Cambria Math" w:eastAsiaTheme="minorEastAsia" w:hAnsi="Cambria Math" w:cs="Arial"/>
                <w:i/>
              </w:rPr>
            </m:ctrlPr>
          </m:sSupPr>
          <m:e>
            <m:r>
              <w:rPr>
                <w:rFonts w:ascii="Cambria Math" w:eastAsiaTheme="minorEastAsia" w:hAnsi="Cambria Math" w:cs="Arial"/>
              </w:rPr>
              <m:t>V</m:t>
            </m:r>
          </m:e>
          <m:sup>
            <m:r>
              <w:rPr>
                <w:rFonts w:ascii="Cambria Math" w:eastAsiaTheme="minorEastAsia" w:hAnsi="Cambria Math" w:cs="Arial"/>
              </w:rPr>
              <m:t>0</m:t>
            </m:r>
          </m:sup>
        </m:sSup>
        <m:r>
          <w:rPr>
            <w:rFonts w:ascii="Cambria Math" w:eastAsiaTheme="minorEastAsia" w:hAnsi="Cambria Math" w:cs="Arial"/>
          </w:rPr>
          <m:t xml:space="preserve">=1.661 </m:t>
        </m:r>
        <m:sSup>
          <m:sSupPr>
            <m:ctrlPr>
              <w:rPr>
                <w:rFonts w:ascii="Cambria Math" w:eastAsiaTheme="minorEastAsia" w:hAnsi="Cambria Math" w:cs="Arial"/>
                <w:i/>
              </w:rPr>
            </m:ctrlPr>
          </m:sSupPr>
          <m:e>
            <m:r>
              <m:rPr>
                <m:sty m:val="p"/>
              </m:rPr>
              <w:rPr>
                <w:rFonts w:ascii="Cambria Math" w:eastAsiaTheme="minorEastAsia" w:hAnsi="Cambria Math" w:cs="Arial"/>
              </w:rPr>
              <m:t>nm</m:t>
            </m:r>
          </m:e>
          <m:sup>
            <m:r>
              <w:rPr>
                <w:rFonts w:ascii="Cambria Math" w:eastAsiaTheme="minorEastAsia" w:hAnsi="Cambria Math" w:cs="Arial"/>
              </w:rPr>
              <m:t>3</m:t>
            </m:r>
          </m:sup>
        </m:sSup>
      </m:oMath>
      <w:r>
        <w:rPr>
          <w:rFonts w:eastAsiaTheme="minorEastAsia" w:cs="Arial"/>
        </w:rPr>
        <w:t xml:space="preserve"> and therefore represents </w:t>
      </w:r>
      <w:r w:rsidRPr="009007F9">
        <w:rPr>
          <w:rFonts w:eastAsiaTheme="minorEastAsia" w:cs="Arial"/>
        </w:rPr>
        <w:t xml:space="preserve">the standard state correction for the calculation of </w:t>
      </w:r>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m:rPr>
                <m:sty m:val="p"/>
              </m:rPr>
              <w:rPr>
                <w:rFonts w:ascii="Cambria Math" w:hAnsi="Cambria Math" w:cs="Arial"/>
              </w:rPr>
              <m:t>bind</m:t>
            </m:r>
          </m:sub>
          <m:sup>
            <m:r>
              <w:rPr>
                <w:rFonts w:ascii="Cambria Math" w:hAnsi="Cambria Math" w:cs="Arial"/>
              </w:rPr>
              <m:t>0</m:t>
            </m:r>
          </m:sup>
        </m:sSubSup>
      </m:oMath>
      <w:r w:rsidRPr="009007F9">
        <w:rPr>
          <w:rFonts w:eastAsiaTheme="minorEastAsia" w:cs="Arial"/>
        </w:rPr>
        <w:t>:</w:t>
      </w:r>
      <w:r w:rsidRPr="009007F9">
        <w:rPr>
          <w:rFonts w:eastAsiaTheme="minorEastAsia" w:cs="Arial"/>
        </w:rPr>
        <w:fldChar w:fldCharType="begin" w:fldLock="1"/>
      </w:r>
      <w:r w:rsidR="00E81BA1">
        <w:rPr>
          <w:rFonts w:eastAsiaTheme="minorEastAsia" w:cs="Arial"/>
        </w:rPr>
        <w:instrText>ADDIN CSL_CITATION {"citationItems":[{"id":"ITEM-1","itemData":{"DOI":"10.1021/JA963568","abstract":"We present the first complete treatment for calculating theoretical estimates of free energies of formation of macromolecule-ligand complexes with molecular dynamics simulations, as the free energy for transforming the ligand into a non-interacting state by gradually diminishing the forces between macromolecule (plus solvent) and ligand. The calculations become possible due to the introduction of a specially designed potential (\"molecular tweezers\") which restrains the spatial position and orientation of the ligand molecule and is gradually applied as the transformation proceeds from complexed to non-interacting components. The binding of benzene to a mutant T4 lysozyme (Morton et al. Biochemistry 1995, 34, 8564-8575) has been used as a test case. The simulations reproduce the value of the free energy of binding (-5.19 kcal/mol if the standard state of benzene is a 1 M aqueous solution) within the sum of experimental and statistical error. Another series of such simulations with rigid protein models provides an estimate of the dependence of the free energy of binding on the protein conformation. The free energy of binding is found to decrease in the series: energy-minimized ligand-free protein (-3.5 kcal/mol), energy-minimized ligand-containing protein (-6.3 kcal/mol), and crystal structure (-8.5 kcal/mol). The free energy of binding to a series of snapshots from a protein-ligand dynamics trajectory varies between-7 and-9 kcal/mol. The \"cratic\" free energy contribution, which corresponds to the loss of translational and rotational freedom of the ligand molecule, was estimated at 7 kcal/mol. It has proved possible to decompose this into translational and rotational components and, from these free energies, estimate the remaining freedom of the benzene in the binding pocket, at 0.6 Å for positional range and 10-15° for angular range, in excellent agreement with the motion observed in a dynamics trajectory.","author":[{"dropping-particle":"","family":"Hermans","given":"Jan","non-dropping-particle":"","parse-names":false,"suffix":""},{"dropping-particle":"","family":"Wang","given":"Lu","non-dropping-particle":"","parse-names":false,"suffix":""}],"id":"ITEM-1","issued":{"date-parts":[["1997"]]},"title":"Inclusion of Loss of Translational and Rotational Freedom in Theoretical Estimates of Free Energies of Binding. Application to a Complex of Benzene and Mutant T4 Lysozyme","type":"article-journal"},"uris":["http://www.mendeley.com/documents/?uuid=a8ab7ece-135d-3cf3-8c5d-cfc4889d85b1"]}],"mendeley":{"formattedCitation":"&lt;sup&gt;50&lt;/sup&gt;","plainTextFormattedCitation":"50","previouslyFormattedCitation":"&lt;sup&gt;49&lt;/sup&gt;"},"properties":{"noteIndex":0},"schema":"https://github.com/citation-style-language/schema/raw/master/csl-citation.json"}</w:instrText>
      </w:r>
      <w:r w:rsidRPr="009007F9">
        <w:rPr>
          <w:rFonts w:eastAsiaTheme="minorEastAsia" w:cs="Arial"/>
        </w:rPr>
        <w:fldChar w:fldCharType="separate"/>
      </w:r>
      <w:r w:rsidR="00E81BA1" w:rsidRPr="00E81BA1">
        <w:rPr>
          <w:rFonts w:eastAsiaTheme="minorEastAsia" w:cs="Arial"/>
          <w:noProof/>
          <w:vertAlign w:val="superscript"/>
        </w:rPr>
        <w:t>50</w:t>
      </w:r>
      <w:r w:rsidRPr="009007F9">
        <w:rPr>
          <w:rFonts w:eastAsiaTheme="minorEastAsia" w:cs="Arial"/>
        </w:rPr>
        <w:fldChar w:fldCharType="end"/>
      </w:r>
    </w:p>
    <w:p w14:paraId="09986F5B" w14:textId="77777777" w:rsidR="00304A51" w:rsidRPr="009007F9" w:rsidRDefault="00304A51" w:rsidP="00304A51">
      <w:pPr>
        <w:rPr>
          <w:rFonts w:eastAsiaTheme="minorEastAsia" w:cs="Arial"/>
        </w:rPr>
      </w:pPr>
      <m:oMathPara>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2→3</m:t>
              </m:r>
            </m:sub>
            <m:sup>
              <m:r>
                <m:rPr>
                  <m:sty m:val="p"/>
                </m:rPr>
                <w:rPr>
                  <w:rFonts w:ascii="Cambria Math" w:hAnsi="Cambria Math" w:cs="Arial"/>
                </w:rPr>
                <m:t>H</m:t>
              </m:r>
            </m:sup>
          </m:sSubSup>
          <m:r>
            <m:rPr>
              <m:sty m:val="p"/>
            </m:rPr>
            <w:rPr>
              <w:rFonts w:ascii="Cambria Math" w:eastAsiaTheme="minorEastAsia" w:hAnsi="Cambria Math" w:cs="Arial"/>
            </w:rPr>
            <m:t>=-RT ln</m:t>
          </m:r>
          <m:d>
            <m:dPr>
              <m:ctrlPr>
                <w:rPr>
                  <w:rFonts w:ascii="Cambria Math" w:eastAsiaTheme="minorEastAsia" w:hAnsi="Cambria Math" w:cs="Arial"/>
                </w:rPr>
              </m:ctrlPr>
            </m:dPr>
            <m:e>
              <m:f>
                <m:fPr>
                  <m:ctrlPr>
                    <w:rPr>
                      <w:rFonts w:ascii="Cambria Math" w:eastAsiaTheme="minorEastAsia" w:hAnsi="Cambria Math" w:cs="Arial"/>
                      <w:i/>
                    </w:rPr>
                  </m:ctrlPr>
                </m:fPr>
                <m:num>
                  <m:sSup>
                    <m:sSupPr>
                      <m:ctrlPr>
                        <w:rPr>
                          <w:rFonts w:ascii="Cambria Math" w:eastAsiaTheme="minorEastAsia" w:hAnsi="Cambria Math" w:cs="Arial"/>
                          <w:i/>
                        </w:rPr>
                      </m:ctrlPr>
                    </m:sSupPr>
                    <m:e>
                      <m:r>
                        <w:rPr>
                          <w:rFonts w:ascii="Cambria Math" w:eastAsiaTheme="minorEastAsia" w:hAnsi="Cambria Math" w:cs="Arial"/>
                        </w:rPr>
                        <m:t>V</m:t>
                      </m:r>
                    </m:e>
                    <m:sup>
                      <m:r>
                        <w:rPr>
                          <w:rFonts w:ascii="Cambria Math" w:eastAsiaTheme="minorEastAsia" w:hAnsi="Cambria Math" w:cs="Arial"/>
                        </w:rPr>
                        <m:t>0</m:t>
                      </m:r>
                    </m:sup>
                  </m:sSup>
                </m:num>
                <m:den>
                  <m:sSub>
                    <m:sSubPr>
                      <m:ctrlPr>
                        <w:rPr>
                          <w:rFonts w:ascii="Cambria Math" w:eastAsiaTheme="minorEastAsia" w:hAnsi="Cambria Math" w:cs="Arial"/>
                          <w:i/>
                        </w:rPr>
                      </m:ctrlPr>
                    </m:sSubPr>
                    <m:e>
                      <m:r>
                        <w:rPr>
                          <w:rFonts w:ascii="Cambria Math" w:eastAsiaTheme="minorEastAsia" w:hAnsi="Cambria Math" w:cs="Arial"/>
                        </w:rPr>
                        <m:t>V</m:t>
                      </m:r>
                    </m:e>
                    <m:sub>
                      <m:r>
                        <m:rPr>
                          <m:sty m:val="p"/>
                        </m:rPr>
                        <w:rPr>
                          <w:rFonts w:ascii="Cambria Math" w:eastAsiaTheme="minorEastAsia" w:hAnsi="Cambria Math" w:cs="Arial"/>
                        </w:rPr>
                        <m:t>eff</m:t>
                      </m:r>
                    </m:sub>
                  </m:sSub>
                </m:den>
              </m:f>
            </m:e>
          </m:d>
        </m:oMath>
      </m:oMathPara>
    </w:p>
    <w:p w14:paraId="37F4B85F" w14:textId="77777777" w:rsidR="00304A51" w:rsidRPr="009007F9" w:rsidRDefault="00304A51" w:rsidP="00304A51">
      <w:pPr>
        <w:rPr>
          <w:rFonts w:cs="Arial"/>
        </w:rPr>
      </w:pPr>
      <w:r w:rsidRPr="009007F9">
        <w:rPr>
          <w:rFonts w:cs="Arial"/>
        </w:rPr>
        <w:t xml:space="preserve">The effective volume </w:t>
      </w:r>
      <m:oMath>
        <m:sSub>
          <m:sSubPr>
            <m:ctrlPr>
              <w:rPr>
                <w:rFonts w:ascii="Cambria Math" w:eastAsiaTheme="minorEastAsia" w:hAnsi="Cambria Math" w:cs="Arial"/>
                <w:i/>
              </w:rPr>
            </m:ctrlPr>
          </m:sSubPr>
          <m:e>
            <m:r>
              <w:rPr>
                <w:rFonts w:ascii="Cambria Math" w:eastAsiaTheme="minorEastAsia" w:hAnsi="Cambria Math" w:cs="Arial"/>
              </w:rPr>
              <m:t>V</m:t>
            </m:r>
          </m:e>
          <m:sub>
            <m:r>
              <m:rPr>
                <m:sty m:val="p"/>
              </m:rPr>
              <w:rPr>
                <w:rFonts w:ascii="Cambria Math" w:eastAsiaTheme="minorEastAsia" w:hAnsi="Cambria Math" w:cs="Arial"/>
              </w:rPr>
              <m:t>eff</m:t>
            </m:r>
          </m:sub>
        </m:sSub>
      </m:oMath>
      <w:r w:rsidRPr="009007F9">
        <w:rPr>
          <w:rFonts w:eastAsiaTheme="minorEastAsia" w:cs="Arial"/>
        </w:rPr>
        <w:t xml:space="preserve"> accessible to the decoupled restrained guest </w:t>
      </w:r>
      <w:r w:rsidRPr="009007F9">
        <w:rPr>
          <w:rFonts w:cs="Arial"/>
        </w:rPr>
        <w:t>is given by the integral:</w:t>
      </w:r>
    </w:p>
    <w:p w14:paraId="4251E4D6" w14:textId="77777777" w:rsidR="00304A51" w:rsidRPr="009007F9" w:rsidRDefault="00AA5E09" w:rsidP="00304A51">
      <w:pPr>
        <w:rPr>
          <w:rFonts w:cs="Arial"/>
        </w:rPr>
      </w:pPr>
      <m:oMathPara>
        <m:oMath>
          <m:sSub>
            <m:sSubPr>
              <m:ctrlPr>
                <w:rPr>
                  <w:rFonts w:ascii="Cambria Math" w:eastAsiaTheme="minorEastAsia" w:hAnsi="Cambria Math" w:cs="Arial"/>
                  <w:i/>
                </w:rPr>
              </m:ctrlPr>
            </m:sSubPr>
            <m:e>
              <m:r>
                <w:rPr>
                  <w:rFonts w:ascii="Cambria Math" w:eastAsiaTheme="minorEastAsia" w:hAnsi="Cambria Math" w:cs="Arial"/>
                </w:rPr>
                <m:t>V</m:t>
              </m:r>
            </m:e>
            <m:sub>
              <m:r>
                <m:rPr>
                  <m:sty m:val="p"/>
                </m:rPr>
                <w:rPr>
                  <w:rFonts w:ascii="Cambria Math" w:eastAsiaTheme="minorEastAsia" w:hAnsi="Cambria Math" w:cs="Arial"/>
                </w:rPr>
                <m:t>eff</m:t>
              </m:r>
            </m:sub>
          </m:sSub>
          <m:r>
            <w:rPr>
              <w:rFonts w:ascii="Cambria Math" w:eastAsiaTheme="minorEastAsia" w:hAnsi="Cambria Math" w:cs="Arial"/>
            </w:rPr>
            <m:t>=</m:t>
          </m:r>
          <m:f>
            <m:fPr>
              <m:ctrlPr>
                <w:rPr>
                  <w:rFonts w:ascii="Cambria Math" w:hAnsi="Cambria Math" w:cs="Arial"/>
                  <w:i/>
                </w:rPr>
              </m:ctrlPr>
            </m:fPr>
            <m:num>
              <m:r>
                <w:rPr>
                  <w:rFonts w:ascii="Cambria Math" w:hAnsi="Cambria Math" w:cs="Arial"/>
                </w:rPr>
                <m:t>4</m:t>
              </m:r>
            </m:num>
            <m:den>
              <m:r>
                <w:rPr>
                  <w:rFonts w:ascii="Cambria Math" w:hAnsi="Cambria Math" w:cs="Arial"/>
                </w:rPr>
                <m:t>3</m:t>
              </m:r>
            </m:den>
          </m:f>
          <m:r>
            <w:rPr>
              <w:rFonts w:ascii="Cambria Math" w:hAnsi="Cambria Math" w:cs="Arial"/>
            </w:rPr>
            <m:t>π</m:t>
          </m:r>
          <m:sSubSup>
            <m:sSubSupPr>
              <m:ctrlPr>
                <w:rPr>
                  <w:rFonts w:ascii="Cambria Math" w:hAnsi="Cambria Math" w:cs="Arial"/>
                  <w:i/>
                </w:rPr>
              </m:ctrlPr>
            </m:sSubSupPr>
            <m:e>
              <m:r>
                <w:rPr>
                  <w:rFonts w:ascii="Cambria Math" w:hAnsi="Cambria Math" w:cs="Arial"/>
                </w:rPr>
                <m:t>r</m:t>
              </m:r>
            </m:e>
            <m:sub>
              <m:r>
                <w:rPr>
                  <w:rFonts w:ascii="Cambria Math" w:hAnsi="Cambria Math" w:cs="Arial"/>
                </w:rPr>
                <m:t>0</m:t>
              </m:r>
            </m:sub>
            <m:sup>
              <m:r>
                <w:rPr>
                  <w:rFonts w:ascii="Cambria Math" w:hAnsi="Cambria Math" w:cs="Arial"/>
                </w:rPr>
                <m:t>3</m:t>
              </m:r>
            </m:sup>
          </m:sSubSup>
          <m:r>
            <w:rPr>
              <w:rFonts w:ascii="Cambria Math" w:hAnsi="Cambria Math" w:cs="Arial"/>
            </w:rPr>
            <m:t>+</m:t>
          </m:r>
          <m:nary>
            <m:naryPr>
              <m:limLoc m:val="subSup"/>
              <m:ctrlPr>
                <w:rPr>
                  <w:rFonts w:ascii="Cambria Math" w:hAnsi="Cambria Math" w:cs="Arial"/>
                  <w:i/>
                </w:rPr>
              </m:ctrlPr>
            </m:naryPr>
            <m:sub>
              <m:sSub>
                <m:sSubPr>
                  <m:ctrlPr>
                    <w:rPr>
                      <w:rFonts w:ascii="Cambria Math" w:hAnsi="Cambria Math" w:cs="Arial"/>
                      <w:i/>
                    </w:rPr>
                  </m:ctrlPr>
                </m:sSubPr>
                <m:e>
                  <m:r>
                    <w:rPr>
                      <w:rFonts w:ascii="Cambria Math" w:hAnsi="Cambria Math" w:cs="Arial"/>
                    </w:rPr>
                    <m:t>r</m:t>
                  </m:r>
                </m:e>
                <m:sub>
                  <m:r>
                    <w:rPr>
                      <w:rFonts w:ascii="Cambria Math" w:hAnsi="Cambria Math" w:cs="Arial"/>
                    </w:rPr>
                    <m:t>0</m:t>
                  </m:r>
                </m:sub>
              </m:sSub>
            </m:sub>
            <m:sup>
              <m:r>
                <w:rPr>
                  <w:rFonts w:ascii="Cambria Math" w:hAnsi="Cambria Math" w:cs="Arial"/>
                </w:rPr>
                <m:t>∞</m:t>
              </m:r>
            </m:sup>
            <m:e>
              <m:r>
                <m:rPr>
                  <m:sty m:val="p"/>
                </m:rPr>
                <w:rPr>
                  <w:rFonts w:ascii="Cambria Math" w:hAnsi="Cambria Math" w:cs="Arial"/>
                </w:rPr>
                <m:t>exp</m:t>
              </m:r>
              <m:d>
                <m:dPr>
                  <m:begChr m:val="{"/>
                  <m:endChr m:val="}"/>
                  <m:ctrlPr>
                    <w:rPr>
                      <w:rFonts w:ascii="Cambria Math" w:hAnsi="Cambria Math" w:cs="Arial"/>
                      <w:i/>
                    </w:rPr>
                  </m:ctrlPr>
                </m:dPr>
                <m:e>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K</m:t>
                          </m:r>
                        </m:e>
                        <m:sub>
                          <m:r>
                            <w:rPr>
                              <w:rFonts w:ascii="Cambria Math" w:hAnsi="Cambria Math" w:cs="Arial"/>
                            </w:rPr>
                            <m:t>r</m:t>
                          </m:r>
                        </m:sub>
                      </m:sSub>
                    </m:num>
                    <m:den>
                      <m:r>
                        <w:rPr>
                          <w:rFonts w:ascii="Cambria Math" w:hAnsi="Cambria Math" w:cs="Arial"/>
                        </w:rPr>
                        <m:t xml:space="preserve">2 </m:t>
                      </m:r>
                      <m:r>
                        <w:rPr>
                          <w:rFonts w:ascii="Cambria Math" w:hAnsi="Cambria Math" w:cs="Arial"/>
                        </w:rPr>
                        <m:t>RT</m:t>
                      </m:r>
                    </m:den>
                  </m:f>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r</m:t>
                          </m:r>
                          <m:r>
                            <w:rPr>
                              <w:rFonts w:ascii="Cambria Math"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0</m:t>
                              </m:r>
                            </m:sub>
                          </m:sSub>
                        </m:e>
                      </m:d>
                    </m:e>
                    <m:sup>
                      <m:r>
                        <w:rPr>
                          <w:rFonts w:ascii="Cambria Math" w:hAnsi="Cambria Math" w:cs="Arial"/>
                        </w:rPr>
                        <m:t>2</m:t>
                      </m:r>
                    </m:sup>
                  </m:sSup>
                </m:e>
              </m:d>
              <m:sSup>
                <m:sSupPr>
                  <m:ctrlPr>
                    <w:rPr>
                      <w:rFonts w:ascii="Cambria Math" w:hAnsi="Cambria Math" w:cs="Arial"/>
                      <w:i/>
                    </w:rPr>
                  </m:ctrlPr>
                </m:sSupPr>
                <m:e>
                  <m:r>
                    <w:rPr>
                      <w:rFonts w:ascii="Cambria Math" w:hAnsi="Cambria Math" w:cs="Arial"/>
                    </w:rPr>
                    <m:t>4</m:t>
                  </m:r>
                  <m:r>
                    <w:rPr>
                      <w:rFonts w:ascii="Cambria Math" w:hAnsi="Cambria Math" w:cs="Arial"/>
                    </w:rPr>
                    <m:t>π</m:t>
                  </m:r>
                  <m:r>
                    <w:rPr>
                      <w:rFonts w:ascii="Cambria Math" w:hAnsi="Cambria Math" w:cs="Arial"/>
                    </w:rPr>
                    <m:t xml:space="preserve"> </m:t>
                  </m:r>
                  <m:r>
                    <w:rPr>
                      <w:rFonts w:ascii="Cambria Math" w:hAnsi="Cambria Math" w:cs="Arial"/>
                    </w:rPr>
                    <m:t>r</m:t>
                  </m:r>
                </m:e>
                <m:sup>
                  <m:r>
                    <w:rPr>
                      <w:rFonts w:ascii="Cambria Math" w:hAnsi="Cambria Math" w:cs="Arial"/>
                    </w:rPr>
                    <m:t>2</m:t>
                  </m:r>
                </m:sup>
              </m:sSup>
              <m:r>
                <m:rPr>
                  <m:sty m:val="p"/>
                </m:rPr>
                <w:rPr>
                  <w:rFonts w:ascii="Cambria Math" w:hAnsi="Cambria Math" w:cs="Arial"/>
                </w:rPr>
                <m:t xml:space="preserve"> d</m:t>
              </m:r>
              <m:r>
                <w:rPr>
                  <w:rFonts w:ascii="Cambria Math" w:hAnsi="Cambria Math" w:cs="Arial"/>
                </w:rPr>
                <m:t>r</m:t>
              </m:r>
            </m:e>
          </m:nary>
        </m:oMath>
      </m:oMathPara>
    </w:p>
    <w:p w14:paraId="5AC4B4CA" w14:textId="77777777" w:rsidR="00304A51" w:rsidRDefault="00304A51" w:rsidP="00304A51">
      <w:pPr>
        <w:rPr>
          <w:rFonts w:cs="Arial"/>
        </w:rPr>
      </w:pPr>
      <w:r w:rsidRPr="009007F9">
        <w:rPr>
          <w:rFonts w:cs="Arial"/>
        </w:rPr>
        <w:lastRenderedPageBreak/>
        <w:t xml:space="preserve">where the integration variable </w:t>
      </w:r>
      <m:oMath>
        <m:r>
          <w:rPr>
            <w:rFonts w:ascii="Cambria Math" w:hAnsi="Cambria Math" w:cs="Arial"/>
          </w:rPr>
          <m:t>r</m:t>
        </m:r>
      </m:oMath>
      <w:r w:rsidRPr="009007F9">
        <w:rPr>
          <w:rFonts w:eastAsiaTheme="minorEastAsia" w:cs="Arial"/>
        </w:rPr>
        <w:t xml:space="preserve"> denotes the radial host-guest-COM-COM distance. Numerical evaluation of the integral using the parameters given above, yields </w:t>
      </w:r>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w:rPr>
                <w:rFonts w:ascii="Cambria Math" w:hAnsi="Cambria Math" w:cs="Arial"/>
              </w:rPr>
              <m:t>2→3</m:t>
            </m:r>
          </m:sub>
          <m:sup>
            <m:r>
              <m:rPr>
                <m:sty m:val="p"/>
              </m:rPr>
              <w:rPr>
                <w:rFonts w:ascii="Cambria Math" w:hAnsi="Cambria Math" w:cs="Arial"/>
              </w:rPr>
              <m:t>H</m:t>
            </m:r>
          </m:sup>
        </m:sSubSup>
        <m:r>
          <w:rPr>
            <w:rFonts w:ascii="Cambria Math" w:eastAsiaTheme="minorEastAsia" w:hAnsi="Cambria Math" w:cs="Arial"/>
          </w:rPr>
          <m:t xml:space="preserve">≈-6.80 </m:t>
        </m:r>
        <m:r>
          <m:rPr>
            <m:sty m:val="p"/>
          </m:rPr>
          <w:rPr>
            <w:rFonts w:ascii="Cambria Math" w:eastAsiaTheme="minorEastAsia" w:hAnsi="Cambria Math" w:cs="Arial"/>
          </w:rPr>
          <m:t xml:space="preserve">kJ </m:t>
        </m:r>
        <m:sSup>
          <m:sSupPr>
            <m:ctrlPr>
              <w:rPr>
                <w:rFonts w:ascii="Cambria Math" w:eastAsiaTheme="minorEastAsia" w:hAnsi="Cambria Math" w:cs="Arial"/>
                <w:iCs/>
              </w:rPr>
            </m:ctrlPr>
          </m:sSupPr>
          <m:e>
            <m:r>
              <m:rPr>
                <m:sty m:val="p"/>
              </m:rPr>
              <w:rPr>
                <w:rFonts w:ascii="Cambria Math" w:eastAsiaTheme="minorEastAsia" w:hAnsi="Cambria Math" w:cs="Arial"/>
              </w:rPr>
              <m:t>mol</m:t>
            </m:r>
          </m:e>
          <m:sup>
            <m:r>
              <m:rPr>
                <m:sty m:val="p"/>
              </m:rPr>
              <w:rPr>
                <w:rFonts w:ascii="Cambria Math" w:eastAsiaTheme="minorEastAsia" w:hAnsi="Cambria Math" w:cs="Arial"/>
              </w:rPr>
              <m:t>-1</m:t>
            </m:r>
          </m:sup>
        </m:sSup>
      </m:oMath>
      <w:r w:rsidRPr="009007F9">
        <w:rPr>
          <w:rFonts w:eastAsiaTheme="minorEastAsia" w:cs="Arial"/>
          <w:iCs/>
        </w:rPr>
        <w:t>.</w:t>
      </w:r>
      <w:r>
        <w:rPr>
          <w:rFonts w:cs="Arial"/>
        </w:rPr>
        <w:t xml:space="preserve"> Results for the decoupling free energies </w:t>
      </w:r>
      <m:oMath>
        <m:r>
          <w:rPr>
            <w:rFonts w:ascii="Cambria Math" w:eastAsiaTheme="minorEastAsia" w:hAnsi="Cambria Math" w:cs="Arial"/>
          </w:rPr>
          <m:t>∆</m:t>
        </m:r>
        <m:sSubSup>
          <m:sSubSupPr>
            <m:ctrlPr>
              <w:rPr>
                <w:rFonts w:ascii="Cambria Math" w:eastAsiaTheme="minorEastAsia" w:hAnsi="Cambria Math" w:cs="Arial"/>
                <w:i/>
              </w:rPr>
            </m:ctrlPr>
          </m:sSubSupPr>
          <m:e>
            <m:r>
              <w:rPr>
                <w:rFonts w:ascii="Cambria Math" w:eastAsiaTheme="minorEastAsia" w:hAnsi="Cambria Math" w:cs="Arial"/>
              </w:rPr>
              <m:t>G</m:t>
            </m:r>
          </m:e>
          <m:sub>
            <m:r>
              <w:rPr>
                <w:rFonts w:ascii="Cambria Math" w:eastAsiaTheme="minorEastAsia" w:hAnsi="Cambria Math" w:cs="Arial"/>
              </w:rPr>
              <m:t>0*→1*</m:t>
            </m:r>
          </m:sub>
          <m:sup>
            <m:r>
              <m:rPr>
                <m:sty m:val="p"/>
              </m:rPr>
              <w:rPr>
                <w:rFonts w:ascii="Cambria Math" w:eastAsiaTheme="minorEastAsia" w:hAnsi="Cambria Math" w:cs="Arial"/>
              </w:rPr>
              <m:t>B</m:t>
            </m:r>
          </m:sup>
        </m:sSubSup>
      </m:oMath>
      <w:r>
        <w:rPr>
          <w:rFonts w:eastAsiaTheme="minorEastAsia" w:cs="Arial"/>
        </w:rPr>
        <w:t xml:space="preserve"> and </w:t>
      </w:r>
      <m:oMath>
        <m:r>
          <w:rPr>
            <w:rFonts w:ascii="Cambria Math" w:eastAsiaTheme="minorEastAsia" w:hAnsi="Cambria Math" w:cs="Arial"/>
          </w:rPr>
          <m:t>∆</m:t>
        </m:r>
        <m:sSubSup>
          <m:sSubSupPr>
            <m:ctrlPr>
              <w:rPr>
                <w:rFonts w:ascii="Cambria Math" w:eastAsiaTheme="minorEastAsia" w:hAnsi="Cambria Math" w:cs="Arial"/>
                <w:i/>
              </w:rPr>
            </m:ctrlPr>
          </m:sSubSupPr>
          <m:e>
            <m:r>
              <w:rPr>
                <w:rFonts w:ascii="Cambria Math" w:eastAsiaTheme="minorEastAsia" w:hAnsi="Cambria Math" w:cs="Arial"/>
              </w:rPr>
              <m:t>G</m:t>
            </m:r>
          </m:e>
          <m:sub>
            <m:r>
              <w:rPr>
                <w:rFonts w:ascii="Cambria Math" w:eastAsiaTheme="minorEastAsia" w:hAnsi="Cambria Math" w:cs="Arial"/>
              </w:rPr>
              <m:t>0→3</m:t>
            </m:r>
          </m:sub>
          <m:sup>
            <m:r>
              <m:rPr>
                <m:sty m:val="p"/>
              </m:rPr>
              <w:rPr>
                <w:rFonts w:ascii="Cambria Math" w:eastAsiaTheme="minorEastAsia" w:hAnsi="Cambria Math" w:cs="Arial"/>
              </w:rPr>
              <m:t>H</m:t>
            </m:r>
          </m:sup>
        </m:sSubSup>
      </m:oMath>
      <w:r>
        <w:rPr>
          <w:rFonts w:eastAsiaTheme="minorEastAsia" w:cs="Arial"/>
        </w:rPr>
        <w:t xml:space="preserve"> for all simulated systems are reported in </w:t>
      </w:r>
      <w:r w:rsidRPr="00B92669">
        <w:rPr>
          <w:rFonts w:cs="Arial"/>
          <w:color w:val="000000" w:themeColor="text1"/>
        </w:rPr>
        <w:t>Fig. S18 (</w:t>
      </w:r>
      <w:r>
        <w:rPr>
          <w:rFonts w:cs="Arial"/>
          <w:color w:val="000000" w:themeColor="text1"/>
        </w:rPr>
        <w:t>B</w:t>
      </w:r>
      <w:r w:rsidRPr="00B92669">
        <w:rPr>
          <w:rFonts w:cs="Arial"/>
          <w:color w:val="000000" w:themeColor="text1"/>
        </w:rPr>
        <w:t>)</w:t>
      </w:r>
      <w:r>
        <w:rPr>
          <w:rFonts w:cs="Arial"/>
          <w:color w:val="000000" w:themeColor="text1"/>
        </w:rPr>
        <w:t xml:space="preserve"> and tables Tab. S7 and S8.</w:t>
      </w:r>
    </w:p>
    <w:p w14:paraId="7135EC11" w14:textId="73CCA1A7" w:rsidR="00304A51" w:rsidRDefault="00304A51" w:rsidP="00304A51">
      <w:pPr>
        <w:rPr>
          <w:rFonts w:eastAsiaTheme="minorEastAsia" w:cs="Arial"/>
        </w:rPr>
      </w:pPr>
      <w:r w:rsidRPr="009007F9">
        <w:rPr>
          <w:rFonts w:cs="Arial"/>
        </w:rPr>
        <w:t>For bulk simulations, a single guest molecule immersed in a bath of solvent (water or cyclohexane) molecules was considered, while for the host-guest complexes, a single guest bound to a single solvated host molecule (1:1 complex) was simulated. The scaling of the non-bonded interactions between the guest and its environment was controlled via a coupling parameter λ, such that λ = 0 and λ = 1 represents the fully interacting and fully decoupled guest, respectively, while retaining the intramolecular interactions. The decoupling was conducted in a sequence of 20 discrete steps, using simulation times of 20 ns per λ-state. In the applied perturbation scheme, electrostatic interactions were deactivated first within 5 steps, followed by the deactivation of the Lennard-Jones interactions. To avoid numerical problems close to the end states, soft-core (sc) potentials were used with parameters α</w:t>
      </w:r>
      <w:r w:rsidRPr="009007F9">
        <w:rPr>
          <w:rFonts w:cs="Arial"/>
          <w:vertAlign w:val="subscript"/>
        </w:rPr>
        <w:t>sc</w:t>
      </w:r>
      <w:r w:rsidRPr="009007F9">
        <w:rPr>
          <w:rFonts w:cs="Arial"/>
        </w:rPr>
        <w:t xml:space="preserve"> = 0.5, σ</w:t>
      </w:r>
      <w:r w:rsidRPr="009007F9">
        <w:rPr>
          <w:rFonts w:cs="Arial"/>
          <w:vertAlign w:val="subscript"/>
        </w:rPr>
        <w:t>sc</w:t>
      </w:r>
      <w:r w:rsidRPr="009007F9">
        <w:rPr>
          <w:rFonts w:cs="Arial"/>
        </w:rPr>
        <w:t xml:space="preserve"> = 0.3 and a power for the soft-core scaling function of p</w:t>
      </w:r>
      <w:r w:rsidRPr="009007F9">
        <w:rPr>
          <w:rFonts w:cs="Arial"/>
          <w:vertAlign w:val="subscript"/>
        </w:rPr>
        <w:t>sc</w:t>
      </w:r>
      <w:r w:rsidRPr="009007F9">
        <w:rPr>
          <w:rFonts w:cs="Arial"/>
        </w:rPr>
        <w:t xml:space="preserve"> = 1.</w:t>
      </w:r>
      <w:r w:rsidRPr="009007F9">
        <w:rPr>
          <w:rFonts w:cs="Arial"/>
        </w:rPr>
        <w:fldChar w:fldCharType="begin" w:fldLock="1"/>
      </w:r>
      <w:r w:rsidR="00E81BA1">
        <w:rPr>
          <w:rFonts w:cs="Arial"/>
        </w:rPr>
        <w:instrText>ADDIN CSL_CITATION {"citationItems":[{"id":"ITEM-1","itemData":{"DOI":"10.1016/J.SOFTX.2015.06.001","ISSN":"2352-7110","abstract":"GROMACS is one of the most widely used open-source and free software codes in chemistry, used primarily for dynamical simulations of biomolecules. It provides a rich set of calculation types, preparation and analysis tools. Several advanced techniques for free-energy calculations are supported. In version 5, it reaches new performance heights, through several new and enhanced parallelization algorithms. These work on every level; SIMD registers inside cores, multithreading, heterogeneous CPU-GPU acceleration, state-of-the-art 3D domain decomposition, and ensemble-level parallelization through built-in replica exchange and the separate Copernicus framework. The latest best-in-class compressed trajectory storage format is supported.","author":[{"dropping-particle":"","family":"Abraham","given":"Mark James","non-dropping-particle":"","parse-names":false,"suffix":""},{"dropping-particle":"","family":"Murtola","given":"Teemu","non-dropping-particle":"","parse-names":false,"suffix":""},{"dropping-particle":"","family":"Schulz","given":"Roland","non-dropping-particle":"","parse-names":false,"suffix":""},{"dropping-particle":"","family":"Páll","given":"Szilárd","non-dropping-particle":"","parse-names":false,"suffix":""},{"dropping-particle":"","family":"Smith","given":"Jeremy C.","non-dropping-particle":"","parse-names":false,"suffix":""},{"dropping-particle":"","family":"Hess","given":"Berk","non-dropping-particle":"","parse-names":false,"suffix":""},{"dropping-particle":"","family":"Lindah","given":"Erik","non-dropping-particle":"","parse-names":false,"suffix":""}],"container-title":"SoftwareX","id":"ITEM-1","issued":{"date-parts":[["2015","9","1"]]},"page":"19-25","publisher":"Elsevier","title":"GROMACS: High performance molecular simulations through multi-level parallelism from laptops to supercomputers","type":"article-journal","volume":"1-2"},"uris":["http://www.mendeley.com/documents/?uuid=e2cdc15d-55ed-3a7d-b366-0d7f8656791b"]}],"mendeley":{"formattedCitation":"&lt;sup&gt;41&lt;/sup&gt;","plainTextFormattedCitation":"41","previouslyFormattedCitation":"&lt;sup&gt;40&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41</w:t>
      </w:r>
      <w:r w:rsidRPr="009007F9">
        <w:rPr>
          <w:rFonts w:cs="Arial"/>
        </w:rPr>
        <w:fldChar w:fldCharType="end"/>
      </w:r>
      <w:r w:rsidRPr="009007F9">
        <w:rPr>
          <w:rFonts w:cs="Arial"/>
        </w:rPr>
        <w:t xml:space="preserve"> For enhanced sampling, including the possibility of sampling different orientations of the guest inside the binding pose, Hamiltonian replica exchange (HRE)</w:t>
      </w:r>
      <w:r w:rsidRPr="009007F9">
        <w:rPr>
          <w:rFonts w:cs="Arial"/>
        </w:rPr>
        <w:fldChar w:fldCharType="begin" w:fldLock="1"/>
      </w:r>
      <w:r w:rsidR="00E81BA1">
        <w:rPr>
          <w:rFonts w:cs="Arial"/>
        </w:rPr>
        <w:instrText>ADDIN CSL_CITATION {"citationItems":[{"id":"ITEM-1","itemData":{"DOI":"10.1063/1.1308516","ISSN":"0021-9606","abstract":"We have developed a new simulation algorithm for free-energy calculations. The method is a multidimensional extension of the replica-exchange method. While pairs of replicas with different temperat...","author":[{"dropping-particle":"","family":"Sugita","given":"Yuji","non-dropping-particle":"","parse-names":false,"suffix":""},{"dropping-particle":"","family":"Kitao","given":"Akio","non-dropping-particle":"","parse-names":false,"suffix":""},{"dropping-particle":"","family":"Okamoto","given":"Yuko","non-dropping-particle":"","parse-names":false,"suffix":""}],"container-title":"The Journal of Chemical Physics","id":"ITEM-1","issue":"15","issued":{"date-parts":[["2000","10","2"]]},"page":"6042","publisher":"American Institute of PhysicsAIP","title":"Multidimensional replica-exchange method for free-energy calculations","type":"article-journal","volume":"113"},"uris":["http://www.mendeley.com/documents/?uuid=c440becd-4074-3b2e-80e0-32d73cfdfd80"]},{"id":"ITEM-2","itemData":{"DOI":"10.1080/00268976.2013.824126","ISSN":"00268976","abstract":"A simple and general implementation of Hamiltonian replica exchange for the popular molecular dynamics software GROMACS is presented. In this implementation, arbitrarily different Hamiltonians can ...","author":[{"dropping-particle":"","family":"Bussi","given":"Giovanni","non-dropping-particle":"","parse-names":false,"suffix":""}],"container-title":"https://doi.org/10.1080/00268976.2013.824126","id":"ITEM-2","issue":"3-4","issued":{"date-parts":[["2013","2","16"]]},"page":"379-384","publisher":"Taylor &amp; Francis","title":"Hamiltonian replica exchange in GROMACS: a flexible implementation","type":"article-journal","volume":"112"},"uris":["http://www.mendeley.com/documents/?uuid=224914d9-ea09-39b1-a871-1a93a32e922d"]}],"mendeley":{"formattedCitation":"&lt;sup&gt;51,52&lt;/sup&gt;","plainTextFormattedCitation":"51,52","previouslyFormattedCitation":"&lt;sup&gt;50,51&lt;/sup&gt;"},"properties":{"noteIndex":0},"schema":"https://github.com/citation-style-language/schema/raw/master/csl-citation.json"}</w:instrText>
      </w:r>
      <w:r w:rsidRPr="009007F9">
        <w:rPr>
          <w:rFonts w:cs="Arial"/>
        </w:rPr>
        <w:fldChar w:fldCharType="separate"/>
      </w:r>
      <w:r w:rsidR="00E81BA1" w:rsidRPr="00E81BA1">
        <w:rPr>
          <w:rFonts w:cs="Arial"/>
          <w:noProof/>
          <w:vertAlign w:val="superscript"/>
        </w:rPr>
        <w:t>51,52</w:t>
      </w:r>
      <w:r w:rsidRPr="009007F9">
        <w:rPr>
          <w:rFonts w:cs="Arial"/>
        </w:rPr>
        <w:fldChar w:fldCharType="end"/>
      </w:r>
      <w:r w:rsidRPr="009007F9">
        <w:rPr>
          <w:rFonts w:cs="Arial"/>
        </w:rPr>
        <w:t xml:space="preserve"> was applied, with attempted exchanges of the Hamiltonians of neighboring λ-state</w:t>
      </w:r>
      <w:r w:rsidRPr="009007F9">
        <w:rPr>
          <w:rFonts w:eastAsiaTheme="minorEastAsia" w:cs="Arial"/>
        </w:rPr>
        <w:t>s every 1000 steps. All free energy changes (decoupling, activation of distance restraint) were estimated from the sampled potential energy differences between all λ-states using the MBAR estimator</w:t>
      </w:r>
      <w:r w:rsidRPr="009007F9">
        <w:rPr>
          <w:rFonts w:eastAsiaTheme="minorEastAsia" w:cs="Arial"/>
        </w:rPr>
        <w:fldChar w:fldCharType="begin" w:fldLock="1"/>
      </w:r>
      <w:r w:rsidR="00E81BA1">
        <w:rPr>
          <w:rFonts w:eastAsiaTheme="minorEastAsia" w:cs="Arial"/>
        </w:rPr>
        <w:instrText>ADDIN CSL_CITATION {"citationItems":[{"id":"ITEM-1","itemData":{"DOI":"10.1063/1.2978177","ISSN":"0021-9606","PMID":"19045004","abstract":"We present a new estimator for computing free energy differences and thermodynamic expectations as well as their uncertainties from samples obtained from multiple equilibrium states via either simu...","author":[{"dropping-particle":"","family":"Shirts","given":"Michael R.","non-dropping-particle":"","parse-names":false,"suffix":""},{"dropping-particle":"","family":"Chodera","given":"John D.","non-dropping-particle":"","parse-names":false,"suffix":""}],"container-title":"The Journal of Chemical Physics","id":"ITEM-1","issue":"12","issued":{"date-parts":[["2008","9","23"]]},"page":"124105","publisher":"American Institute of PhysicsAIP","title":"Statistically optimal analysis of samples from multiple equilibrium states","type":"article-journal","volume":"129"},"uris":["http://www.mendeley.com/documents/?uuid=7c670b71-7ff5-3c1b-86d4-af04bd4fb07e"]}],"mendeley":{"formattedCitation":"&lt;sup&gt;53&lt;/sup&gt;","plainTextFormattedCitation":"53","previouslyFormattedCitation":"&lt;sup&gt;52&lt;/sup&gt;"},"properties":{"noteIndex":0},"schema":"https://github.com/citation-style-language/schema/raw/master/csl-citation.json"}</w:instrText>
      </w:r>
      <w:r w:rsidRPr="009007F9">
        <w:rPr>
          <w:rFonts w:eastAsiaTheme="minorEastAsia" w:cs="Arial"/>
        </w:rPr>
        <w:fldChar w:fldCharType="separate"/>
      </w:r>
      <w:r w:rsidR="00E81BA1" w:rsidRPr="00E81BA1">
        <w:rPr>
          <w:rFonts w:eastAsiaTheme="minorEastAsia" w:cs="Arial"/>
          <w:noProof/>
          <w:vertAlign w:val="superscript"/>
        </w:rPr>
        <w:t>53</w:t>
      </w:r>
      <w:r w:rsidRPr="009007F9">
        <w:rPr>
          <w:rFonts w:eastAsiaTheme="minorEastAsia" w:cs="Arial"/>
        </w:rPr>
        <w:fldChar w:fldCharType="end"/>
      </w:r>
      <w:r w:rsidRPr="009007F9">
        <w:rPr>
          <w:rFonts w:eastAsiaTheme="minorEastAsia" w:cs="Arial"/>
        </w:rPr>
        <w:t xml:space="preserve"> as implemented in a freely available Python program.</w:t>
      </w:r>
      <w:r w:rsidRPr="009007F9">
        <w:rPr>
          <w:rFonts w:eastAsiaTheme="minorEastAsia" w:cs="Arial"/>
        </w:rPr>
        <w:fldChar w:fldCharType="begin" w:fldLock="1"/>
      </w:r>
      <w:r w:rsidR="00E81BA1">
        <w:rPr>
          <w:rFonts w:eastAsiaTheme="minorEastAsia" w:cs="Arial"/>
        </w:rPr>
        <w:instrText>ADDIN CSL_CITATION {"citationItems":[{"id":"ITEM-1","itemData":{"DOI":"10.1007/S10822-015-9840-9/FIGURES/10","ISSN":"15734951","PMID":"25808134","abstract":"Free energy calculations based on molecular dynamics simulations show considerable promise for applications ranging from drug discovery to prediction of physical properties and structure-function studies. But these calculations are still difficult and tedious to analyze, and best practices for analysis are not well defined or propagated. Essentially, each group analyzing these calculations needs to decide how to conduct the analysis and, usually, develop its own analysis tools. Here, we review and recommend best practices for analysis yielding reliable free energies from molecular simulations. Additionally, we provide a Python tool, alchemical-analysis.py, freely available on GitHub as part of the pymbar package (located at http://github.com/choderalab/pymbar), that implements the analysis practices reviewed here for several reference simulation packages, which can be adapted to handle data from other packages. Both this review and the tool covers analysis of alchemical calculations generally, including free energy estimates via both thermodynamic integration and free energy perturbation-based estimators. Our Python tool also handles output from multiple types of free energy calculations, including expanded ensemble and Hamiltonian replica exchange, as well as standard fixed ensemble calculations. We also survey a range of statistical and graphical ways of assessing the quality of the data and free energy estimates, and provide prototypes of these in our tool. We hope this tool and discussion will serve as a foundation for more standardization of and agreement on best practices for analysis of free energy calculations.","author":[{"dropping-particle":"V.","family":"Klimovich","given":"Pavel","non-dropping-particle":"","parse-names":false,"suffix":""},{"dropping-particle":"","family":"Shirts","given":"Michael R.","non-dropping-particle":"","parse-names":false,"suffix":""},{"dropping-particle":"","family":"Mobley","given":"David L.","non-dropping-particle":"","parse-names":false,"suffix":""}],"container-title":"Journal of Computer-Aided Molecular Design","id":"ITEM-1","issue":"5","issued":{"date-parts":[["2015","5","1"]]},"page":"397-411","publisher":"Kluwer Academic Publishers","title":"Guidelines for the analysis of free energy calculations","type":"article-journal","volume":"29"},"uris":["http://www.mendeley.com/documents/?uuid=6fb7a554-5e8c-30dd-9a31-2585b148e3b5"]}],"mendeley":{"formattedCitation":"&lt;sup&gt;54&lt;/sup&gt;","plainTextFormattedCitation":"54","previouslyFormattedCitation":"&lt;sup&gt;53&lt;/sup&gt;"},"properties":{"noteIndex":0},"schema":"https://github.com/citation-style-language/schema/raw/master/csl-citation.json"}</w:instrText>
      </w:r>
      <w:r w:rsidRPr="009007F9">
        <w:rPr>
          <w:rFonts w:eastAsiaTheme="minorEastAsia" w:cs="Arial"/>
        </w:rPr>
        <w:fldChar w:fldCharType="separate"/>
      </w:r>
      <w:r w:rsidR="00E81BA1" w:rsidRPr="00E81BA1">
        <w:rPr>
          <w:rFonts w:eastAsiaTheme="minorEastAsia" w:cs="Arial"/>
          <w:noProof/>
          <w:vertAlign w:val="superscript"/>
        </w:rPr>
        <w:t>54</w:t>
      </w:r>
      <w:r w:rsidRPr="009007F9">
        <w:rPr>
          <w:rFonts w:eastAsiaTheme="minorEastAsia" w:cs="Arial"/>
        </w:rPr>
        <w:fldChar w:fldCharType="end"/>
      </w:r>
      <w:r w:rsidRPr="009007F9">
        <w:rPr>
          <w:rFonts w:eastAsiaTheme="minorEastAsia" w:cs="Arial"/>
        </w:rPr>
        <w:t xml:space="preserve"> For selected systems, we also conducted complementary umbrella sampling (US) simulations combined with HRE among adjacent umbrella windows (denoted as HRE-US), and estimated </w:t>
      </w:r>
      <m:oMath>
        <m:r>
          <w:rPr>
            <w:rFonts w:ascii="Cambria Math" w:hAnsi="Cambria Math" w:cs="Arial"/>
          </w:rPr>
          <m:t>∆</m:t>
        </m:r>
        <m:sSubSup>
          <m:sSubSupPr>
            <m:ctrlPr>
              <w:rPr>
                <w:rFonts w:ascii="Cambria Math" w:hAnsi="Cambria Math" w:cs="Arial"/>
                <w:i/>
              </w:rPr>
            </m:ctrlPr>
          </m:sSubSupPr>
          <m:e>
            <m:r>
              <w:rPr>
                <w:rFonts w:ascii="Cambria Math" w:hAnsi="Cambria Math" w:cs="Arial"/>
              </w:rPr>
              <m:t>G</m:t>
            </m:r>
          </m:e>
          <m:sub>
            <m:r>
              <m:rPr>
                <m:sty m:val="p"/>
              </m:rPr>
              <w:rPr>
                <w:rFonts w:ascii="Cambria Math" w:hAnsi="Cambria Math" w:cs="Arial"/>
              </w:rPr>
              <m:t>bind</m:t>
            </m:r>
          </m:sub>
          <m:sup>
            <m:r>
              <w:rPr>
                <w:rFonts w:ascii="Cambria Math" w:hAnsi="Cambria Math" w:cs="Arial"/>
              </w:rPr>
              <m:t>0</m:t>
            </m:r>
          </m:sup>
        </m:sSubSup>
      </m:oMath>
      <w:r w:rsidRPr="009007F9">
        <w:rPr>
          <w:rFonts w:eastAsiaTheme="minorEastAsia" w:cs="Arial"/>
        </w:rPr>
        <w:t xml:space="preserve"> from the resulting one-dimensional free energy profile as done previously.</w:t>
      </w:r>
      <w:r w:rsidRPr="009007F9">
        <w:rPr>
          <w:rFonts w:eastAsiaTheme="minorEastAsia" w:cs="Arial"/>
        </w:rPr>
        <w:fldChar w:fldCharType="begin" w:fldLock="1"/>
      </w:r>
      <w:r w:rsidR="00E81BA1">
        <w:rPr>
          <w:rFonts w:eastAsiaTheme="minorEastAsia" w:cs="Arial"/>
        </w:rPr>
        <w:instrText>ADDIN CSL_CITATION {"citationItems":[{"id":"ITEM-1","itemData":{"DOI":"10.33011/LIVECOMS.1.2.11073","ISSN":"2575-6524","abstract":"The origins of different computational artifacts that may occur in the calculation of one-dimensional potentials of mean force (PMF) via umbrella sampling molecular dynamics simulations and manifest as free energy offset between bulk solvent regions are investigated. By systematic studies, three distinct causes are elucidated: (i) an unfortunate choice of reference points for the umbrella distance restraint; (ii) a misfit in probability distributions between bound and unbound umbrella windows in case of multiple binding modes; (iii) artifacts introduced by the free energy estimator. Starting with a fully symmetric model system consisting of methane binding to a cylindrical host, complexity is increased through the introduction of dipolar interactions between the host and the solvent, the host and the guest molecule or between all involved species, respectively. The manifestation of artifacts is illustrated and their origin and prevention is discussed. Finally, the consequences for the calculation of standard binding free enthalpies is illustrated using the complexation of primary alcohols with alpha-cyclodextrin as an example.","author":[{"dropping-particle":"","family":"Markthaler","given":"Daniel","non-dropping-particle":"","parse-names":false,"suffix":""},{"dropping-particle":"","family":"Jakobtorweihen","given":"Sven","non-dropping-particle":"","parse-names":false,"suffix":""},{"dropping-particle":"","family":"Hansen","given":"Niels","non-dropping-particle":"","parse-names":false,"suffix":""}],"container-title":"Living Journal of Computational Molecular Science","id":"ITEM-1","issue":"2","issued":{"date-parts":[["2019","11","21"]]},"page":"11073-11073","publisher":"University of Colorado at Boulder","title":"Lessons Learned from the Calculation of One-Dimensional Potentials of Mean Force [Article v1.0]","type":"article-journal","volume":"1"},"uris":["http://www.mendeley.com/documents/?uuid=8ae8516f-bde0-3d26-a5ea-4caed2fa694a"]}],"mendeley":{"formattedCitation":"&lt;sup&gt;55&lt;/sup&gt;","plainTextFormattedCitation":"55","previouslyFormattedCitation":"&lt;sup&gt;54&lt;/sup&gt;"},"properties":{"noteIndex":0},"schema":"https://github.com/citation-style-language/schema/raw/master/csl-citation.json"}</w:instrText>
      </w:r>
      <w:r w:rsidRPr="009007F9">
        <w:rPr>
          <w:rFonts w:eastAsiaTheme="minorEastAsia" w:cs="Arial"/>
        </w:rPr>
        <w:fldChar w:fldCharType="separate"/>
      </w:r>
      <w:r w:rsidR="00E81BA1" w:rsidRPr="00E81BA1">
        <w:rPr>
          <w:rFonts w:eastAsiaTheme="minorEastAsia" w:cs="Arial"/>
          <w:noProof/>
          <w:vertAlign w:val="superscript"/>
        </w:rPr>
        <w:t>55</w:t>
      </w:r>
      <w:r w:rsidRPr="009007F9">
        <w:rPr>
          <w:rFonts w:eastAsiaTheme="minorEastAsia" w:cs="Arial"/>
        </w:rPr>
        <w:fldChar w:fldCharType="end"/>
      </w:r>
      <w:r w:rsidRPr="009007F9">
        <w:rPr>
          <w:rFonts w:eastAsiaTheme="minorEastAsia" w:cs="Arial"/>
        </w:rPr>
        <w:t xml:space="preserve"> In all cases, results from HRE-US and DDM were found to be in good agreement (data not shown).</w:t>
      </w:r>
      <w:r>
        <w:rPr>
          <w:rFonts w:eastAsiaTheme="minorEastAsia" w:cs="Arial"/>
        </w:rPr>
        <w:br/>
      </w:r>
    </w:p>
    <w:p w14:paraId="371D4540" w14:textId="2F73CB69" w:rsidR="00823985" w:rsidRPr="004765AF" w:rsidRDefault="00147C7B" w:rsidP="004765AF">
      <w:pPr>
        <w:pStyle w:val="Heading1"/>
        <w:numPr>
          <w:ilvl w:val="0"/>
          <w:numId w:val="6"/>
        </w:numPr>
      </w:pPr>
      <w:bookmarkStart w:id="108" w:name="_Toc134623401"/>
      <w:r w:rsidRPr="004765AF">
        <w:lastRenderedPageBreak/>
        <w:t>Preparative scale biotransformations</w:t>
      </w:r>
      <w:r w:rsidR="006E5157" w:rsidRPr="004765AF">
        <w:t xml:space="preserve"> using</w:t>
      </w:r>
      <w:r w:rsidR="00664361" w:rsidRPr="004765AF">
        <w:t xml:space="preserve"> lyophilized </w:t>
      </w:r>
      <w:r w:rsidR="00664361" w:rsidRPr="004765AF">
        <w:rPr>
          <w:i/>
          <w:iCs/>
        </w:rPr>
        <w:t>E. coli</w:t>
      </w:r>
      <w:r w:rsidR="00664361" w:rsidRPr="004765AF">
        <w:t xml:space="preserve"> cell</w:t>
      </w:r>
      <w:r w:rsidR="00EB59D5" w:rsidRPr="004765AF">
        <w:t>s</w:t>
      </w:r>
      <w:r w:rsidR="00664361" w:rsidRPr="004765AF">
        <w:t xml:space="preserve"> harboring the</w:t>
      </w:r>
      <w:r w:rsidR="006E5157" w:rsidRPr="004765AF">
        <w:t xml:space="preserve"> </w:t>
      </w:r>
      <w:r w:rsidR="006E5157" w:rsidRPr="004765AF">
        <w:rPr>
          <w:i/>
          <w:iCs/>
        </w:rPr>
        <w:t>Aac</w:t>
      </w:r>
      <w:r w:rsidR="006E5157" w:rsidRPr="004765AF">
        <w:t>SHC variants</w:t>
      </w:r>
      <w:r w:rsidR="0045379B" w:rsidRPr="004765AF">
        <w:t>.</w:t>
      </w:r>
      <w:bookmarkEnd w:id="108"/>
    </w:p>
    <w:p w14:paraId="1756D35E" w14:textId="74280CF5" w:rsidR="00304A51" w:rsidRPr="00304A51" w:rsidRDefault="0045379B" w:rsidP="007D74A4">
      <w:pPr>
        <w:rPr>
          <w:szCs w:val="24"/>
        </w:rPr>
      </w:pPr>
      <w:r w:rsidRPr="002F6E57">
        <w:rPr>
          <w:b/>
          <w:bCs/>
          <w:noProof/>
        </w:rPr>
        <w:drawing>
          <wp:anchor distT="0" distB="0" distL="114300" distR="114300" simplePos="0" relativeHeight="251658240" behindDoc="0" locked="0" layoutInCell="1" allowOverlap="1" wp14:anchorId="49A36D2D" wp14:editId="7E5B6C9C">
            <wp:simplePos x="0" y="0"/>
            <wp:positionH relativeFrom="column">
              <wp:posOffset>111125</wp:posOffset>
            </wp:positionH>
            <wp:positionV relativeFrom="paragraph">
              <wp:posOffset>19200</wp:posOffset>
            </wp:positionV>
            <wp:extent cx="2081606" cy="2775473"/>
            <wp:effectExtent l="0" t="0" r="0" b="6350"/>
            <wp:wrapSquare wrapText="bothSides"/>
            <wp:docPr id="71" name="Picture 71">
              <a:extLst xmlns:a="http://schemas.openxmlformats.org/drawingml/2006/main">
                <a:ext uri="{FF2B5EF4-FFF2-40B4-BE49-F238E27FC236}">
                  <a16:creationId xmlns:a16="http://schemas.microsoft.com/office/drawing/2014/main" id="{506AFEC5-328C-EF4F-D519-A18AFF371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06AFEC5-328C-EF4F-D519-A18AFF371E17}"/>
                        </a:ext>
                      </a:extLst>
                    </pic:cNvPr>
                    <pic:cNvPicPr>
                      <a:picLocks noChangeAspect="1"/>
                    </pic:cNvPicPr>
                  </pic:nvPicPr>
                  <pic:blipFill>
                    <a:blip r:embed="rId27"/>
                    <a:stretch>
                      <a:fillRect/>
                    </a:stretch>
                  </pic:blipFill>
                  <pic:spPr>
                    <a:xfrm>
                      <a:off x="0" y="0"/>
                      <a:ext cx="2081606" cy="2775473"/>
                    </a:xfrm>
                    <a:prstGeom prst="rect">
                      <a:avLst/>
                    </a:prstGeom>
                  </pic:spPr>
                </pic:pic>
              </a:graphicData>
            </a:graphic>
            <wp14:sizeRelH relativeFrom="page">
              <wp14:pctWidth>0</wp14:pctWidth>
            </wp14:sizeRelH>
            <wp14:sizeRelV relativeFrom="page">
              <wp14:pctHeight>0</wp14:pctHeight>
            </wp14:sizeRelV>
          </wp:anchor>
        </w:drawing>
      </w:r>
      <w:r w:rsidR="00823985" w:rsidRPr="009007F9">
        <w:rPr>
          <w:b/>
          <w:bCs/>
          <w:sz w:val="20"/>
          <w:szCs w:val="20"/>
        </w:rPr>
        <w:t>Reactor conditions</w:t>
      </w:r>
      <w:r w:rsidR="00EB59D5">
        <w:rPr>
          <w:b/>
          <w:bCs/>
          <w:sz w:val="20"/>
          <w:szCs w:val="20"/>
        </w:rPr>
        <w:t>:</w:t>
      </w:r>
      <w:r w:rsidR="00823985" w:rsidRPr="009007F9">
        <w:rPr>
          <w:b/>
          <w:bCs/>
          <w:sz w:val="20"/>
          <w:szCs w:val="20"/>
        </w:rPr>
        <w:t xml:space="preserve"> </w:t>
      </w:r>
      <w:r w:rsidR="003E6950">
        <w:rPr>
          <w:szCs w:val="24"/>
        </w:rPr>
        <w:t>To a</w:t>
      </w:r>
      <w:r>
        <w:rPr>
          <w:szCs w:val="24"/>
        </w:rPr>
        <w:t>n</w:t>
      </w:r>
      <w:r w:rsidR="003E6950">
        <w:rPr>
          <w:szCs w:val="24"/>
        </w:rPr>
        <w:t xml:space="preserve"> Infors HT 5L equipped with Infors AG CH-4103 were added 50 g</w:t>
      </w:r>
      <w:r w:rsidR="003E6950">
        <w:rPr>
          <w:szCs w:val="24"/>
          <w:vertAlign w:val="subscript"/>
        </w:rPr>
        <w:t>CDW</w:t>
      </w:r>
      <w:r w:rsidR="003E6950">
        <w:rPr>
          <w:szCs w:val="24"/>
        </w:rPr>
        <w:t xml:space="preserve">, 5 L </w:t>
      </w:r>
      <w:r w:rsidR="003E6950" w:rsidRPr="008C7982">
        <w:rPr>
          <w:i/>
          <w:iCs/>
          <w:szCs w:val="24"/>
        </w:rPr>
        <w:t>dd</w:t>
      </w:r>
      <w:r w:rsidR="003E6950">
        <w:rPr>
          <w:szCs w:val="24"/>
        </w:rPr>
        <w:t>H</w:t>
      </w:r>
      <w:r w:rsidR="003E6950">
        <w:rPr>
          <w:szCs w:val="24"/>
          <w:vertAlign w:val="subscript"/>
        </w:rPr>
        <w:t>2</w:t>
      </w:r>
      <w:r w:rsidR="003E6950">
        <w:rPr>
          <w:szCs w:val="24"/>
        </w:rPr>
        <w:t>O, 25</w:t>
      </w:r>
      <w:r>
        <w:rPr>
          <w:szCs w:val="24"/>
        </w:rPr>
        <w:t> </w:t>
      </w:r>
      <w:r w:rsidR="003E6950">
        <w:rPr>
          <w:szCs w:val="24"/>
        </w:rPr>
        <w:t xml:space="preserve">g substrate </w:t>
      </w:r>
      <w:r w:rsidR="003E6950" w:rsidRPr="0045379B">
        <w:rPr>
          <w:b/>
          <w:bCs/>
          <w:szCs w:val="24"/>
        </w:rPr>
        <w:t>17</w:t>
      </w:r>
      <w:r w:rsidR="003E6950">
        <w:rPr>
          <w:szCs w:val="24"/>
        </w:rPr>
        <w:t xml:space="preserve"> and 70</w:t>
      </w:r>
      <w:r>
        <w:rPr>
          <w:szCs w:val="24"/>
        </w:rPr>
        <w:t> </w:t>
      </w:r>
      <w:r w:rsidR="003E6950">
        <w:rPr>
          <w:szCs w:val="24"/>
        </w:rPr>
        <w:t>g of 2-hydroxypropyl-</w:t>
      </w:r>
      <w:r w:rsidR="003E6950">
        <w:rPr>
          <w:rFonts w:cs="Arial"/>
          <w:szCs w:val="24"/>
        </w:rPr>
        <w:t>β</w:t>
      </w:r>
      <w:r w:rsidR="003E6950">
        <w:rPr>
          <w:szCs w:val="24"/>
        </w:rPr>
        <w:t xml:space="preserve">-cyclodextrin. The reactor was warmed to 30 °C and the reaction was stirred at 100 rpm for 84 days. 100 µL samples were taken and extracted to measure reaction progress. For reaction progress see Fig. 3 in the main text. </w:t>
      </w:r>
      <w:r w:rsidR="00F70A2F">
        <w:rPr>
          <w:szCs w:val="24"/>
        </w:rPr>
        <w:t>The reaction was extracted with ethyl acetate</w:t>
      </w:r>
      <w:r w:rsidR="00B1086B">
        <w:rPr>
          <w:szCs w:val="24"/>
        </w:rPr>
        <w:t xml:space="preserve"> by overlaying and slowly stirring the cells/organic solvent mixture, to avoid </w:t>
      </w:r>
      <w:r w:rsidR="000647CA">
        <w:rPr>
          <w:szCs w:val="24"/>
        </w:rPr>
        <w:t>phase mixture.</w:t>
      </w:r>
      <w:r w:rsidR="00C551F2">
        <w:rPr>
          <w:szCs w:val="24"/>
        </w:rPr>
        <w:t xml:space="preserve"> The organic phase was dried over Mg</w:t>
      </w:r>
      <w:r w:rsidR="00C551F2" w:rsidRPr="00C551F2">
        <w:rPr>
          <w:szCs w:val="24"/>
          <w:vertAlign w:val="subscript"/>
        </w:rPr>
        <w:t>2</w:t>
      </w:r>
      <w:r w:rsidR="00C551F2">
        <w:rPr>
          <w:szCs w:val="24"/>
        </w:rPr>
        <w:t>SO</w:t>
      </w:r>
      <w:r w:rsidR="00C551F2">
        <w:rPr>
          <w:szCs w:val="24"/>
          <w:vertAlign w:val="subscript"/>
        </w:rPr>
        <w:t>4</w:t>
      </w:r>
      <w:r w:rsidR="00C551F2">
        <w:rPr>
          <w:szCs w:val="24"/>
        </w:rPr>
        <w:t xml:space="preserve"> and </w:t>
      </w:r>
      <w:r w:rsidR="00025AC0">
        <w:rPr>
          <w:szCs w:val="24"/>
        </w:rPr>
        <w:t xml:space="preserve">purified via silica flash column (10:1, cyclohexane : ethyl acetate). </w:t>
      </w:r>
      <w:r w:rsidR="00C02C19">
        <w:rPr>
          <w:szCs w:val="24"/>
        </w:rPr>
        <w:t>Product</w:t>
      </w:r>
      <w:r w:rsidR="000647CA">
        <w:rPr>
          <w:szCs w:val="24"/>
        </w:rPr>
        <w:t xml:space="preserve"> </w:t>
      </w:r>
      <w:r w:rsidR="000647CA" w:rsidRPr="000647CA">
        <w:rPr>
          <w:b/>
          <w:bCs/>
          <w:szCs w:val="24"/>
        </w:rPr>
        <w:t>18</w:t>
      </w:r>
      <w:r w:rsidR="00B1086B">
        <w:rPr>
          <w:szCs w:val="24"/>
        </w:rPr>
        <w:t xml:space="preserve"> </w:t>
      </w:r>
      <w:r w:rsidR="00C02C19">
        <w:rPr>
          <w:szCs w:val="24"/>
        </w:rPr>
        <w:t xml:space="preserve">was obtained </w:t>
      </w:r>
      <w:r w:rsidR="00025AC0">
        <w:rPr>
          <w:szCs w:val="24"/>
        </w:rPr>
        <w:t>as colorless oil</w:t>
      </w:r>
      <w:r w:rsidR="00C02C19">
        <w:rPr>
          <w:szCs w:val="24"/>
        </w:rPr>
        <w:t xml:space="preserve"> </w:t>
      </w:r>
      <w:r w:rsidR="00823947">
        <w:rPr>
          <w:szCs w:val="24"/>
        </w:rPr>
        <w:t>22.4 g (</w:t>
      </w:r>
      <w:r w:rsidR="00313B85">
        <w:rPr>
          <w:szCs w:val="24"/>
        </w:rPr>
        <w:t>115 mmol, 89.6%).</w:t>
      </w:r>
      <w:r w:rsidR="00304A51">
        <w:rPr>
          <w:szCs w:val="24"/>
        </w:rPr>
        <w:br/>
      </w:r>
    </w:p>
    <w:p w14:paraId="119D2602" w14:textId="77777777" w:rsidR="00823985" w:rsidRDefault="006E0274" w:rsidP="007D74A4">
      <w:r w:rsidRPr="007D74A4">
        <w:rPr>
          <w:b/>
          <w:bCs/>
        </w:rPr>
        <w:t>General procedure of preparative scale biotransformation</w:t>
      </w:r>
      <w:r w:rsidR="00823985">
        <w:t>.</w:t>
      </w:r>
    </w:p>
    <w:p w14:paraId="30C52F85" w14:textId="046E3F86" w:rsidR="00F70238" w:rsidRDefault="006E0274" w:rsidP="00F70238">
      <w:r>
        <w:t xml:space="preserve">After the </w:t>
      </w:r>
      <w:r w:rsidR="00686EB7">
        <w:t xml:space="preserve">product </w:t>
      </w:r>
      <w:r>
        <w:t xml:space="preserve">selective </w:t>
      </w:r>
      <w:r w:rsidR="00686EB7" w:rsidRPr="00686EB7">
        <w:rPr>
          <w:i/>
          <w:iCs/>
        </w:rPr>
        <w:t>Aac</w:t>
      </w:r>
      <w:r>
        <w:t>SHC variant was identified, it was produced</w:t>
      </w:r>
      <w:r w:rsidR="00E12F39">
        <w:t xml:space="preserve"> in </w:t>
      </w:r>
      <w:r w:rsidR="00E12F39" w:rsidRPr="00E12F39">
        <w:rPr>
          <w:i/>
          <w:iCs/>
        </w:rPr>
        <w:t>E. coli</w:t>
      </w:r>
      <w:r>
        <w:t xml:space="preserve"> in large scale</w:t>
      </w:r>
      <w:r w:rsidR="00E12F39">
        <w:t xml:space="preserve"> </w:t>
      </w:r>
      <w:r>
        <w:t xml:space="preserve">(6-12 Erlenmeyer flasks) following the protocol </w:t>
      </w:r>
      <w:r w:rsidR="007D74A4">
        <w:t>described above</w:t>
      </w:r>
      <w:r>
        <w:t xml:space="preserve">. The resulting cell pellets were lyophilized </w:t>
      </w:r>
      <w:r w:rsidR="00410CC1">
        <w:t>afterwards, and the enzyme concentration was determined via the thermolysis protocol (see above)</w:t>
      </w:r>
      <w:r>
        <w:t xml:space="preserve">. The reaction mixture contained a given amount </w:t>
      </w:r>
      <w:r w:rsidR="00A9115A">
        <w:t xml:space="preserve">of </w:t>
      </w:r>
      <w:r>
        <w:t xml:space="preserve">cells, the given amount </w:t>
      </w:r>
      <w:r w:rsidR="00A9115A">
        <w:t xml:space="preserve">of </w:t>
      </w:r>
      <w:r>
        <w:t xml:space="preserve">substrate, </w:t>
      </w:r>
      <w:r w:rsidR="00397594">
        <w:t>and optionally a given</w:t>
      </w:r>
      <w:r>
        <w:t xml:space="preserve"> amount</w:t>
      </w:r>
      <w:r w:rsidR="00397594">
        <w:t xml:space="preserve"> of</w:t>
      </w:r>
      <w:r>
        <w:t xml:space="preserve"> 2-HPCD</w:t>
      </w:r>
      <w:r w:rsidR="00E84CB9">
        <w:t xml:space="preserve"> </w:t>
      </w:r>
      <w:r w:rsidR="00A9115A">
        <w:t xml:space="preserve">or </w:t>
      </w:r>
      <w:r w:rsidR="00E84CB9">
        <w:t xml:space="preserve">citrate </w:t>
      </w:r>
      <w:r w:rsidR="00A9115A">
        <w:t>buffer</w:t>
      </w:r>
      <w:r>
        <w:t xml:space="preserve">. The reactions were performed in closed </w:t>
      </w:r>
      <w:r w:rsidR="001F40AD">
        <w:t>1</w:t>
      </w:r>
      <w:r w:rsidR="00307304">
        <w:t xml:space="preserve">00 mL </w:t>
      </w:r>
      <w:r w:rsidR="002F0272">
        <w:t>or</w:t>
      </w:r>
      <w:r w:rsidR="00307304">
        <w:t xml:space="preserve"> 1L</w:t>
      </w:r>
      <w:r w:rsidR="002F0272">
        <w:t xml:space="preserve"> </w:t>
      </w:r>
      <w:r>
        <w:t xml:space="preserve">Schott-flasks in an INFORS-HT incubator at 180 rpm for the given time. After the reaction was finished (GC-control) the cell suspension was </w:t>
      </w:r>
      <w:r w:rsidR="001F40AD">
        <w:t>overlayed with</w:t>
      </w:r>
      <w:r w:rsidR="0011786E">
        <w:t xml:space="preserve"> 50 mL or 500 mL </w:t>
      </w:r>
      <w:r w:rsidR="001F40AD">
        <w:t>cyclohexane:ethyl aceta</w:t>
      </w:r>
      <w:r w:rsidR="009C7134">
        <w:t>te (1:1) and stirred slowly</w:t>
      </w:r>
      <w:r w:rsidR="0011786E">
        <w:t xml:space="preserve"> to avoid </w:t>
      </w:r>
      <w:r w:rsidR="00DD2ADF">
        <w:t>mixing of the phases</w:t>
      </w:r>
      <w:r w:rsidR="009C7134">
        <w:t xml:space="preserve"> for 24 h</w:t>
      </w:r>
      <w:r>
        <w:t>.</w:t>
      </w:r>
      <w:r w:rsidR="009C7134">
        <w:t xml:space="preserve"> The </w:t>
      </w:r>
      <w:r w:rsidR="00FC3228">
        <w:t xml:space="preserve">organic phase was </w:t>
      </w:r>
      <w:r w:rsidR="00DC776A">
        <w:t>dried over MgSO</w:t>
      </w:r>
      <w:r w:rsidR="00DC776A">
        <w:rPr>
          <w:vertAlign w:val="subscript"/>
        </w:rPr>
        <w:t>4</w:t>
      </w:r>
      <w:r w:rsidR="00DC776A">
        <w:t xml:space="preserve">, reduced, and the crude products were </w:t>
      </w:r>
      <w:r w:rsidR="002700A0">
        <w:t>analyzed via GC prior to column chromatography</w:t>
      </w:r>
      <w:r w:rsidR="00AF710C">
        <w:t xml:space="preserve"> (20:1 cyclohexane:ethyl acetate)</w:t>
      </w:r>
      <w:r w:rsidR="002700A0">
        <w:t xml:space="preserve">. </w:t>
      </w:r>
      <w:r>
        <w:t>GC yield</w:t>
      </w:r>
      <w:r w:rsidR="00410CC1">
        <w:t xml:space="preserve"> is given below the reaction arrows and</w:t>
      </w:r>
      <w:r w:rsidR="002700A0">
        <w:t xml:space="preserve"> was </w:t>
      </w:r>
      <w:r>
        <w:t>determined by</w:t>
      </w:r>
      <w:r w:rsidR="00497B17">
        <w:t xml:space="preserve"> [area</w:t>
      </w:r>
      <w:r w:rsidR="00497B17" w:rsidRPr="00497B17">
        <w:rPr>
          <w:vertAlign w:val="subscript"/>
        </w:rPr>
        <w:t>product</w:t>
      </w:r>
      <w:r w:rsidR="00497B17">
        <w:t>]:[area</w:t>
      </w:r>
      <w:r w:rsidR="00497B17" w:rsidRPr="00497B17">
        <w:rPr>
          <w:vertAlign w:val="subscript"/>
        </w:rPr>
        <w:t>substrate</w:t>
      </w:r>
      <w:r w:rsidR="00497B17">
        <w:t>+area</w:t>
      </w:r>
      <w:r w:rsidR="00497B17" w:rsidRPr="00497B17">
        <w:rPr>
          <w:vertAlign w:val="subscript"/>
        </w:rPr>
        <w:t>product</w:t>
      </w:r>
      <w:r w:rsidR="00497B17">
        <w:t>]</w:t>
      </w:r>
      <w:r>
        <w:t xml:space="preserve">. </w:t>
      </w:r>
      <w:r w:rsidR="000C72BD">
        <w:t>A</w:t>
      </w:r>
      <w:r w:rsidR="00051B39">
        <w:t xml:space="preserve"> comprehensive</w:t>
      </w:r>
      <w:r w:rsidR="000C72BD">
        <w:t xml:space="preserve"> summary of </w:t>
      </w:r>
      <w:r w:rsidR="00051B39">
        <w:t xml:space="preserve">the reaction conditions and yields can be found in Supporting </w:t>
      </w:r>
      <w:r w:rsidR="00051B39" w:rsidRPr="00665995">
        <w:t>Table S</w:t>
      </w:r>
      <w:r w:rsidR="00665995" w:rsidRPr="00665995">
        <w:t>3</w:t>
      </w:r>
      <w:r w:rsidR="00051B39">
        <w:t>.</w:t>
      </w:r>
      <w:r w:rsidR="00165F9F">
        <w:t xml:space="preserve"> </w:t>
      </w:r>
      <w:r w:rsidR="00C47F4B">
        <w:t xml:space="preserve">If not </w:t>
      </w:r>
      <w:r w:rsidR="00165F9F">
        <w:t xml:space="preserve">Asterisks </w:t>
      </w:r>
      <w:r w:rsidR="00390C6E">
        <w:t xml:space="preserve">mean no determination via chiral GC but </w:t>
      </w:r>
      <w:r w:rsidR="00F41CC7">
        <w:t>suggesting</w:t>
      </w:r>
      <w:r w:rsidR="00665995">
        <w:t xml:space="preserve"> the chiral</w:t>
      </w:r>
      <w:r w:rsidR="00F41CC7">
        <w:t xml:space="preserve"> due to</w:t>
      </w:r>
      <w:r w:rsidR="00071493">
        <w:t xml:space="preserve"> the</w:t>
      </w:r>
      <w:r w:rsidR="00F41CC7">
        <w:t xml:space="preserve"> inherent ability of the SHC</w:t>
      </w:r>
      <w:r w:rsidR="00071493">
        <w:t xml:space="preserve"> to produce only one enantiomer </w:t>
      </w:r>
      <w:r w:rsidR="00844907">
        <w:t>facilitated by the strongly confined active site</w:t>
      </w:r>
      <w:r w:rsidR="00303B46">
        <w:t>.</w:t>
      </w:r>
      <w:r w:rsidR="00303B46">
        <w:fldChar w:fldCharType="begin" w:fldLock="1"/>
      </w:r>
      <w:r w:rsidR="00E81BA1">
        <w:instrText>ADDIN CSL_CITATION {"citationItems":[{"id":"ITEM-1","itemData":{"DOI":"10.1016/j","ISBN":"1605016055","ISSN":"00083550","PMID":"9609829","abstract":"The membrane protein squalene-hopene cyclase was cocrystallized with 2-azasqualene and analyzed by X-ray diffraction to 2.13 A˚ resolution. The conforma- tion of this close analog was clearly established, and it agreed with the common textbook presentation. The bound squalene undergoes only small conformational changes during the formation of rings A through D, thus requiring no intermediate. However, ring E forma- tion is hindered by an entropic barrier, which may explain its absence in the steroids. The structure anal- ysis revealed a mobile region between the active cen- ter cavity and the membrane, which may melt, opening a passage for squalene and hopene.","author":[{"dropping-particle":"","family":"Reinert","given":"Dirk J.","non-dropping-particle":"","parse-names":false,"suffix":""},{"dropping-particle":"","family":"Balliano","given":"Gianni","non-dropping-particle":"","parse-names":false,"suffix":""},{"dropping-particle":"","family":"Schulz","given":"Georg E.","non-dropping-particle":"","parse-names":false,"suffix":""}],"container-title":"Chemistry &amp; Biology","id":"ITEM-1","issued":{"date-parts":[["2004"]]},"note":"NULL","page":"121-126","title":"Conversion of Squalene to the Pentacarbocyclic Hopene","type":"article-journal","volume":"11"},"uris":["http://www.mendeley.com/documents/?uuid=4bd6bc41-a356-46d2-93df-ecb6cb356a61"]}],"mendeley":{"formattedCitation":"&lt;sup&gt;56&lt;/sup&gt;","plainTextFormattedCitation":"56","previouslyFormattedCitation":"&lt;sup&gt;55&lt;/sup&gt;"},"properties":{"noteIndex":0},"schema":"https://github.com/citation-style-language/schema/raw/master/csl-citation.json"}</w:instrText>
      </w:r>
      <w:r w:rsidR="00303B46">
        <w:fldChar w:fldCharType="separate"/>
      </w:r>
      <w:r w:rsidR="00E81BA1" w:rsidRPr="00E81BA1">
        <w:rPr>
          <w:noProof/>
          <w:vertAlign w:val="superscript"/>
        </w:rPr>
        <w:t>56</w:t>
      </w:r>
      <w:r w:rsidR="00303B46">
        <w:fldChar w:fldCharType="end"/>
      </w:r>
      <w:r w:rsidR="00304A51">
        <w:br/>
      </w:r>
    </w:p>
    <w:p w14:paraId="07923214" w14:textId="7BA49CFE" w:rsidR="004771B9" w:rsidRPr="004771B9" w:rsidRDefault="00C47F4B" w:rsidP="004771B9">
      <w:pPr>
        <w:pStyle w:val="Heading2"/>
        <w:rPr>
          <w:lang w:val="en-US"/>
        </w:rPr>
      </w:pPr>
      <w:bookmarkStart w:id="109" w:name="_Toc134623402"/>
      <w:r>
        <w:rPr>
          <w:lang w:val="en-US"/>
        </w:rPr>
        <w:lastRenderedPageBreak/>
        <w:t>6</w:t>
      </w:r>
      <w:r w:rsidR="004771B9" w:rsidRPr="004771B9">
        <w:rPr>
          <w:lang w:val="en-US"/>
        </w:rPr>
        <w:t xml:space="preserve"> with G600R</w:t>
      </w:r>
      <w:r>
        <w:rPr>
          <w:lang w:val="en-US"/>
        </w:rPr>
        <w:t xml:space="preserve"> to</w:t>
      </w:r>
      <w:r w:rsidR="005E248E">
        <w:rPr>
          <w:lang w:val="en-US"/>
        </w:rPr>
        <w:t xml:space="preserve"> cy</w:t>
      </w:r>
      <w:r w:rsidR="00E90CC7">
        <w:rPr>
          <w:lang w:val="en-US"/>
        </w:rPr>
        <w:t>clogeranyl acetate hydrate (7)</w:t>
      </w:r>
      <w:bookmarkEnd w:id="109"/>
    </w:p>
    <w:p w14:paraId="25CBEB29" w14:textId="2587699A" w:rsidR="00593680" w:rsidRDefault="005E248E" w:rsidP="000C72BD">
      <w:pPr>
        <w:jc w:val="center"/>
        <w:rPr>
          <w:noProof/>
        </w:rPr>
      </w:pPr>
      <w:r>
        <w:rPr>
          <w:noProof/>
        </w:rPr>
        <w:object w:dxaOrig="5685" w:dyaOrig="1989" w14:anchorId="1EC66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81.05pt;height:102.2pt" o:ole="">
            <v:imagedata r:id="rId28" o:title=""/>
          </v:shape>
          <o:OLEObject Type="Embed" ProgID="ChemDraw.Document.6.0" ShapeID="_x0000_i1025" DrawAspect="Content" ObjectID="_1745237613" r:id="rId29"/>
        </w:object>
      </w:r>
    </w:p>
    <w:p w14:paraId="65B6A3DD" w14:textId="5D66AA52" w:rsidR="00981585" w:rsidRPr="00B22E26" w:rsidRDefault="00981585" w:rsidP="00981585">
      <w:pPr>
        <w:rPr>
          <w:rFonts w:cs="Arial"/>
          <w:bCs/>
          <w:szCs w:val="24"/>
        </w:rPr>
      </w:pPr>
      <w:r>
        <w:t>Product</w:t>
      </w:r>
      <w:r w:rsidR="00076937">
        <w:t xml:space="preserve"> X</w:t>
      </w:r>
      <w:r>
        <w:t xml:space="preserve"> was obtained as </w:t>
      </w:r>
      <w:r w:rsidR="000E3B79">
        <w:t xml:space="preserve">colorless </w:t>
      </w:r>
      <w:r w:rsidR="0080168A">
        <w:t>oil</w:t>
      </w:r>
      <w:r w:rsidR="000E3B79">
        <w:t>.</w:t>
      </w:r>
      <w:r w:rsidR="00D204AC">
        <w:t xml:space="preserve"> C</w:t>
      </w:r>
      <w:r w:rsidR="00D204AC">
        <w:rPr>
          <w:vertAlign w:val="subscript"/>
        </w:rPr>
        <w:t>12</w:t>
      </w:r>
      <w:r w:rsidR="00D204AC">
        <w:t>H</w:t>
      </w:r>
      <w:r w:rsidR="00D204AC">
        <w:rPr>
          <w:vertAlign w:val="subscript"/>
        </w:rPr>
        <w:t>22</w:t>
      </w:r>
      <w:r w:rsidR="00D204AC">
        <w:t>O</w:t>
      </w:r>
      <w:r w:rsidR="00D204AC">
        <w:rPr>
          <w:vertAlign w:val="subscript"/>
        </w:rPr>
        <w:t>3</w:t>
      </w:r>
      <w:r w:rsidR="000E3B79">
        <w:t xml:space="preserve"> </w:t>
      </w:r>
      <w:r w:rsidR="00B22E26" w:rsidRPr="007750E9">
        <w:rPr>
          <w:rFonts w:cs="Arial"/>
          <w:b/>
          <w:szCs w:val="24"/>
          <w:vertAlign w:val="superscript"/>
        </w:rPr>
        <w:t>1</w:t>
      </w:r>
      <w:r w:rsidR="00B22E26" w:rsidRPr="007750E9">
        <w:rPr>
          <w:rFonts w:cs="Arial"/>
          <w:b/>
          <w:szCs w:val="24"/>
        </w:rPr>
        <w:t>H-NMR</w:t>
      </w:r>
      <w:r w:rsidR="00B22E26" w:rsidRPr="007750E9">
        <w:rPr>
          <w:rFonts w:cs="Arial"/>
          <w:bCs/>
          <w:szCs w:val="24"/>
        </w:rPr>
        <w:t xml:space="preserve"> (</w:t>
      </w:r>
      <w:r w:rsidR="00B22E26" w:rsidRPr="007750E9">
        <w:rPr>
          <w:rFonts w:cs="Arial"/>
          <w:b/>
          <w:szCs w:val="24"/>
        </w:rPr>
        <w:t>CDCl</w:t>
      </w:r>
      <w:r w:rsidR="00B22E26" w:rsidRPr="007750E9">
        <w:rPr>
          <w:rFonts w:cs="Arial"/>
          <w:b/>
          <w:szCs w:val="24"/>
          <w:vertAlign w:val="subscript"/>
        </w:rPr>
        <w:t>3</w:t>
      </w:r>
      <w:r w:rsidR="00B22E26" w:rsidRPr="007750E9">
        <w:rPr>
          <w:rFonts w:cs="Arial"/>
          <w:bCs/>
          <w:szCs w:val="24"/>
        </w:rPr>
        <w:t xml:space="preserve">, </w:t>
      </w:r>
      <w:r w:rsidR="00B22E26" w:rsidRPr="007750E9">
        <w:rPr>
          <w:rFonts w:cs="Arial"/>
          <w:b/>
          <w:szCs w:val="24"/>
        </w:rPr>
        <w:t>500 MHz</w:t>
      </w:r>
      <w:r w:rsidR="00B22E26" w:rsidRPr="007750E9">
        <w:rPr>
          <w:rFonts w:cs="Arial"/>
          <w:bCs/>
          <w:szCs w:val="24"/>
        </w:rPr>
        <w:t xml:space="preserve">): </w:t>
      </w:r>
      <w:r w:rsidR="00B22E26" w:rsidRPr="00CA43D4">
        <w:rPr>
          <w:rFonts w:cs="Arial"/>
          <w:szCs w:val="24"/>
        </w:rPr>
        <w:t>δ (ppm)</w:t>
      </w:r>
      <w:r w:rsidR="00B22E26" w:rsidRPr="00CA43D4">
        <w:rPr>
          <w:rFonts w:cs="Arial"/>
          <w:b/>
          <w:szCs w:val="24"/>
        </w:rPr>
        <w:t xml:space="preserve"> </w:t>
      </w:r>
      <w:r w:rsidR="00B22E26" w:rsidRPr="00CA43D4">
        <w:rPr>
          <w:rFonts w:cs="Arial"/>
          <w:szCs w:val="24"/>
        </w:rPr>
        <w:t>0.8</w:t>
      </w:r>
      <w:r w:rsidR="00B22E26">
        <w:rPr>
          <w:rFonts w:cs="Arial"/>
          <w:szCs w:val="24"/>
        </w:rPr>
        <w:t>6</w:t>
      </w:r>
      <w:r w:rsidR="00B22E26" w:rsidRPr="00CA43D4">
        <w:rPr>
          <w:rFonts w:cs="Arial"/>
          <w:szCs w:val="24"/>
        </w:rPr>
        <w:t xml:space="preserve"> (s, 3H), </w:t>
      </w:r>
      <w:r w:rsidR="00B22E26">
        <w:rPr>
          <w:rFonts w:cs="Arial"/>
          <w:szCs w:val="24"/>
        </w:rPr>
        <w:t>1.0</w:t>
      </w:r>
      <w:r w:rsidR="009D5A26">
        <w:rPr>
          <w:rFonts w:cs="Arial"/>
          <w:szCs w:val="24"/>
        </w:rPr>
        <w:t>2</w:t>
      </w:r>
      <w:r w:rsidR="00B22E26" w:rsidRPr="00CA43D4">
        <w:rPr>
          <w:rFonts w:cs="Arial"/>
          <w:szCs w:val="24"/>
        </w:rPr>
        <w:t xml:space="preserve"> (s, 3H), </w:t>
      </w:r>
      <w:r w:rsidR="00B22E26">
        <w:rPr>
          <w:rFonts w:cs="Arial"/>
          <w:szCs w:val="24"/>
        </w:rPr>
        <w:t>1.2</w:t>
      </w:r>
      <w:r w:rsidR="009D5A26">
        <w:rPr>
          <w:rFonts w:cs="Arial"/>
          <w:szCs w:val="24"/>
        </w:rPr>
        <w:t>2</w:t>
      </w:r>
      <w:r w:rsidR="00B22E26" w:rsidRPr="00CA43D4">
        <w:rPr>
          <w:rFonts w:cs="Arial"/>
          <w:szCs w:val="24"/>
        </w:rPr>
        <w:t xml:space="preserve"> (s, 3H), 1.</w:t>
      </w:r>
      <w:r w:rsidR="00B14FCF">
        <w:rPr>
          <w:rFonts w:cs="Arial"/>
          <w:szCs w:val="24"/>
        </w:rPr>
        <w:t>33-1.78</w:t>
      </w:r>
      <w:r w:rsidR="00B22E26" w:rsidRPr="00CA43D4">
        <w:rPr>
          <w:rFonts w:cs="Arial"/>
          <w:szCs w:val="24"/>
        </w:rPr>
        <w:t xml:space="preserve"> (m, </w:t>
      </w:r>
      <w:r w:rsidR="00455D82">
        <w:rPr>
          <w:rFonts w:cs="Arial"/>
          <w:szCs w:val="24"/>
        </w:rPr>
        <w:t>7</w:t>
      </w:r>
      <w:r w:rsidR="00B22E26" w:rsidRPr="00CA43D4">
        <w:rPr>
          <w:rFonts w:cs="Arial"/>
          <w:szCs w:val="24"/>
        </w:rPr>
        <w:t xml:space="preserve">H), </w:t>
      </w:r>
      <w:r w:rsidR="00B22E26">
        <w:rPr>
          <w:rFonts w:cs="Arial"/>
          <w:szCs w:val="24"/>
        </w:rPr>
        <w:t>2.06 (s, 3H)</w:t>
      </w:r>
      <w:r w:rsidR="00B22E26" w:rsidRPr="00CA43D4">
        <w:rPr>
          <w:rFonts w:cs="Arial"/>
          <w:szCs w:val="24"/>
        </w:rPr>
        <w:t xml:space="preserve">, </w:t>
      </w:r>
      <w:r w:rsidR="00B22E26">
        <w:rPr>
          <w:rFonts w:cs="Arial"/>
          <w:szCs w:val="24"/>
        </w:rPr>
        <w:t>4.32-4.33</w:t>
      </w:r>
      <w:r w:rsidR="00B22E26" w:rsidRPr="00CA43D4">
        <w:rPr>
          <w:rFonts w:cs="Arial"/>
          <w:szCs w:val="24"/>
        </w:rPr>
        <w:t xml:space="preserve"> (</w:t>
      </w:r>
      <w:r w:rsidR="00B22E26">
        <w:rPr>
          <w:rFonts w:cs="Arial"/>
          <w:szCs w:val="24"/>
        </w:rPr>
        <w:t>d</w:t>
      </w:r>
      <w:r w:rsidR="00B22E26" w:rsidRPr="00CA43D4">
        <w:rPr>
          <w:rFonts w:cs="Arial"/>
          <w:szCs w:val="24"/>
        </w:rPr>
        <w:t>,</w:t>
      </w:r>
      <w:r w:rsidR="00B22E26">
        <w:rPr>
          <w:rFonts w:cs="Arial"/>
          <w:szCs w:val="24"/>
        </w:rPr>
        <w:t xml:space="preserve"> J = 2.9</w:t>
      </w:r>
      <w:r w:rsidR="00B22E26" w:rsidRPr="00CA43D4">
        <w:rPr>
          <w:rFonts w:cs="Arial"/>
          <w:szCs w:val="24"/>
        </w:rPr>
        <w:t xml:space="preserve"> </w:t>
      </w:r>
      <w:r w:rsidR="00B22E26">
        <w:rPr>
          <w:rFonts w:cs="Arial"/>
          <w:szCs w:val="24"/>
        </w:rPr>
        <w:t xml:space="preserve">Hz, </w:t>
      </w:r>
      <w:r w:rsidR="0065554B">
        <w:rPr>
          <w:rFonts w:cs="Arial"/>
          <w:szCs w:val="24"/>
        </w:rPr>
        <w:t>2</w:t>
      </w:r>
      <w:r w:rsidR="00B22E26" w:rsidRPr="00CA43D4">
        <w:rPr>
          <w:rFonts w:cs="Arial"/>
          <w:szCs w:val="24"/>
        </w:rPr>
        <w:t>H).</w:t>
      </w:r>
      <w:r w:rsidR="008E6A76">
        <w:rPr>
          <w:rFonts w:cs="Arial"/>
          <w:szCs w:val="24"/>
        </w:rPr>
        <w:t xml:space="preserve"> </w:t>
      </w:r>
      <w:r w:rsidR="00B22E26" w:rsidRPr="00CA43D4">
        <w:rPr>
          <w:rFonts w:cs="Arial"/>
          <w:b/>
          <w:szCs w:val="24"/>
          <w:vertAlign w:val="superscript"/>
        </w:rPr>
        <w:t>13</w:t>
      </w:r>
      <w:r w:rsidR="00B22E26" w:rsidRPr="00CA43D4">
        <w:rPr>
          <w:rFonts w:cs="Arial"/>
          <w:b/>
          <w:szCs w:val="24"/>
        </w:rPr>
        <w:t>C-NMR (CDCl</w:t>
      </w:r>
      <w:r w:rsidR="00B22E26" w:rsidRPr="00CA43D4">
        <w:rPr>
          <w:rFonts w:cs="Arial"/>
          <w:b/>
          <w:szCs w:val="24"/>
          <w:vertAlign w:val="subscript"/>
        </w:rPr>
        <w:t>3</w:t>
      </w:r>
      <w:r w:rsidR="00B22E26" w:rsidRPr="00CA43D4">
        <w:rPr>
          <w:rFonts w:cs="Arial"/>
          <w:b/>
          <w:szCs w:val="24"/>
        </w:rPr>
        <w:t xml:space="preserve">, 125 MHz): </w:t>
      </w:r>
      <w:r w:rsidR="00B22E26" w:rsidRPr="00CA43D4">
        <w:rPr>
          <w:rFonts w:cs="Arial"/>
          <w:szCs w:val="24"/>
        </w:rPr>
        <w:t>δ (ppm)</w:t>
      </w:r>
      <w:r w:rsidR="00B22E26" w:rsidRPr="00CA43D4">
        <w:rPr>
          <w:rFonts w:cs="Arial"/>
          <w:b/>
          <w:szCs w:val="24"/>
        </w:rPr>
        <w:t xml:space="preserve"> </w:t>
      </w:r>
      <w:r w:rsidR="00B22E26">
        <w:rPr>
          <w:rFonts w:cs="Arial"/>
          <w:szCs w:val="24"/>
        </w:rPr>
        <w:t>13.17</w:t>
      </w:r>
      <w:r w:rsidR="00B22E26" w:rsidRPr="00CA43D4">
        <w:rPr>
          <w:rFonts w:cs="Arial"/>
          <w:szCs w:val="24"/>
        </w:rPr>
        <w:t xml:space="preserve"> (1C), </w:t>
      </w:r>
      <w:r w:rsidR="00B22E26">
        <w:rPr>
          <w:rFonts w:cs="Arial"/>
          <w:szCs w:val="24"/>
        </w:rPr>
        <w:t>19.02</w:t>
      </w:r>
      <w:r w:rsidR="00B22E26" w:rsidRPr="00CA43D4">
        <w:rPr>
          <w:rFonts w:cs="Arial"/>
          <w:szCs w:val="24"/>
        </w:rPr>
        <w:t xml:space="preserve"> (1C), 20.</w:t>
      </w:r>
      <w:r w:rsidR="00B22E26">
        <w:rPr>
          <w:rFonts w:cs="Arial"/>
          <w:szCs w:val="24"/>
        </w:rPr>
        <w:t>03</w:t>
      </w:r>
      <w:r w:rsidR="00B22E26" w:rsidRPr="00CA43D4">
        <w:rPr>
          <w:rFonts w:cs="Arial"/>
          <w:szCs w:val="24"/>
        </w:rPr>
        <w:t xml:space="preserve">(1C), </w:t>
      </w:r>
      <w:r w:rsidR="00B22E26">
        <w:rPr>
          <w:rFonts w:cs="Arial"/>
          <w:szCs w:val="24"/>
        </w:rPr>
        <w:t>25.89</w:t>
      </w:r>
      <w:r w:rsidR="00B22E26" w:rsidRPr="00CA43D4">
        <w:rPr>
          <w:rFonts w:cs="Arial"/>
          <w:szCs w:val="24"/>
        </w:rPr>
        <w:t xml:space="preserve"> (</w:t>
      </w:r>
      <w:r w:rsidR="0013315C">
        <w:rPr>
          <w:rFonts w:cs="Arial"/>
          <w:szCs w:val="24"/>
        </w:rPr>
        <w:t>2</w:t>
      </w:r>
      <w:r w:rsidR="00B22E26" w:rsidRPr="00CA43D4">
        <w:rPr>
          <w:rFonts w:cs="Arial"/>
          <w:szCs w:val="24"/>
        </w:rPr>
        <w:t xml:space="preserve">C), </w:t>
      </w:r>
      <w:r w:rsidR="00B22E26">
        <w:rPr>
          <w:rFonts w:cs="Arial"/>
          <w:szCs w:val="24"/>
        </w:rPr>
        <w:t>33.12</w:t>
      </w:r>
      <w:r w:rsidR="00B22E26" w:rsidRPr="00CA43D4">
        <w:rPr>
          <w:rFonts w:cs="Arial"/>
          <w:szCs w:val="24"/>
        </w:rPr>
        <w:t xml:space="preserve"> (1C), </w:t>
      </w:r>
      <w:r w:rsidR="00B22E26">
        <w:rPr>
          <w:rFonts w:cs="Arial"/>
          <w:szCs w:val="24"/>
        </w:rPr>
        <w:t>40.78</w:t>
      </w:r>
      <w:r w:rsidR="00B22E26" w:rsidRPr="00CA43D4">
        <w:rPr>
          <w:rFonts w:cs="Arial"/>
          <w:szCs w:val="24"/>
        </w:rPr>
        <w:t xml:space="preserve"> (1C), </w:t>
      </w:r>
      <w:r w:rsidR="00B22E26">
        <w:rPr>
          <w:rFonts w:cs="Arial"/>
          <w:szCs w:val="24"/>
        </w:rPr>
        <w:t>41.37</w:t>
      </w:r>
      <w:r w:rsidR="00B22E26" w:rsidRPr="00CA43D4">
        <w:rPr>
          <w:rFonts w:cs="Arial"/>
          <w:szCs w:val="24"/>
        </w:rPr>
        <w:t xml:space="preserve"> (1C), </w:t>
      </w:r>
      <w:r w:rsidR="00B22E26">
        <w:rPr>
          <w:rFonts w:cs="Arial"/>
          <w:szCs w:val="24"/>
        </w:rPr>
        <w:t>53.78</w:t>
      </w:r>
      <w:r w:rsidR="00B22E26" w:rsidRPr="00CA43D4">
        <w:rPr>
          <w:rFonts w:cs="Arial"/>
          <w:szCs w:val="24"/>
        </w:rPr>
        <w:t xml:space="preserve"> (1C), </w:t>
      </w:r>
      <w:r w:rsidR="00B22E26">
        <w:rPr>
          <w:rFonts w:cs="Arial"/>
          <w:szCs w:val="24"/>
        </w:rPr>
        <w:t>62.51</w:t>
      </w:r>
      <w:r w:rsidR="00B22E26" w:rsidRPr="00CA43D4">
        <w:rPr>
          <w:rFonts w:cs="Arial"/>
          <w:szCs w:val="24"/>
        </w:rPr>
        <w:t xml:space="preserve"> (1C), </w:t>
      </w:r>
      <w:r w:rsidR="00B22E26">
        <w:rPr>
          <w:rFonts w:cs="Arial"/>
          <w:szCs w:val="24"/>
        </w:rPr>
        <w:t>71.70</w:t>
      </w:r>
      <w:r w:rsidR="00B22E26" w:rsidRPr="00CA43D4">
        <w:rPr>
          <w:rFonts w:cs="Arial"/>
          <w:szCs w:val="24"/>
        </w:rPr>
        <w:t xml:space="preserve"> (1C), </w:t>
      </w:r>
      <w:r w:rsidR="00B22E26">
        <w:rPr>
          <w:rFonts w:cs="Arial"/>
          <w:szCs w:val="24"/>
        </w:rPr>
        <w:t>169.98</w:t>
      </w:r>
      <w:r w:rsidR="00B22E26" w:rsidRPr="00CA43D4">
        <w:rPr>
          <w:rFonts w:cs="Arial"/>
          <w:szCs w:val="24"/>
        </w:rPr>
        <w:t xml:space="preserve"> (1C)</w:t>
      </w:r>
      <w:r w:rsidR="00B22E26">
        <w:rPr>
          <w:rFonts w:cs="Arial"/>
          <w:szCs w:val="24"/>
        </w:rPr>
        <w:t>.</w:t>
      </w:r>
      <w:r w:rsidR="00BD3EA7" w:rsidRPr="00BD3EA7">
        <w:rPr>
          <w:rFonts w:cs="Arial"/>
        </w:rPr>
        <w:t xml:space="preserve"> </w:t>
      </w:r>
      <w:r w:rsidR="00BD3EA7" w:rsidRPr="00865E71">
        <w:rPr>
          <w:rFonts w:cs="Arial"/>
        </w:rPr>
        <w:t>The data is consistent with the literature</w:t>
      </w:r>
      <w:r w:rsidR="00BD3EA7">
        <w:rPr>
          <w:rFonts w:cs="Arial"/>
        </w:rPr>
        <w:t>.</w:t>
      </w:r>
      <w:r w:rsidR="00DB586F">
        <w:rPr>
          <w:rFonts w:cs="Arial"/>
          <w:szCs w:val="24"/>
        </w:rPr>
        <w:fldChar w:fldCharType="begin" w:fldLock="1"/>
      </w:r>
      <w:r w:rsidR="00E81BA1">
        <w:rPr>
          <w:rFonts w:cs="Arial"/>
          <w:szCs w:val="24"/>
        </w:rPr>
        <w:instrText>ADDIN CSL_CITATION {"citationItems":[{"id":"ITEM-1","itemData":{"DOI":"10.1007/BF00713613/METRICS","ISSN":"15739171","abstract":"The superacidic low-temperature cyclization of terpenols and their acetates by fluorosulfonic acid represents a highly efficient chemo- and structurally selective and stereospecific process. Homoallylic alcohols (α-isomers of cycloterpenols) are the products of cyclization of terpenols; the configuration of the hydroxymethyl group in the products is predetermined by the configuration of the allylic double bond in aliphatic or partially cyclized precursors. The cyclization of terpenyl acetates yields monoacetates of fully cyclized diastereomeric primary-tertiary γ-diols. Their stereochemistry also depends on the configuration of the allylic double bond in the starting substrates. © 1996, Plenum Publishing Corporation. All rights reserved.","author":[{"dropping-particle":"","family":"Vlad","given":"P. F.","non-dropping-particle":"","parse-names":false,"suffix":""},{"dropping-particle":"","family":"Ungur","given":"N. D.","non-dropping-particle":"","parse-names":false,"suffix":""},{"dropping-particle":"","family":"Hung","given":"Nguen","non-dropping-particle":"Van","parse-names":false,"suffix":""},{"dropping-particle":"","family":"Perutsky","given":"V. B.","non-dropping-particle":"","parse-names":false,"suffix":""}],"container-title":"Russian Chemical Bulletin","id":"ITEM-1","issue":"12","issued":{"date-parts":[["1995"]]},"page":"2390-2403","publisher":"Springer","title":"Superacidic low-temperature cyclization of terpenols and their acetates","type":"article-journal","volume":"44"},"uris":["http://www.mendeley.com/documents/?uuid=060b9f97-e724-381a-ab7d-1f22a9f5d0e3"]}],"mendeley":{"formattedCitation":"&lt;sup&gt;16&lt;/sup&gt;","plainTextFormattedCitation":"16","previouslyFormattedCitation":"&lt;sup&gt;15&lt;/sup&gt;"},"properties":{"noteIndex":0},"schema":"https://github.com/citation-style-language/schema/raw/master/csl-citation.json"}</w:instrText>
      </w:r>
      <w:r w:rsidR="00DB586F">
        <w:rPr>
          <w:rFonts w:cs="Arial"/>
          <w:szCs w:val="24"/>
        </w:rPr>
        <w:fldChar w:fldCharType="separate"/>
      </w:r>
      <w:r w:rsidR="00E81BA1" w:rsidRPr="00E81BA1">
        <w:rPr>
          <w:rFonts w:cs="Arial"/>
          <w:noProof/>
          <w:szCs w:val="24"/>
          <w:vertAlign w:val="superscript"/>
        </w:rPr>
        <w:t>16</w:t>
      </w:r>
      <w:r w:rsidR="00DB586F">
        <w:rPr>
          <w:rFonts w:cs="Arial"/>
          <w:szCs w:val="24"/>
        </w:rPr>
        <w:fldChar w:fldCharType="end"/>
      </w:r>
      <w:r w:rsidR="00F4219D">
        <w:rPr>
          <w:rFonts w:cs="Arial"/>
          <w:szCs w:val="24"/>
        </w:rPr>
        <w:t xml:space="preserve"> </w:t>
      </w:r>
      <w:r w:rsidR="00304A51">
        <w:rPr>
          <w:rFonts w:cs="Arial"/>
          <w:szCs w:val="24"/>
        </w:rPr>
        <w:br/>
      </w:r>
    </w:p>
    <w:p w14:paraId="2F1C974D" w14:textId="4E8912D7" w:rsidR="00F70238" w:rsidRDefault="00AA237A" w:rsidP="00F70238">
      <w:pPr>
        <w:pStyle w:val="Heading2"/>
        <w:rPr>
          <w:lang w:val="en-US"/>
        </w:rPr>
      </w:pPr>
      <w:bookmarkStart w:id="110" w:name="_Toc134623403"/>
      <w:r>
        <w:rPr>
          <w:lang w:val="en-US"/>
        </w:rPr>
        <w:t>17</w:t>
      </w:r>
      <w:r w:rsidR="00D17A77" w:rsidRPr="00AB3DAF">
        <w:rPr>
          <w:lang w:val="en-US"/>
        </w:rPr>
        <w:t xml:space="preserve"> </w:t>
      </w:r>
      <w:r w:rsidR="005C1181" w:rsidRPr="00AB3DAF">
        <w:rPr>
          <w:lang w:val="en-US"/>
        </w:rPr>
        <w:t>with variant G600</w:t>
      </w:r>
      <w:r>
        <w:rPr>
          <w:lang w:val="en-US"/>
        </w:rPr>
        <w:t>M</w:t>
      </w:r>
      <w:r w:rsidR="00AD14E2" w:rsidRPr="00AB3DAF">
        <w:rPr>
          <w:lang w:val="en-US"/>
        </w:rPr>
        <w:t xml:space="preserve"> to </w:t>
      </w:r>
      <w:r w:rsidR="00AB3DAF" w:rsidRPr="00AB3DAF">
        <w:rPr>
          <w:i/>
          <w:iCs/>
          <w:lang w:val="en-US"/>
        </w:rPr>
        <w:t>trans</w:t>
      </w:r>
      <w:r w:rsidR="00AB3DAF">
        <w:rPr>
          <w:lang w:val="en-US"/>
        </w:rPr>
        <w:t>-</w:t>
      </w:r>
      <w:r w:rsidR="00AD14E2" w:rsidRPr="00AB3DAF">
        <w:rPr>
          <w:lang w:val="en-US"/>
        </w:rPr>
        <w:t xml:space="preserve">chromene </w:t>
      </w:r>
      <w:r w:rsidR="00AD14E2">
        <w:rPr>
          <w:lang w:val="en-US"/>
        </w:rPr>
        <w:t>(</w:t>
      </w:r>
      <w:r w:rsidR="00920A68">
        <w:rPr>
          <w:lang w:val="en-US"/>
        </w:rPr>
        <w:t>18</w:t>
      </w:r>
      <w:r w:rsidR="00AD14E2">
        <w:rPr>
          <w:lang w:val="en-US"/>
        </w:rPr>
        <w:t>)</w:t>
      </w:r>
      <w:bookmarkEnd w:id="110"/>
    </w:p>
    <w:p w14:paraId="2379117C" w14:textId="11C471A7" w:rsidR="00F81C6A" w:rsidRPr="000C72BD" w:rsidRDefault="007D1102" w:rsidP="00F81C6A">
      <w:pPr>
        <w:jc w:val="center"/>
        <w:rPr>
          <w:rFonts w:eastAsia="Calibri" w:cs="Arial"/>
          <w:noProof/>
          <w:sz w:val="20"/>
          <w:szCs w:val="20"/>
        </w:rPr>
      </w:pPr>
      <w:r>
        <w:rPr>
          <w:rFonts w:eastAsia="Calibri" w:cs="Arial"/>
          <w:noProof/>
          <w:sz w:val="20"/>
          <w:szCs w:val="20"/>
        </w:rPr>
        <w:object w:dxaOrig="5923" w:dyaOrig="1908" w14:anchorId="255A86C8">
          <v:shape id="_x0000_i1026" type="#_x0000_t75" alt="" style="width:279.85pt;height:94.05pt" o:ole="">
            <v:imagedata r:id="rId30" o:title=""/>
          </v:shape>
          <o:OLEObject Type="Embed" ProgID="ChemDraw.Document.6.0" ShapeID="_x0000_i1026" DrawAspect="Content" ObjectID="_1745237614" r:id="rId31"/>
        </w:object>
      </w:r>
    </w:p>
    <w:p w14:paraId="3D6F53B3" w14:textId="7AAA87F1" w:rsidR="0080168A" w:rsidRPr="00113E9F" w:rsidRDefault="0080168A" w:rsidP="0080168A">
      <w:pPr>
        <w:rPr>
          <w:rFonts w:cs="Arial"/>
        </w:rPr>
      </w:pPr>
      <w:r>
        <w:t xml:space="preserve">Product was obtained as a colorless oil. </w:t>
      </w:r>
      <w:r w:rsidR="00CF5D61">
        <w:t>C</w:t>
      </w:r>
      <w:r w:rsidR="00CF5D61">
        <w:rPr>
          <w:vertAlign w:val="subscript"/>
        </w:rPr>
        <w:t>13</w:t>
      </w:r>
      <w:r w:rsidR="00CF5D61">
        <w:t>H</w:t>
      </w:r>
      <w:r w:rsidR="00CF5D61">
        <w:rPr>
          <w:vertAlign w:val="subscript"/>
        </w:rPr>
        <w:t>22</w:t>
      </w:r>
      <w:r w:rsidR="00CF5D61">
        <w:t>O</w:t>
      </w:r>
      <w:r w:rsidR="00CF5D61">
        <w:rPr>
          <w:vertAlign w:val="subscript"/>
        </w:rPr>
        <w:t xml:space="preserve"> </w:t>
      </w:r>
      <w:r w:rsidRPr="00865E71">
        <w:rPr>
          <w:rFonts w:cs="Arial"/>
          <w:b/>
          <w:vertAlign w:val="superscript"/>
        </w:rPr>
        <w:t>1</w:t>
      </w:r>
      <w:r w:rsidRPr="00865E71">
        <w:rPr>
          <w:rFonts w:cs="Arial"/>
          <w:b/>
        </w:rPr>
        <w:t>H-NMR (CDCl</w:t>
      </w:r>
      <w:r w:rsidRPr="00865E71">
        <w:rPr>
          <w:rFonts w:cs="Arial"/>
          <w:b/>
          <w:vertAlign w:val="subscript"/>
        </w:rPr>
        <w:t>3</w:t>
      </w:r>
      <w:r w:rsidRPr="00865E71">
        <w:rPr>
          <w:rFonts w:cs="Arial"/>
          <w:b/>
        </w:rPr>
        <w:t xml:space="preserve">, 500 MHz): </w:t>
      </w:r>
      <w:r w:rsidRPr="00865E71">
        <w:rPr>
          <w:rFonts w:cs="Arial"/>
        </w:rPr>
        <w:t xml:space="preserve">δ (ppm) 0.81 (s, 3H), 0.91 (s, 3H) 1.17 (s, 3H), 1.21-1.29 (m, 1H), 1.4-1.6 (m, 5H), 1.68 (s, 3H), 1.72-1.94 (m, 3H), 4.4-4.5 (m, 1H). </w:t>
      </w:r>
      <w:r w:rsidRPr="00865E71">
        <w:rPr>
          <w:rFonts w:cs="Arial"/>
          <w:b/>
          <w:vertAlign w:val="superscript"/>
        </w:rPr>
        <w:t>13</w:t>
      </w:r>
      <w:r w:rsidRPr="00865E71">
        <w:rPr>
          <w:rFonts w:cs="Arial"/>
          <w:b/>
        </w:rPr>
        <w:t>C-NMR (CDCl</w:t>
      </w:r>
      <w:r w:rsidRPr="00865E71">
        <w:rPr>
          <w:rFonts w:cs="Arial"/>
          <w:b/>
          <w:vertAlign w:val="subscript"/>
        </w:rPr>
        <w:t>3</w:t>
      </w:r>
      <w:r w:rsidRPr="00865E71">
        <w:rPr>
          <w:rFonts w:cs="Arial"/>
          <w:b/>
        </w:rPr>
        <w:t xml:space="preserve">, 125 MHz): </w:t>
      </w:r>
      <w:r w:rsidRPr="00865E71">
        <w:rPr>
          <w:rFonts w:cs="Arial"/>
        </w:rPr>
        <w:t>δ (ppm) 19.07 (1C), 19.21 (1C), 19.82 (1C), 20.51 (1C), 20.77 (1C) 30.31 (1C), 32.25 (1C), 39.99 (1C), 41.65 (1C), 48. 37 (1C), 76.48 (1C), 94.97 (1C), 147.97 (1C). The data is consistent with the literature</w:t>
      </w:r>
      <w:r>
        <w:rPr>
          <w:rFonts w:cs="Arial"/>
        </w:rPr>
        <w:t>.</w:t>
      </w:r>
      <w:r w:rsidRPr="00865E71">
        <w:rPr>
          <w:rFonts w:cs="Arial"/>
        </w:rPr>
        <w:fldChar w:fldCharType="begin" w:fldLock="1"/>
      </w:r>
      <w:r w:rsidR="00E81BA1">
        <w:rPr>
          <w:rFonts w:cs="Arial"/>
        </w:rPr>
        <w:instrText>ADDIN CSL_CITATION {"citationItems":[{"id":"ITEM-1","itemData":{"DOI":"10.1002/cbic.201300018","ISSN":"14394227","author":[{"dropping-particle":"","family":"Seitz","given":"Miriam","non-dropping-particle":"","parse-names":false,"suffix":""},{"dropping-particle":"","family":"Syrén","given":"Per Olof","non-dropping-particle":"","parse-names":false,"suffix":""},{"dropping-particle":"","family":"Steiner","given":"Lisa","non-dropping-particle":"","parse-names":false,"suffix":""},{"dropping-particle":"","family":"Klebensberger","given":"Janosch","non-dropping-particle":"","parse-names":false,"suffix":""},{"dropping-particle":"","family":"Nestl","given":"Bettina M.","non-dropping-particle":"","parse-names":false,"suffix":""},{"dropping-particle":"","family":"Hauer","given":"Bernhard","non-dropping-particle":"","parse-names":false,"suffix":""}],"container-title":"ChemBioChem","id":"ITEM-1","issue":"4","issued":{"date-parts":[["2013"]]},"page":"436-439","title":"Synthesis of Heterocyclic Terpenoids by Promiscuous Squalene-Hopene Cyclases","type":"article-journal","volume":"14"},"uris":["http://www.mendeley.com/documents/?uuid=44d9cdcc-3bf0-4695-b6da-16871a605e62"]}],"mendeley":{"formattedCitation":"&lt;sup&gt;57&lt;/sup&gt;","plainTextFormattedCitation":"57","previouslyFormattedCitation":"&lt;sup&gt;56&lt;/sup&gt;"},"properties":{"noteIndex":0},"schema":"https://github.com/citation-style-language/schema/raw/master/csl-citation.json"}</w:instrText>
      </w:r>
      <w:r w:rsidRPr="00865E71">
        <w:rPr>
          <w:rFonts w:cs="Arial"/>
        </w:rPr>
        <w:fldChar w:fldCharType="separate"/>
      </w:r>
      <w:r w:rsidR="00E81BA1" w:rsidRPr="00E81BA1">
        <w:rPr>
          <w:rFonts w:cs="Arial"/>
          <w:noProof/>
          <w:vertAlign w:val="superscript"/>
        </w:rPr>
        <w:t>57</w:t>
      </w:r>
      <w:r w:rsidRPr="00865E71">
        <w:rPr>
          <w:rFonts w:cs="Arial"/>
        </w:rPr>
        <w:fldChar w:fldCharType="end"/>
      </w:r>
      <w:r>
        <w:rPr>
          <w:rFonts w:cs="Arial"/>
        </w:rPr>
        <w:t xml:space="preserve"> </w:t>
      </w:r>
      <w:r w:rsidR="00304A51">
        <w:rPr>
          <w:rFonts w:cs="Arial"/>
        </w:rPr>
        <w:br/>
      </w:r>
    </w:p>
    <w:p w14:paraId="640CC9B9" w14:textId="013E4FD3" w:rsidR="004771B9" w:rsidRDefault="00AB3DAF" w:rsidP="004771B9">
      <w:pPr>
        <w:pStyle w:val="Heading2"/>
        <w:rPr>
          <w:lang w:val="en-US"/>
        </w:rPr>
      </w:pPr>
      <w:bookmarkStart w:id="111" w:name="_Toc134623404"/>
      <w:r>
        <w:rPr>
          <w:lang w:val="en-US"/>
        </w:rPr>
        <w:t>Z-</w:t>
      </w:r>
      <w:r w:rsidR="00AA237A">
        <w:rPr>
          <w:lang w:val="en-US"/>
        </w:rPr>
        <w:t>17</w:t>
      </w:r>
      <w:r w:rsidR="00D17A77">
        <w:rPr>
          <w:lang w:val="en-US"/>
        </w:rPr>
        <w:t xml:space="preserve"> </w:t>
      </w:r>
      <w:r w:rsidR="005C1181" w:rsidRPr="005C1181">
        <w:rPr>
          <w:lang w:val="en-US"/>
        </w:rPr>
        <w:t>with variant G</w:t>
      </w:r>
      <w:r w:rsidR="005C1181">
        <w:rPr>
          <w:lang w:val="en-US"/>
        </w:rPr>
        <w:t>600</w:t>
      </w:r>
      <w:r w:rsidR="00AA237A">
        <w:rPr>
          <w:lang w:val="en-US"/>
        </w:rPr>
        <w:t>M</w:t>
      </w:r>
      <w:r>
        <w:rPr>
          <w:lang w:val="en-US"/>
        </w:rPr>
        <w:t xml:space="preserve"> to </w:t>
      </w:r>
      <w:r w:rsidRPr="00AB3DAF">
        <w:rPr>
          <w:i/>
          <w:iCs/>
          <w:lang w:val="en-US"/>
        </w:rPr>
        <w:t>cis</w:t>
      </w:r>
      <w:r>
        <w:rPr>
          <w:lang w:val="en-US"/>
        </w:rPr>
        <w:t>-chromene (</w:t>
      </w:r>
      <w:r w:rsidR="008C7982">
        <w:rPr>
          <w:lang w:val="en-US"/>
        </w:rPr>
        <w:t>23</w:t>
      </w:r>
      <w:r>
        <w:rPr>
          <w:lang w:val="en-US"/>
        </w:rPr>
        <w:t>)</w:t>
      </w:r>
      <w:bookmarkEnd w:id="111"/>
    </w:p>
    <w:p w14:paraId="3EE66D46" w14:textId="5F52A986" w:rsidR="00113E9F" w:rsidRDefault="007D1102" w:rsidP="00C16374">
      <w:pPr>
        <w:jc w:val="center"/>
        <w:rPr>
          <w:rFonts w:eastAsia="Calibri" w:cs="Arial"/>
          <w:noProof/>
          <w:sz w:val="20"/>
          <w:szCs w:val="20"/>
        </w:rPr>
      </w:pPr>
      <w:r>
        <w:rPr>
          <w:rFonts w:eastAsia="Calibri" w:cs="Arial"/>
          <w:noProof/>
          <w:sz w:val="20"/>
          <w:szCs w:val="20"/>
        </w:rPr>
        <w:object w:dxaOrig="5234" w:dyaOrig="2106" w14:anchorId="1E47E1E3">
          <v:shape id="_x0000_i1027" type="#_x0000_t75" alt="" style="width:257.8pt;height:102.2pt" o:ole="">
            <v:imagedata r:id="rId32" o:title=""/>
          </v:shape>
          <o:OLEObject Type="Embed" ProgID="ChemDraw.Document.6.0" ShapeID="_x0000_i1027" DrawAspect="Content" ObjectID="_1745237615" r:id="rId33"/>
        </w:object>
      </w:r>
    </w:p>
    <w:p w14:paraId="57AC8EA5" w14:textId="77777777" w:rsidR="00467D9E" w:rsidRDefault="00467D9E" w:rsidP="00E447AE">
      <w:pPr>
        <w:jc w:val="center"/>
      </w:pPr>
    </w:p>
    <w:p w14:paraId="395D99BA" w14:textId="7A373CDC" w:rsidR="00BD3EA7" w:rsidRPr="00A22BF2" w:rsidRDefault="00BD3EA7" w:rsidP="00A22BF2">
      <w:pPr>
        <w:rPr>
          <w:rFonts w:cs="Arial"/>
          <w:bCs/>
          <w:szCs w:val="24"/>
        </w:rPr>
      </w:pPr>
      <w:r>
        <w:t xml:space="preserve">Product was obtained as a colorless oil. </w:t>
      </w:r>
      <w:r w:rsidR="004C6591">
        <w:t>C</w:t>
      </w:r>
      <w:r w:rsidR="004C6591">
        <w:rPr>
          <w:vertAlign w:val="subscript"/>
        </w:rPr>
        <w:t>13</w:t>
      </w:r>
      <w:r w:rsidR="004C6591">
        <w:t>H</w:t>
      </w:r>
      <w:r w:rsidR="004C6591">
        <w:rPr>
          <w:vertAlign w:val="subscript"/>
        </w:rPr>
        <w:t>22</w:t>
      </w:r>
      <w:r w:rsidR="004C6591">
        <w:t>O</w:t>
      </w:r>
      <w:r w:rsidR="004C6591" w:rsidRPr="007750E9">
        <w:rPr>
          <w:rFonts w:cs="Arial"/>
          <w:b/>
          <w:szCs w:val="24"/>
          <w:vertAlign w:val="superscript"/>
        </w:rPr>
        <w:t xml:space="preserve"> </w:t>
      </w:r>
      <w:r w:rsidRPr="007750E9">
        <w:rPr>
          <w:rFonts w:cs="Arial"/>
          <w:b/>
          <w:szCs w:val="24"/>
          <w:vertAlign w:val="superscript"/>
        </w:rPr>
        <w:t>1</w:t>
      </w:r>
      <w:r w:rsidRPr="007750E9">
        <w:rPr>
          <w:rFonts w:cs="Arial"/>
          <w:b/>
          <w:szCs w:val="24"/>
        </w:rPr>
        <w:t>H-NMR</w:t>
      </w:r>
      <w:r w:rsidRPr="007750E9">
        <w:rPr>
          <w:rFonts w:cs="Arial"/>
          <w:bCs/>
          <w:szCs w:val="24"/>
        </w:rPr>
        <w:t xml:space="preserve"> (</w:t>
      </w:r>
      <w:r w:rsidRPr="007750E9">
        <w:rPr>
          <w:rFonts w:cs="Arial"/>
          <w:b/>
          <w:szCs w:val="24"/>
        </w:rPr>
        <w:t>CDCl</w:t>
      </w:r>
      <w:r w:rsidRPr="007750E9">
        <w:rPr>
          <w:rFonts w:cs="Arial"/>
          <w:b/>
          <w:szCs w:val="24"/>
          <w:vertAlign w:val="subscript"/>
        </w:rPr>
        <w:t>3</w:t>
      </w:r>
      <w:r w:rsidRPr="007750E9">
        <w:rPr>
          <w:rFonts w:cs="Arial"/>
          <w:bCs/>
          <w:szCs w:val="24"/>
        </w:rPr>
        <w:t xml:space="preserve">, </w:t>
      </w:r>
      <w:r w:rsidRPr="007750E9">
        <w:rPr>
          <w:rFonts w:cs="Arial"/>
          <w:b/>
          <w:szCs w:val="24"/>
        </w:rPr>
        <w:t>500 MHz</w:t>
      </w:r>
      <w:r w:rsidRPr="007750E9">
        <w:rPr>
          <w:rFonts w:cs="Arial"/>
          <w:bCs/>
          <w:szCs w:val="24"/>
        </w:rPr>
        <w:t xml:space="preserve">): δ (ppm) 0.85 (s, 3H), 0.87 (s, 3H) 1.16 (s, 3H), 1.32-1.39 (m, 1H), 1.54 (s, 3H), 1.6-1.66 (m, 3H), 1.68 (s, 3H), </w:t>
      </w:r>
      <w:r w:rsidRPr="007750E9">
        <w:rPr>
          <w:rFonts w:cs="Arial"/>
          <w:bCs/>
          <w:szCs w:val="24"/>
        </w:rPr>
        <w:lastRenderedPageBreak/>
        <w:t xml:space="preserve">1.72-1.97 (m, </w:t>
      </w:r>
      <w:r w:rsidR="0058501B">
        <w:rPr>
          <w:rFonts w:cs="Arial"/>
          <w:bCs/>
          <w:szCs w:val="24"/>
        </w:rPr>
        <w:t>2</w:t>
      </w:r>
      <w:r w:rsidRPr="007750E9">
        <w:rPr>
          <w:rFonts w:cs="Arial"/>
          <w:bCs/>
          <w:szCs w:val="24"/>
        </w:rPr>
        <w:t xml:space="preserve">H), 2.14-2.27 (m, 1H), 4.4-4.5 (d, J = 2.6 Hz, 1H). </w:t>
      </w:r>
      <w:r w:rsidRPr="007750E9">
        <w:rPr>
          <w:rFonts w:cs="Arial"/>
          <w:b/>
          <w:szCs w:val="24"/>
          <w:vertAlign w:val="superscript"/>
        </w:rPr>
        <w:t>13</w:t>
      </w:r>
      <w:r w:rsidRPr="007750E9">
        <w:rPr>
          <w:rFonts w:cs="Arial"/>
          <w:b/>
          <w:szCs w:val="24"/>
        </w:rPr>
        <w:t>C-NMR</w:t>
      </w:r>
      <w:r w:rsidRPr="007750E9">
        <w:rPr>
          <w:rFonts w:cs="Arial"/>
          <w:bCs/>
          <w:szCs w:val="24"/>
        </w:rPr>
        <w:t xml:space="preserve"> (</w:t>
      </w:r>
      <w:r w:rsidRPr="007750E9">
        <w:rPr>
          <w:rFonts w:cs="Arial"/>
          <w:b/>
          <w:szCs w:val="24"/>
        </w:rPr>
        <w:t>CDCl</w:t>
      </w:r>
      <w:r w:rsidRPr="007750E9">
        <w:rPr>
          <w:rFonts w:cs="Arial"/>
          <w:b/>
          <w:szCs w:val="24"/>
          <w:vertAlign w:val="subscript"/>
        </w:rPr>
        <w:t>3</w:t>
      </w:r>
      <w:r w:rsidRPr="007750E9">
        <w:rPr>
          <w:rFonts w:cs="Arial"/>
          <w:bCs/>
          <w:szCs w:val="24"/>
        </w:rPr>
        <w:t xml:space="preserve">, </w:t>
      </w:r>
      <w:r w:rsidRPr="007750E9">
        <w:rPr>
          <w:rFonts w:cs="Arial"/>
          <w:b/>
          <w:szCs w:val="24"/>
        </w:rPr>
        <w:t>125 MHz</w:t>
      </w:r>
      <w:r w:rsidRPr="007750E9">
        <w:rPr>
          <w:rFonts w:cs="Arial"/>
          <w:bCs/>
          <w:szCs w:val="24"/>
        </w:rPr>
        <w:t>): δ (ppm) 18.13 (1C), 19.79 (1C), 20.54 (1C), 21.19 (1C), 26.50 (1C) 32.46 (1C), 33.73 (1C), 39.66 (1C), 41.99 (1C), 44.00 (1C), 74.71 (1C), 94.56 (1C), 148.76 (1C).</w:t>
      </w:r>
      <w:r w:rsidR="00304A51">
        <w:rPr>
          <w:rFonts w:cs="Arial"/>
          <w:bCs/>
          <w:szCs w:val="24"/>
        </w:rPr>
        <w:br/>
      </w:r>
    </w:p>
    <w:p w14:paraId="4DB5D84C" w14:textId="0D927439" w:rsidR="004771B9" w:rsidRDefault="00D4738E" w:rsidP="004771B9">
      <w:pPr>
        <w:pStyle w:val="Heading2"/>
        <w:rPr>
          <w:lang w:val="en-US"/>
        </w:rPr>
      </w:pPr>
      <w:bookmarkStart w:id="112" w:name="_Toc134623405"/>
      <w:r>
        <w:rPr>
          <w:lang w:val="en-US"/>
        </w:rPr>
        <w:t>13</w:t>
      </w:r>
      <w:r w:rsidR="00746001" w:rsidRPr="00746001">
        <w:rPr>
          <w:lang w:val="en-US"/>
        </w:rPr>
        <w:t xml:space="preserve"> with </w:t>
      </w:r>
      <w:r w:rsidR="00746001">
        <w:rPr>
          <w:lang w:val="en-US"/>
        </w:rPr>
        <w:t>variant F601D F605L</w:t>
      </w:r>
      <w:r w:rsidR="00E600A6">
        <w:rPr>
          <w:lang w:val="en-US"/>
        </w:rPr>
        <w:t xml:space="preserve"> to sclareoloxide (</w:t>
      </w:r>
      <w:r>
        <w:rPr>
          <w:lang w:val="en-US"/>
        </w:rPr>
        <w:t>14</w:t>
      </w:r>
      <w:r w:rsidR="00E600A6">
        <w:rPr>
          <w:lang w:val="en-US"/>
        </w:rPr>
        <w:t>)</w:t>
      </w:r>
      <w:bookmarkEnd w:id="112"/>
    </w:p>
    <w:p w14:paraId="4FA434CD" w14:textId="53479797" w:rsidR="00211E13" w:rsidRDefault="00DC2173" w:rsidP="00B63A40">
      <w:pPr>
        <w:jc w:val="center"/>
        <w:rPr>
          <w:rFonts w:eastAsia="Calibri" w:cs="Arial"/>
          <w:noProof/>
          <w:sz w:val="20"/>
          <w:szCs w:val="20"/>
        </w:rPr>
      </w:pPr>
      <w:r>
        <w:rPr>
          <w:rFonts w:eastAsia="Calibri" w:cs="Arial"/>
          <w:noProof/>
          <w:sz w:val="20"/>
          <w:szCs w:val="20"/>
        </w:rPr>
        <w:object w:dxaOrig="6975" w:dyaOrig="1991" w14:anchorId="68ADE2E6">
          <v:shape id="_x0000_i1028" type="#_x0000_t75" alt="" style="width:353.05pt;height:102.2pt" o:ole="">
            <v:imagedata r:id="rId34" o:title=""/>
          </v:shape>
          <o:OLEObject Type="Embed" ProgID="ChemDraw.Document.6.0" ShapeID="_x0000_i1028" DrawAspect="Content" ObjectID="_1745237616" r:id="rId35"/>
        </w:object>
      </w:r>
    </w:p>
    <w:p w14:paraId="27C1B24C" w14:textId="1C253CB1" w:rsidR="00A87618" w:rsidRPr="00A22BF2" w:rsidRDefault="00956207" w:rsidP="00956207">
      <w:pPr>
        <w:rPr>
          <w:rFonts w:cs="Arial"/>
        </w:rPr>
      </w:pPr>
      <w:r>
        <w:t>Product was obtained as a yellow oil that solidified upon cooling.</w:t>
      </w:r>
      <w:r w:rsidR="00AC49FE">
        <w:t xml:space="preserve"> C</w:t>
      </w:r>
      <w:r w:rsidR="00AC49FE">
        <w:rPr>
          <w:vertAlign w:val="subscript"/>
        </w:rPr>
        <w:t>18</w:t>
      </w:r>
      <w:r w:rsidR="00AC49FE">
        <w:t>H</w:t>
      </w:r>
      <w:r w:rsidR="00AC49FE">
        <w:rPr>
          <w:vertAlign w:val="subscript"/>
        </w:rPr>
        <w:t>30</w:t>
      </w:r>
      <w:r w:rsidR="00AC49FE">
        <w:t>O</w:t>
      </w:r>
      <w:r w:rsidRPr="00956207">
        <w:rPr>
          <w:rFonts w:cs="Arial"/>
          <w:b/>
          <w:vertAlign w:val="superscript"/>
        </w:rPr>
        <w:t xml:space="preserve"> </w:t>
      </w:r>
      <w:r w:rsidRPr="00D4118B">
        <w:rPr>
          <w:rFonts w:cs="Arial"/>
          <w:b/>
          <w:vertAlign w:val="superscript"/>
        </w:rPr>
        <w:t>1</w:t>
      </w:r>
      <w:r w:rsidRPr="00D4118B">
        <w:rPr>
          <w:rFonts w:cs="Arial"/>
          <w:b/>
        </w:rPr>
        <w:t>H-NMR (CDCl</w:t>
      </w:r>
      <w:r w:rsidRPr="00D4118B">
        <w:rPr>
          <w:rFonts w:cs="Arial"/>
          <w:b/>
          <w:vertAlign w:val="subscript"/>
        </w:rPr>
        <w:t>3</w:t>
      </w:r>
      <w:r w:rsidRPr="00D4118B">
        <w:rPr>
          <w:rFonts w:cs="Arial"/>
          <w:b/>
        </w:rPr>
        <w:t xml:space="preserve">, 500 MHz): </w:t>
      </w:r>
      <w:r w:rsidRPr="00D4118B">
        <w:rPr>
          <w:rFonts w:cs="Arial"/>
        </w:rPr>
        <w:t>δ (ppm) 0.8</w:t>
      </w:r>
      <w:r w:rsidR="00943F96">
        <w:rPr>
          <w:rFonts w:cs="Arial"/>
        </w:rPr>
        <w:t>1</w:t>
      </w:r>
      <w:r w:rsidRPr="00D4118B">
        <w:rPr>
          <w:rFonts w:cs="Arial"/>
        </w:rPr>
        <w:t xml:space="preserve"> (s, 3H), 0.</w:t>
      </w:r>
      <w:r w:rsidR="00F924C6">
        <w:rPr>
          <w:rFonts w:cs="Arial"/>
        </w:rPr>
        <w:t>813</w:t>
      </w:r>
      <w:r w:rsidRPr="00D4118B">
        <w:rPr>
          <w:rFonts w:cs="Arial"/>
        </w:rPr>
        <w:t xml:space="preserve"> (s, 3H) </w:t>
      </w:r>
      <w:r w:rsidR="00F924C6">
        <w:rPr>
          <w:rFonts w:cs="Arial"/>
        </w:rPr>
        <w:t>0.8</w:t>
      </w:r>
      <w:r w:rsidR="00843AAB">
        <w:rPr>
          <w:rFonts w:cs="Arial"/>
        </w:rPr>
        <w:t>8</w:t>
      </w:r>
      <w:r w:rsidRPr="00D4118B">
        <w:rPr>
          <w:rFonts w:cs="Arial"/>
        </w:rPr>
        <w:t xml:space="preserve"> (</w:t>
      </w:r>
      <w:r w:rsidR="00843AAB">
        <w:rPr>
          <w:rFonts w:cs="Arial"/>
        </w:rPr>
        <w:t>s</w:t>
      </w:r>
      <w:r w:rsidRPr="00D4118B">
        <w:rPr>
          <w:rFonts w:cs="Arial"/>
        </w:rPr>
        <w:t xml:space="preserve">, </w:t>
      </w:r>
      <w:r w:rsidR="00843AAB">
        <w:rPr>
          <w:rFonts w:cs="Arial"/>
        </w:rPr>
        <w:t>3</w:t>
      </w:r>
      <w:r w:rsidRPr="00D4118B">
        <w:rPr>
          <w:rFonts w:cs="Arial"/>
        </w:rPr>
        <w:t xml:space="preserve">H), </w:t>
      </w:r>
      <w:r w:rsidR="00843AAB">
        <w:rPr>
          <w:rFonts w:cs="Arial"/>
        </w:rPr>
        <w:t xml:space="preserve">1.15 (s, 3H), </w:t>
      </w:r>
      <w:r w:rsidRPr="00D4118B">
        <w:rPr>
          <w:rFonts w:cs="Arial"/>
        </w:rPr>
        <w:t>1.</w:t>
      </w:r>
      <w:r w:rsidR="009A5F2B">
        <w:rPr>
          <w:rFonts w:cs="Arial"/>
        </w:rPr>
        <w:t>2</w:t>
      </w:r>
      <w:r w:rsidR="00C268D8">
        <w:rPr>
          <w:rFonts w:cs="Arial"/>
        </w:rPr>
        <w:t>4</w:t>
      </w:r>
      <w:r w:rsidRPr="00D4118B">
        <w:rPr>
          <w:rFonts w:cs="Arial"/>
        </w:rPr>
        <w:t>-1.</w:t>
      </w:r>
      <w:r w:rsidR="00C268D8">
        <w:rPr>
          <w:rFonts w:cs="Arial"/>
        </w:rPr>
        <w:t>51</w:t>
      </w:r>
      <w:r w:rsidRPr="00D4118B">
        <w:rPr>
          <w:rFonts w:cs="Arial"/>
        </w:rPr>
        <w:t xml:space="preserve"> (m, </w:t>
      </w:r>
      <w:r w:rsidR="004D3EA8">
        <w:rPr>
          <w:rFonts w:cs="Arial"/>
        </w:rPr>
        <w:t>8</w:t>
      </w:r>
      <w:r w:rsidRPr="00D4118B">
        <w:rPr>
          <w:rFonts w:cs="Arial"/>
        </w:rPr>
        <w:t>H), 1.</w:t>
      </w:r>
      <w:r w:rsidR="00D93415">
        <w:rPr>
          <w:rFonts w:cs="Arial"/>
        </w:rPr>
        <w:t>56</w:t>
      </w:r>
      <w:r w:rsidRPr="00D4118B">
        <w:rPr>
          <w:rFonts w:cs="Arial"/>
        </w:rPr>
        <w:t>-1.</w:t>
      </w:r>
      <w:r w:rsidR="00D93415">
        <w:rPr>
          <w:rFonts w:cs="Arial"/>
        </w:rPr>
        <w:t>63</w:t>
      </w:r>
      <w:r w:rsidRPr="00D4118B">
        <w:rPr>
          <w:rFonts w:cs="Arial"/>
        </w:rPr>
        <w:t xml:space="preserve"> (m, </w:t>
      </w:r>
      <w:r w:rsidR="00D93415">
        <w:rPr>
          <w:rFonts w:cs="Arial"/>
        </w:rPr>
        <w:t>3</w:t>
      </w:r>
      <w:r w:rsidRPr="00D4118B">
        <w:rPr>
          <w:rFonts w:cs="Arial"/>
        </w:rPr>
        <w:t>H), 1.</w:t>
      </w:r>
      <w:r w:rsidR="00D93415">
        <w:rPr>
          <w:rFonts w:cs="Arial"/>
        </w:rPr>
        <w:t>68</w:t>
      </w:r>
      <w:r w:rsidRPr="00D4118B">
        <w:rPr>
          <w:rFonts w:cs="Arial"/>
        </w:rPr>
        <w:t xml:space="preserve"> (</w:t>
      </w:r>
      <w:r w:rsidR="00D93415">
        <w:rPr>
          <w:rFonts w:cs="Arial"/>
        </w:rPr>
        <w:t>s</w:t>
      </w:r>
      <w:r w:rsidRPr="00D4118B">
        <w:rPr>
          <w:rFonts w:cs="Arial"/>
        </w:rPr>
        <w:t xml:space="preserve">, </w:t>
      </w:r>
      <w:r w:rsidR="00D93415">
        <w:rPr>
          <w:rFonts w:cs="Arial"/>
        </w:rPr>
        <w:t>3</w:t>
      </w:r>
      <w:r w:rsidRPr="00D4118B">
        <w:rPr>
          <w:rFonts w:cs="Arial"/>
        </w:rPr>
        <w:t>H), 1.</w:t>
      </w:r>
      <w:r w:rsidR="00554512">
        <w:rPr>
          <w:rFonts w:cs="Arial"/>
        </w:rPr>
        <w:t>69</w:t>
      </w:r>
      <w:r w:rsidRPr="00D4118B">
        <w:rPr>
          <w:rFonts w:cs="Arial"/>
        </w:rPr>
        <w:t>-</w:t>
      </w:r>
      <w:r w:rsidR="00554512">
        <w:rPr>
          <w:rFonts w:cs="Arial"/>
        </w:rPr>
        <w:t>1.87</w:t>
      </w:r>
      <w:r w:rsidRPr="00D4118B">
        <w:rPr>
          <w:rFonts w:cs="Arial"/>
        </w:rPr>
        <w:t xml:space="preserve"> (m, 2H), </w:t>
      </w:r>
      <w:r w:rsidR="00E00826">
        <w:rPr>
          <w:rFonts w:cs="Arial"/>
        </w:rPr>
        <w:t>1.69-19.6</w:t>
      </w:r>
      <w:r w:rsidRPr="00D4118B">
        <w:rPr>
          <w:rFonts w:cs="Arial"/>
        </w:rPr>
        <w:t xml:space="preserve"> (</w:t>
      </w:r>
      <w:r w:rsidR="00E00826">
        <w:rPr>
          <w:rFonts w:cs="Arial"/>
        </w:rPr>
        <w:t>dt</w:t>
      </w:r>
      <w:r w:rsidRPr="00D4118B">
        <w:rPr>
          <w:rFonts w:cs="Arial"/>
        </w:rPr>
        <w:t>,</w:t>
      </w:r>
      <w:r w:rsidR="00E00826">
        <w:rPr>
          <w:rFonts w:cs="Arial"/>
        </w:rPr>
        <w:t xml:space="preserve"> </w:t>
      </w:r>
      <w:r w:rsidR="00E00826" w:rsidRPr="00C922CC">
        <w:rPr>
          <w:rFonts w:cs="Arial"/>
          <w:i/>
          <w:iCs/>
        </w:rPr>
        <w:t>J</w:t>
      </w:r>
      <w:r w:rsidR="00C922CC" w:rsidRPr="00C922CC">
        <w:rPr>
          <w:rFonts w:cs="Arial"/>
          <w:i/>
          <w:iCs/>
          <w:vertAlign w:val="subscript"/>
        </w:rPr>
        <w:t>d</w:t>
      </w:r>
      <w:r w:rsidR="00E00826">
        <w:rPr>
          <w:rFonts w:cs="Arial"/>
        </w:rPr>
        <w:t xml:space="preserve"> = </w:t>
      </w:r>
      <w:r w:rsidR="00C922CC">
        <w:rPr>
          <w:rFonts w:cs="Arial"/>
        </w:rPr>
        <w:t xml:space="preserve">5.4, </w:t>
      </w:r>
      <w:r w:rsidR="00C922CC" w:rsidRPr="00C922CC">
        <w:rPr>
          <w:rFonts w:cs="Arial"/>
          <w:i/>
          <w:iCs/>
        </w:rPr>
        <w:t>J</w:t>
      </w:r>
      <w:r w:rsidR="00C922CC" w:rsidRPr="00C922CC">
        <w:rPr>
          <w:rFonts w:cs="Arial"/>
          <w:i/>
          <w:iCs/>
          <w:vertAlign w:val="subscript"/>
        </w:rPr>
        <w:t>t</w:t>
      </w:r>
      <w:r w:rsidR="00C922CC" w:rsidRPr="00C922CC">
        <w:rPr>
          <w:rFonts w:cs="Arial"/>
          <w:i/>
          <w:iCs/>
        </w:rPr>
        <w:t xml:space="preserve"> </w:t>
      </w:r>
      <w:r w:rsidR="00C922CC">
        <w:rPr>
          <w:rFonts w:cs="Arial"/>
        </w:rPr>
        <w:t>= 3.0,</w:t>
      </w:r>
      <w:r w:rsidRPr="00D4118B">
        <w:rPr>
          <w:rFonts w:cs="Arial"/>
        </w:rPr>
        <w:t xml:space="preserve"> </w:t>
      </w:r>
      <w:r w:rsidR="004D3EA8">
        <w:rPr>
          <w:rFonts w:cs="Arial"/>
        </w:rPr>
        <w:t>1</w:t>
      </w:r>
      <w:r w:rsidRPr="00D4118B">
        <w:rPr>
          <w:rFonts w:cs="Arial"/>
        </w:rPr>
        <w:t xml:space="preserve">H), </w:t>
      </w:r>
      <w:r w:rsidR="000A707D">
        <w:rPr>
          <w:rFonts w:cs="Arial"/>
        </w:rPr>
        <w:t>4.4 (d</w:t>
      </w:r>
      <w:r w:rsidR="0073406C">
        <w:rPr>
          <w:rFonts w:cs="Arial"/>
        </w:rPr>
        <w:t>t</w:t>
      </w:r>
      <w:r w:rsidR="000A707D">
        <w:rPr>
          <w:rFonts w:cs="Arial"/>
        </w:rPr>
        <w:t>,</w:t>
      </w:r>
      <w:r w:rsidR="0073406C">
        <w:rPr>
          <w:rFonts w:cs="Arial"/>
        </w:rPr>
        <w:t xml:space="preserve"> </w:t>
      </w:r>
      <w:r w:rsidR="0073406C" w:rsidRPr="00C922CC">
        <w:rPr>
          <w:rFonts w:cs="Arial"/>
          <w:i/>
          <w:iCs/>
        </w:rPr>
        <w:t>J</w:t>
      </w:r>
      <w:r w:rsidR="0073406C" w:rsidRPr="00C922CC">
        <w:rPr>
          <w:rFonts w:cs="Arial"/>
          <w:i/>
          <w:iCs/>
          <w:vertAlign w:val="subscript"/>
        </w:rPr>
        <w:t>d</w:t>
      </w:r>
      <w:r w:rsidR="0073406C">
        <w:rPr>
          <w:rFonts w:cs="Arial"/>
        </w:rPr>
        <w:t xml:space="preserve"> = 1.9 Hz, </w:t>
      </w:r>
      <w:r w:rsidR="0073406C" w:rsidRPr="00C922CC">
        <w:rPr>
          <w:rFonts w:cs="Arial"/>
          <w:i/>
          <w:iCs/>
        </w:rPr>
        <w:t>J</w:t>
      </w:r>
      <w:r w:rsidR="0073406C" w:rsidRPr="00C922CC">
        <w:rPr>
          <w:rFonts w:cs="Arial"/>
          <w:i/>
          <w:iCs/>
          <w:vertAlign w:val="subscript"/>
        </w:rPr>
        <w:t>t</w:t>
      </w:r>
      <w:r w:rsidR="0073406C" w:rsidRPr="00C922CC">
        <w:rPr>
          <w:rFonts w:cs="Arial"/>
          <w:i/>
          <w:iCs/>
        </w:rPr>
        <w:t xml:space="preserve"> </w:t>
      </w:r>
      <w:r w:rsidR="0073406C">
        <w:rPr>
          <w:rFonts w:cs="Arial"/>
        </w:rPr>
        <w:t xml:space="preserve">= 1.0 </w:t>
      </w:r>
      <w:r w:rsidR="000A707D">
        <w:rPr>
          <w:rFonts w:cs="Arial"/>
        </w:rPr>
        <w:t xml:space="preserve"> </w:t>
      </w:r>
      <w:r w:rsidR="0073406C">
        <w:rPr>
          <w:rFonts w:cs="Arial"/>
        </w:rPr>
        <w:t>Hz, 1H)</w:t>
      </w:r>
      <w:r w:rsidRPr="00D4118B">
        <w:rPr>
          <w:rFonts w:cs="Arial"/>
        </w:rPr>
        <w:t xml:space="preserve"> </w:t>
      </w:r>
      <w:r w:rsidRPr="00B40B5F">
        <w:rPr>
          <w:rFonts w:cs="Arial"/>
          <w:b/>
          <w:vertAlign w:val="superscript"/>
        </w:rPr>
        <w:t>13</w:t>
      </w:r>
      <w:r w:rsidRPr="00B40B5F">
        <w:rPr>
          <w:rFonts w:cs="Arial"/>
          <w:b/>
        </w:rPr>
        <w:t>C-NMR (CDCl</w:t>
      </w:r>
      <w:r w:rsidRPr="00B40B5F">
        <w:rPr>
          <w:rFonts w:cs="Arial"/>
          <w:b/>
          <w:vertAlign w:val="subscript"/>
        </w:rPr>
        <w:t>3</w:t>
      </w:r>
      <w:r w:rsidRPr="00B40B5F">
        <w:rPr>
          <w:rFonts w:cs="Arial"/>
          <w:b/>
        </w:rPr>
        <w:t xml:space="preserve">, 125 MHz): </w:t>
      </w:r>
      <w:r w:rsidRPr="00B40B5F">
        <w:rPr>
          <w:rFonts w:cs="Arial"/>
        </w:rPr>
        <w:t>δ (ppm)</w:t>
      </w:r>
      <w:r w:rsidR="00124670">
        <w:rPr>
          <w:rFonts w:cs="Arial"/>
        </w:rPr>
        <w:t xml:space="preserve"> 15</w:t>
      </w:r>
      <w:r w:rsidR="005466F8">
        <w:rPr>
          <w:rFonts w:cs="Arial"/>
        </w:rPr>
        <w:t>.02 (1C), 18.27 (1C), 18.57 (1C)</w:t>
      </w:r>
      <w:r w:rsidR="00B0505C">
        <w:rPr>
          <w:rFonts w:cs="Arial"/>
        </w:rPr>
        <w:t>, 19.76 (1C),</w:t>
      </w:r>
      <w:r w:rsidRPr="00B40B5F">
        <w:rPr>
          <w:rFonts w:cs="Arial"/>
        </w:rPr>
        <w:t xml:space="preserve"> 20.</w:t>
      </w:r>
      <w:r w:rsidR="00B0505C">
        <w:rPr>
          <w:rFonts w:cs="Arial"/>
        </w:rPr>
        <w:t>09</w:t>
      </w:r>
      <w:r w:rsidRPr="00B40B5F">
        <w:rPr>
          <w:rFonts w:cs="Arial"/>
        </w:rPr>
        <w:t xml:space="preserve"> (1C),</w:t>
      </w:r>
      <w:r w:rsidR="00B0505C">
        <w:rPr>
          <w:rFonts w:cs="Arial"/>
        </w:rPr>
        <w:t xml:space="preserve"> 20.</w:t>
      </w:r>
      <w:r w:rsidR="00217E22">
        <w:rPr>
          <w:rFonts w:cs="Arial"/>
        </w:rPr>
        <w:t>46 (1C), 21.58 (1C),</w:t>
      </w:r>
      <w:r w:rsidRPr="00B40B5F">
        <w:rPr>
          <w:rFonts w:cs="Arial"/>
        </w:rPr>
        <w:t xml:space="preserve"> </w:t>
      </w:r>
      <w:r w:rsidR="00217E22">
        <w:rPr>
          <w:rFonts w:cs="Arial"/>
        </w:rPr>
        <w:t>33.17</w:t>
      </w:r>
      <w:r w:rsidRPr="00B40B5F">
        <w:rPr>
          <w:rFonts w:cs="Arial"/>
        </w:rPr>
        <w:t xml:space="preserve"> (1C), </w:t>
      </w:r>
      <w:r w:rsidR="00217E22">
        <w:rPr>
          <w:rFonts w:cs="Arial"/>
        </w:rPr>
        <w:t>33.</w:t>
      </w:r>
      <w:r w:rsidR="00262ED7">
        <w:rPr>
          <w:rFonts w:cs="Arial"/>
        </w:rPr>
        <w:t>45</w:t>
      </w:r>
      <w:r w:rsidRPr="00B40B5F">
        <w:rPr>
          <w:rFonts w:cs="Arial"/>
        </w:rPr>
        <w:t xml:space="preserve"> (1C), </w:t>
      </w:r>
      <w:r w:rsidR="00262ED7">
        <w:rPr>
          <w:rFonts w:cs="Arial"/>
        </w:rPr>
        <w:t>36.69</w:t>
      </w:r>
      <w:r w:rsidRPr="00B40B5F">
        <w:rPr>
          <w:rFonts w:cs="Arial"/>
        </w:rPr>
        <w:t xml:space="preserve"> (1C), </w:t>
      </w:r>
      <w:r w:rsidR="00262ED7">
        <w:rPr>
          <w:rFonts w:cs="Arial"/>
        </w:rPr>
        <w:t>39.30</w:t>
      </w:r>
      <w:r w:rsidRPr="00B40B5F">
        <w:rPr>
          <w:rFonts w:cs="Arial"/>
        </w:rPr>
        <w:t xml:space="preserve"> (1C), </w:t>
      </w:r>
      <w:r w:rsidR="00262ED7">
        <w:rPr>
          <w:rFonts w:cs="Arial"/>
        </w:rPr>
        <w:t xml:space="preserve">41.14 </w:t>
      </w:r>
      <w:r w:rsidRPr="00B40B5F">
        <w:rPr>
          <w:rFonts w:cs="Arial"/>
        </w:rPr>
        <w:t xml:space="preserve">(1C), </w:t>
      </w:r>
      <w:r w:rsidR="00262ED7">
        <w:rPr>
          <w:rFonts w:cs="Arial"/>
        </w:rPr>
        <w:t>41.91</w:t>
      </w:r>
      <w:r w:rsidRPr="00B40B5F">
        <w:rPr>
          <w:rFonts w:cs="Arial"/>
        </w:rPr>
        <w:t xml:space="preserve"> (1C), </w:t>
      </w:r>
      <w:r w:rsidR="00262ED7">
        <w:rPr>
          <w:rFonts w:cs="Arial"/>
        </w:rPr>
        <w:t>52.44</w:t>
      </w:r>
      <w:r w:rsidRPr="00B40B5F">
        <w:rPr>
          <w:rFonts w:cs="Arial"/>
        </w:rPr>
        <w:t xml:space="preserve"> (1C), </w:t>
      </w:r>
      <w:r w:rsidR="00262ED7">
        <w:rPr>
          <w:rFonts w:cs="Arial"/>
        </w:rPr>
        <w:t xml:space="preserve">56.18 </w:t>
      </w:r>
      <w:r w:rsidRPr="00B40B5F">
        <w:rPr>
          <w:rFonts w:cs="Arial"/>
        </w:rPr>
        <w:t>(</w:t>
      </w:r>
      <w:r w:rsidR="00262ED7">
        <w:rPr>
          <w:rFonts w:cs="Arial"/>
        </w:rPr>
        <w:t>2</w:t>
      </w:r>
      <w:r w:rsidRPr="00B40B5F">
        <w:rPr>
          <w:rFonts w:cs="Arial"/>
        </w:rPr>
        <w:t xml:space="preserve">C), </w:t>
      </w:r>
      <w:r w:rsidR="00262ED7">
        <w:rPr>
          <w:rFonts w:cs="Arial"/>
        </w:rPr>
        <w:t>94.61 (1C), 147.85 (1C)</w:t>
      </w:r>
      <w:r w:rsidR="0012314C" w:rsidRPr="0012314C">
        <w:rPr>
          <w:rFonts w:cs="Arial"/>
        </w:rPr>
        <w:t xml:space="preserve"> </w:t>
      </w:r>
      <w:bookmarkStart w:id="113" w:name="_Hlk130386401"/>
      <w:r w:rsidR="0012314C" w:rsidRPr="004D65DF">
        <w:rPr>
          <w:rFonts w:cs="Arial"/>
        </w:rPr>
        <w:t>[α]</w:t>
      </w:r>
      <w:r w:rsidR="0012314C" w:rsidRPr="004D65DF">
        <w:rPr>
          <w:rFonts w:cs="Arial"/>
          <w:vertAlign w:val="subscript"/>
        </w:rPr>
        <w:t>D</w:t>
      </w:r>
      <w:r w:rsidR="0012314C" w:rsidRPr="004D65DF">
        <w:rPr>
          <w:rFonts w:cs="Arial"/>
          <w:vertAlign w:val="superscript"/>
        </w:rPr>
        <w:t xml:space="preserve">20 </w:t>
      </w:r>
      <w:r w:rsidR="0012314C" w:rsidRPr="004D65DF">
        <w:rPr>
          <w:rFonts w:cs="Arial"/>
        </w:rPr>
        <w:t xml:space="preserve">= </w:t>
      </w:r>
      <w:r w:rsidR="002C5D2E">
        <w:rPr>
          <w:rFonts w:cs="Arial"/>
        </w:rPr>
        <w:t>6.4</w:t>
      </w:r>
      <w:r w:rsidR="00155B52">
        <w:rPr>
          <w:rFonts w:cs="Arial"/>
        </w:rPr>
        <w:t xml:space="preserve"> (c</w:t>
      </w:r>
      <w:r w:rsidR="00BF4F69">
        <w:rPr>
          <w:rFonts w:cs="Arial"/>
        </w:rPr>
        <w:t xml:space="preserve"> = 0.78 in CHCl</w:t>
      </w:r>
      <w:r w:rsidR="00BF4F69">
        <w:rPr>
          <w:rFonts w:cs="Arial"/>
          <w:vertAlign w:val="subscript"/>
        </w:rPr>
        <w:t>3</w:t>
      </w:r>
      <w:r w:rsidR="00BF4F69">
        <w:rPr>
          <w:rFonts w:cs="Arial"/>
        </w:rPr>
        <w:t>)</w:t>
      </w:r>
      <w:r w:rsidR="0012314C" w:rsidRPr="004D65DF">
        <w:rPr>
          <w:rFonts w:cs="Arial"/>
        </w:rPr>
        <w:t xml:space="preserve">; Lit. = </w:t>
      </w:r>
      <w:r w:rsidR="00A87618">
        <w:rPr>
          <w:rFonts w:cs="Arial"/>
        </w:rPr>
        <w:t>4</w:t>
      </w:r>
      <w:r w:rsidR="00155B52">
        <w:rPr>
          <w:rFonts w:cs="Arial"/>
        </w:rPr>
        <w:t>.</w:t>
      </w:r>
      <w:r w:rsidR="00A87618">
        <w:rPr>
          <w:rFonts w:cs="Arial"/>
        </w:rPr>
        <w:t>9</w:t>
      </w:r>
      <w:r w:rsidR="009A1E8E" w:rsidRPr="009A1E8E">
        <w:rPr>
          <w:rFonts w:cs="Arial"/>
        </w:rPr>
        <w:t xml:space="preserve"> </w:t>
      </w:r>
      <w:r w:rsidR="009A1E8E">
        <w:rPr>
          <w:rFonts w:cs="Arial"/>
        </w:rPr>
        <w:t>(c = 1.3 in CHCl</w:t>
      </w:r>
      <w:r w:rsidR="009A1E8E">
        <w:rPr>
          <w:rFonts w:cs="Arial"/>
          <w:vertAlign w:val="subscript"/>
        </w:rPr>
        <w:t>3</w:t>
      </w:r>
      <w:r w:rsidR="009A1E8E">
        <w:rPr>
          <w:rFonts w:cs="Arial"/>
        </w:rPr>
        <w:t>)</w:t>
      </w:r>
      <w:r w:rsidR="00C056AC">
        <w:rPr>
          <w:rFonts w:cs="Arial"/>
        </w:rPr>
        <w:t xml:space="preserve">. </w:t>
      </w:r>
      <w:r w:rsidR="00C056AC" w:rsidRPr="00865E71">
        <w:rPr>
          <w:rFonts w:cs="Arial"/>
        </w:rPr>
        <w:t>The data is consistent with the literature</w:t>
      </w:r>
      <w:r w:rsidR="00C056AC">
        <w:rPr>
          <w:rFonts w:cs="Arial"/>
        </w:rPr>
        <w:t>.</w:t>
      </w:r>
      <w:r w:rsidR="00A87618">
        <w:rPr>
          <w:rFonts w:cs="Arial"/>
        </w:rPr>
        <w:fldChar w:fldCharType="begin" w:fldLock="1"/>
      </w:r>
      <w:r w:rsidR="00E81BA1">
        <w:rPr>
          <w:rFonts w:cs="Arial"/>
        </w:rPr>
        <w:instrText>ADDIN CSL_CITATION {"citationItems":[{"id":"ITEM-1","itemData":{"DOI":"10.1016/S0040-4020(01)00493-8","ISSN":"00404020","abstract":"Iododecarboxylation of labdanolic acid (1), followed by dehydrohalogenation led to alkenes 4 and 12. Both compounds were converted into (1R,2R,4aS,8aS)-1-(2-hydroxyethyl)-2,5,5,8a-tetramethyldecahydro-2- naphthalenol (8), which was transformed via cyclization into (-)-Ambrox® (9). © 2001 Elsevier Science Ltd.","author":[{"dropping-particle":"","family":"Bolster","given":"Marjon G.","non-dropping-particle":"","parse-names":false,"suffix":""},{"dropping-particle":"","family":"Jansen","given":"Ben J.M.","non-dropping-particle":"","parse-names":false,"suffix":""},{"dropping-particle":"","family":"Groot","given":"Aede","non-dropping-particle":"De","parse-names":false,"suffix":""}],"container-title":"Tetrahedron","id":"ITEM-1","issue":"26","issued":{"date-parts":[["2001","6","25"]]},"page":"5657-5662","title":"The synthesis of (-)-Ambrox® starting from labdanolic acid","type":"article-journal","volume":"57"},"uris":["http://www.mendeley.com/documents/?uuid=e7b435d7-ea6d-3cd9-83aa-e19d0ecda2ee"]}],"mendeley":{"formattedCitation":"&lt;sup&gt;58&lt;/sup&gt;","plainTextFormattedCitation":"58","previouslyFormattedCitation":"&lt;sup&gt;57&lt;/sup&gt;"},"properties":{"noteIndex":0},"schema":"https://github.com/citation-style-language/schema/raw/master/csl-citation.json"}</w:instrText>
      </w:r>
      <w:r w:rsidR="00A87618">
        <w:rPr>
          <w:rFonts w:cs="Arial"/>
        </w:rPr>
        <w:fldChar w:fldCharType="separate"/>
      </w:r>
      <w:r w:rsidR="00E81BA1" w:rsidRPr="00E81BA1">
        <w:rPr>
          <w:rFonts w:cs="Arial"/>
          <w:noProof/>
          <w:vertAlign w:val="superscript"/>
        </w:rPr>
        <w:t>58</w:t>
      </w:r>
      <w:r w:rsidR="00A87618">
        <w:rPr>
          <w:rFonts w:cs="Arial"/>
        </w:rPr>
        <w:fldChar w:fldCharType="end"/>
      </w:r>
      <w:bookmarkEnd w:id="113"/>
      <w:r w:rsidR="00304A51">
        <w:rPr>
          <w:rFonts w:cs="Arial"/>
        </w:rPr>
        <w:br/>
      </w:r>
    </w:p>
    <w:p w14:paraId="0813AE65" w14:textId="4F57DC9A" w:rsidR="004771B9" w:rsidRDefault="00746001" w:rsidP="004771B9">
      <w:pPr>
        <w:pStyle w:val="Heading2"/>
        <w:rPr>
          <w:lang w:val="en-US"/>
        </w:rPr>
      </w:pPr>
      <w:bookmarkStart w:id="114" w:name="_Toc134623406"/>
      <w:r w:rsidRPr="00746001">
        <w:rPr>
          <w:i/>
          <w:iCs/>
          <w:lang w:val="en-US"/>
        </w:rPr>
        <w:t>Z</w:t>
      </w:r>
      <w:r w:rsidRPr="005C1181">
        <w:rPr>
          <w:lang w:val="en-US"/>
        </w:rPr>
        <w:t>-</w:t>
      </w:r>
      <w:r w:rsidR="00801032">
        <w:rPr>
          <w:lang w:val="en-US"/>
        </w:rPr>
        <w:t xml:space="preserve">17 </w:t>
      </w:r>
      <w:r w:rsidRPr="005C1181">
        <w:rPr>
          <w:lang w:val="en-US"/>
        </w:rPr>
        <w:t>with</w:t>
      </w:r>
      <w:r w:rsidR="00D17A77">
        <w:rPr>
          <w:lang w:val="en-US"/>
        </w:rPr>
        <w:t xml:space="preserve"> </w:t>
      </w:r>
      <w:r w:rsidRPr="005C1181">
        <w:rPr>
          <w:lang w:val="en-US"/>
        </w:rPr>
        <w:t xml:space="preserve">variant </w:t>
      </w:r>
      <w:r w:rsidR="0029491F">
        <w:rPr>
          <w:lang w:val="en-US"/>
        </w:rPr>
        <w:t>G600T L607A Y420F A306W D432T</w:t>
      </w:r>
      <w:r w:rsidR="00E600A6">
        <w:rPr>
          <w:lang w:val="en-US"/>
        </w:rPr>
        <w:t xml:space="preserve"> to </w:t>
      </w:r>
      <w:r w:rsidR="00E600A6">
        <w:rPr>
          <w:rFonts w:cs="Arial"/>
          <w:lang w:val="en-US"/>
        </w:rPr>
        <w:t>γ</w:t>
      </w:r>
      <w:r w:rsidR="00E600A6">
        <w:rPr>
          <w:lang w:val="en-US"/>
        </w:rPr>
        <w:t>-dihydroionone (</w:t>
      </w:r>
      <w:r w:rsidR="00A13C82">
        <w:rPr>
          <w:lang w:val="en-US"/>
        </w:rPr>
        <w:t>24</w:t>
      </w:r>
      <w:r w:rsidR="00E600A6">
        <w:rPr>
          <w:lang w:val="en-US"/>
        </w:rPr>
        <w:t>)</w:t>
      </w:r>
      <w:bookmarkEnd w:id="114"/>
    </w:p>
    <w:p w14:paraId="629F28D9" w14:textId="46BB707A" w:rsidR="00846E3D" w:rsidRDefault="00D4738E" w:rsidP="00846E3D">
      <w:pPr>
        <w:jc w:val="center"/>
        <w:rPr>
          <w:rFonts w:cs="Arial"/>
          <w:noProof/>
        </w:rPr>
      </w:pPr>
      <w:r w:rsidRPr="00391D88">
        <w:rPr>
          <w:rFonts w:cs="Arial"/>
          <w:noProof/>
        </w:rPr>
        <w:object w:dxaOrig="5551" w:dyaOrig="2219" w14:anchorId="0EEEE88C">
          <v:shape id="_x0000_i1029" type="#_x0000_t75" alt="" style="width:281.05pt;height:113.8pt" o:ole="">
            <v:imagedata r:id="rId36" o:title=""/>
          </v:shape>
          <o:OLEObject Type="Embed" ProgID="ChemDraw.Document.6.0" ShapeID="_x0000_i1029" DrawAspect="Content" ObjectID="_1745237617" r:id="rId37"/>
        </w:object>
      </w:r>
    </w:p>
    <w:p w14:paraId="36B7989B" w14:textId="13ED704E" w:rsidR="00846E3D" w:rsidRPr="000A30D4" w:rsidRDefault="00956207" w:rsidP="000A30D4">
      <w:pPr>
        <w:rPr>
          <w:rFonts w:cs="Arial"/>
        </w:rPr>
      </w:pPr>
      <w:r>
        <w:t>Product was obtained as a colorless oil.</w:t>
      </w:r>
      <w:r w:rsidR="00B47825">
        <w:t xml:space="preserve"> C</w:t>
      </w:r>
      <w:r w:rsidR="00B47825">
        <w:rPr>
          <w:vertAlign w:val="subscript"/>
        </w:rPr>
        <w:t>13</w:t>
      </w:r>
      <w:r w:rsidR="00B47825">
        <w:t>H</w:t>
      </w:r>
      <w:r w:rsidR="00B47825">
        <w:rPr>
          <w:vertAlign w:val="subscript"/>
        </w:rPr>
        <w:t>22</w:t>
      </w:r>
      <w:r w:rsidR="00B47825">
        <w:t>O</w:t>
      </w:r>
      <w:r>
        <w:t xml:space="preserve"> </w:t>
      </w:r>
      <w:r w:rsidRPr="00D4118B">
        <w:rPr>
          <w:rFonts w:cs="Arial"/>
          <w:b/>
          <w:vertAlign w:val="superscript"/>
        </w:rPr>
        <w:t>1</w:t>
      </w:r>
      <w:r w:rsidRPr="00D4118B">
        <w:rPr>
          <w:rFonts w:cs="Arial"/>
          <w:b/>
        </w:rPr>
        <w:t>H-NMR (CDCl</w:t>
      </w:r>
      <w:r w:rsidRPr="00D4118B">
        <w:rPr>
          <w:rFonts w:cs="Arial"/>
          <w:b/>
          <w:vertAlign w:val="subscript"/>
        </w:rPr>
        <w:t>3</w:t>
      </w:r>
      <w:r w:rsidRPr="00D4118B">
        <w:rPr>
          <w:rFonts w:cs="Arial"/>
          <w:b/>
        </w:rPr>
        <w:t xml:space="preserve">, 500 MHz): </w:t>
      </w:r>
      <w:r w:rsidRPr="00D4118B">
        <w:rPr>
          <w:rFonts w:cs="Arial"/>
        </w:rPr>
        <w:t xml:space="preserve">δ (ppm) 0.87 (s, 3H), 0.92 (s, 3H) 1.10-1.30 (m, </w:t>
      </w:r>
      <w:r w:rsidR="00CB7E45">
        <w:rPr>
          <w:rFonts w:cs="Arial"/>
        </w:rPr>
        <w:t>2</w:t>
      </w:r>
      <w:r w:rsidRPr="00D4118B">
        <w:rPr>
          <w:rFonts w:cs="Arial"/>
        </w:rPr>
        <w:t xml:space="preserve">H), 1.42-1.62 (m, </w:t>
      </w:r>
      <w:r w:rsidR="00CB7E45">
        <w:rPr>
          <w:rFonts w:cs="Arial"/>
        </w:rPr>
        <w:t>3</w:t>
      </w:r>
      <w:r w:rsidRPr="00D4118B">
        <w:rPr>
          <w:rFonts w:cs="Arial"/>
        </w:rPr>
        <w:t xml:space="preserve">H), 1.66-1.70 (m, 1H), 1.76-1.83 (m, 1H), 1.97-2.04 (m, 2H), 2.11 (s, 3H), 2.22-2.45 (m, 2H), 4.50-4.51 (d, </w:t>
      </w:r>
      <w:r w:rsidRPr="00D4118B">
        <w:rPr>
          <w:rFonts w:cs="Arial"/>
          <w:i/>
        </w:rPr>
        <w:t>J</w:t>
      </w:r>
      <w:r w:rsidRPr="00D4118B">
        <w:rPr>
          <w:rFonts w:cs="Arial"/>
        </w:rPr>
        <w:t xml:space="preserve"> = 1.03 Hz, 1H), 4.75-4.77 (m, 1H). </w:t>
      </w:r>
      <w:r w:rsidRPr="00D4118B">
        <w:rPr>
          <w:rFonts w:cs="Arial"/>
          <w:b/>
          <w:vertAlign w:val="superscript"/>
        </w:rPr>
        <w:t>13</w:t>
      </w:r>
      <w:r w:rsidRPr="00D4118B">
        <w:rPr>
          <w:rFonts w:cs="Arial"/>
          <w:b/>
        </w:rPr>
        <w:t>C-NMR (CDCl</w:t>
      </w:r>
      <w:r w:rsidRPr="00D4118B">
        <w:rPr>
          <w:rFonts w:cs="Arial"/>
          <w:b/>
          <w:vertAlign w:val="subscript"/>
        </w:rPr>
        <w:t>3</w:t>
      </w:r>
      <w:r w:rsidRPr="00D4118B">
        <w:rPr>
          <w:rFonts w:cs="Arial"/>
          <w:b/>
        </w:rPr>
        <w:t xml:space="preserve">, 125 MHz): </w:t>
      </w:r>
      <w:r w:rsidRPr="00D4118B">
        <w:rPr>
          <w:rFonts w:cs="Arial"/>
        </w:rPr>
        <w:t>δ (ppm) 20.31 (1C), 22.62 (1C), 23.52 (1C), 26.5 (1C), 28.3 (1C), 30.20 (1C), 32.00 (1C), 34.83 (1C), 42.38 (1C), 53.40 (1C), 109.5 (1C), 149.09 (1C), 209.52 (1C). The data is consistent with the literature</w:t>
      </w:r>
      <w:r>
        <w:rPr>
          <w:rFonts w:cs="Arial"/>
        </w:rPr>
        <w:t>.</w:t>
      </w:r>
      <w:r w:rsidRPr="00D4118B">
        <w:rPr>
          <w:rFonts w:cs="Arial"/>
        </w:rPr>
        <w:fldChar w:fldCharType="begin" w:fldLock="1"/>
      </w:r>
      <w:r w:rsidR="00E81BA1">
        <w:rPr>
          <w:rFonts w:cs="Arial"/>
        </w:rPr>
        <w:instrText>ADDIN CSL_CITATION {"citationItems":[{"id":"ITEM-1","itemData":{"DOI":"10.1002/ffj.3126","ISSN":"08825734","abstract":"We report the enantioselective synthesis of the ambergris odorants (+)-(S)-γ-ionone, (+)-(S)-γ-dihydroionone, (-)-α-ambrinol, (+)-(S)-γ-coronal, (-)-(S)-γ-homocyclogeranyl chloride and (+)-(S)-γ-homocyclogeraniol. At first, the enantio-enriched (4R,6S)-4-acetoxy-γ-ionone was prepared starting from commercial racemic ionone alpha by means of a chemo-enzymatic process. This chiral building block was then converted into (S)-γ-dihydroionone which was used as the starting material for the synthesis of the aforementioned odorants. © 2012 John Wiley &amp; Sons, Ltd.","author":[{"dropping-particle":"","family":"Serra","given":"Stefano","non-dropping-particle":"","parse-names":false,"suffix":""}],"container-title":"Flavour and Fragrance Journal","id":"ITEM-1","issue":"1","issued":{"date-parts":[["2013"]]},"page":"46-52","title":"An expedient preparation of enantio-enriched ambergris odorants starting from commercial ionone alpha","type":"article-journal","volume":"28"},"uris":["http://www.mendeley.com/documents/?uuid=15190436-73f8-4630-81d0-4a63624de4fa"]}],"mendeley":{"formattedCitation":"&lt;sup&gt;59&lt;/sup&gt;","plainTextFormattedCitation":"59","previouslyFormattedCitation":"&lt;sup&gt;58&lt;/sup&gt;"},"properties":{"noteIndex":0},"schema":"https://github.com/citation-style-language/schema/raw/master/csl-citation.json"}</w:instrText>
      </w:r>
      <w:r w:rsidRPr="00D4118B">
        <w:rPr>
          <w:rFonts w:cs="Arial"/>
        </w:rPr>
        <w:fldChar w:fldCharType="separate"/>
      </w:r>
      <w:r w:rsidR="00E81BA1" w:rsidRPr="00E81BA1">
        <w:rPr>
          <w:rFonts w:cs="Arial"/>
          <w:noProof/>
          <w:vertAlign w:val="superscript"/>
        </w:rPr>
        <w:t>59</w:t>
      </w:r>
      <w:r w:rsidRPr="00D4118B">
        <w:rPr>
          <w:rFonts w:cs="Arial"/>
        </w:rPr>
        <w:fldChar w:fldCharType="end"/>
      </w:r>
      <w:r w:rsidR="00917055">
        <w:rPr>
          <w:rFonts w:cs="Arial"/>
        </w:rPr>
        <w:t xml:space="preserve"> </w:t>
      </w:r>
      <w:r w:rsidR="007001B0">
        <w:rPr>
          <w:rFonts w:cs="Arial"/>
        </w:rPr>
        <w:t xml:space="preserve">Stereoselectivity was determined in ref. </w:t>
      </w:r>
      <w:r w:rsidR="007001B0" w:rsidRPr="00C056AC">
        <w:rPr>
          <w:rFonts w:cs="Arial"/>
        </w:rPr>
        <w:fldChar w:fldCharType="begin" w:fldLock="1"/>
      </w:r>
      <w:r w:rsidR="00E81BA1">
        <w:rPr>
          <w:rFonts w:cs="Arial"/>
        </w:rPr>
        <w:instrText>ADDIN CSL_CITATION {"citationItems":[{"id":"ITEM-1","itemData":{"DOI":"10.1002/anie.202101228","ISSN":"15213773","PMID":"33769659","abstract":"Cascade reactions appeared as a cutting-edge strategy to streamline the assembly of complex structural scaffolds from naturally available precursors in an atom-, as well as time, labor- and cost-efficient way. We herein report a strategy to control cationic cyclization cascades by exploiting the ability of anchoring dynamic substrates in the active site of terpene cyclases via designed hydrogen bonding. Thereby, it is possible to induce “directed” cyclizations in contrast to established “non-stop” cyclizations (99:1) and predestinate cascade termination at otherwise catalytically barely accessible intermediates. As a result, we are able to provide efficient access to naturally widely occurring apocarotenoids, value-added flavors and fragrances in gram-scale by replacing multi-stage synthetic routes to a single step with unprecedented selectivity (&gt;99.5 % ee) and high yields (up to 89 %).","author":[{"dropping-particle":"","family":"Schneider","given":"Andreas","non-dropping-particle":"","parse-names":false,"suffix":""},{"dropping-particle":"","family":"Jegl","given":"Philipp","non-dropping-particle":"","parse-names":false,"suffix":""},{"dropping-particle":"","family":"Hauer","given":"Bernhard","non-dropping-particle":"","parse-names":false,"suffix":""}],"container-title":"Angewandte Chemie - International Edition","id":"ITEM-1","issue":"24","issued":{"date-parts":[["2021","6","7"]]},"page":"13251-13256","publisher":"John Wiley and Sons Inc","title":"Stereoselective Directed Cationic Cascades Enabled by Molecular Anchoring in Terpene Cyclases","type":"article-journal","volume":"60"},"uris":["http://www.mendeley.com/documents/?uuid=3b0947be-3de3-30e1-ae4f-52f6910ee5d4"]}],"mendeley":{"formattedCitation":"&lt;sup&gt;7&lt;/sup&gt;","plainTextFormattedCitation":"7","previouslyFormattedCitation":"&lt;sup&gt;6&lt;/sup&gt;"},"properties":{"noteIndex":0},"schema":"https://github.com/citation-style-language/schema/raw/master/csl-citation.json"}</w:instrText>
      </w:r>
      <w:r w:rsidR="007001B0" w:rsidRPr="00C056AC">
        <w:rPr>
          <w:rFonts w:cs="Arial"/>
        </w:rPr>
        <w:fldChar w:fldCharType="separate"/>
      </w:r>
      <w:r w:rsidR="00E81BA1" w:rsidRPr="00E81BA1">
        <w:rPr>
          <w:rFonts w:cs="Arial"/>
          <w:noProof/>
          <w:vertAlign w:val="superscript"/>
        </w:rPr>
        <w:t>7</w:t>
      </w:r>
      <w:r w:rsidR="007001B0" w:rsidRPr="00C056AC">
        <w:rPr>
          <w:rFonts w:cs="Arial"/>
        </w:rPr>
        <w:fldChar w:fldCharType="end"/>
      </w:r>
      <w:r w:rsidR="00C056AC">
        <w:rPr>
          <w:rFonts w:cs="Arial"/>
        </w:rPr>
        <w:t>.</w:t>
      </w:r>
    </w:p>
    <w:p w14:paraId="4B416A4E" w14:textId="55039A79" w:rsidR="004771B9" w:rsidRDefault="00A13C82" w:rsidP="004771B9">
      <w:pPr>
        <w:pStyle w:val="Heading2"/>
        <w:rPr>
          <w:lang w:val="en-US"/>
        </w:rPr>
      </w:pPr>
      <w:bookmarkStart w:id="115" w:name="_Toc134623407"/>
      <w:r>
        <w:rPr>
          <w:lang w:val="en-US"/>
        </w:rPr>
        <w:lastRenderedPageBreak/>
        <w:t>8</w:t>
      </w:r>
      <w:r w:rsidR="00D17A77" w:rsidRPr="00D17A77">
        <w:rPr>
          <w:lang w:val="en-US"/>
        </w:rPr>
        <w:t xml:space="preserve"> with var</w:t>
      </w:r>
      <w:r w:rsidR="00D17A77">
        <w:rPr>
          <w:lang w:val="en-US"/>
        </w:rPr>
        <w:t>iant A306W</w:t>
      </w:r>
      <w:r w:rsidR="00E600A6">
        <w:rPr>
          <w:lang w:val="en-US"/>
        </w:rPr>
        <w:t xml:space="preserve"> to drimane diol (</w:t>
      </w:r>
      <w:r>
        <w:rPr>
          <w:lang w:val="en-US"/>
        </w:rPr>
        <w:t>9</w:t>
      </w:r>
      <w:r w:rsidR="00E600A6">
        <w:rPr>
          <w:lang w:val="en-US"/>
        </w:rPr>
        <w:t>)</w:t>
      </w:r>
      <w:bookmarkEnd w:id="115"/>
    </w:p>
    <w:p w14:paraId="759BE372" w14:textId="4BA88FD7" w:rsidR="00447ACA" w:rsidRPr="00447ACA" w:rsidRDefault="002777B2" w:rsidP="002F42E6">
      <w:pPr>
        <w:jc w:val="center"/>
      </w:pPr>
      <w:r>
        <w:rPr>
          <w:noProof/>
        </w:rPr>
        <w:object w:dxaOrig="5870" w:dyaOrig="2157" w14:anchorId="50A747B2">
          <v:shape id="_x0000_i1030" type="#_x0000_t75" alt="" style="width:303.1pt;height:113.8pt" o:ole="">
            <v:imagedata r:id="rId38" o:title=""/>
          </v:shape>
          <o:OLEObject Type="Embed" ProgID="ChemDraw.Document.6.0" ShapeID="_x0000_i1030" DrawAspect="Content" ObjectID="_1745237618" r:id="rId39"/>
        </w:object>
      </w:r>
    </w:p>
    <w:p w14:paraId="7AE64214" w14:textId="5B67CB14" w:rsidR="000A30D4" w:rsidRPr="00A22BF2" w:rsidRDefault="002F42E6" w:rsidP="00A22BF2">
      <w:r w:rsidRPr="006E4B60">
        <w:t>Product was obtained as a white solid.</w:t>
      </w:r>
      <w:r w:rsidR="009D7B69" w:rsidRPr="006E4B60">
        <w:t xml:space="preserve"> C</w:t>
      </w:r>
      <w:r w:rsidR="009D7B69" w:rsidRPr="006E4B60">
        <w:rPr>
          <w:vertAlign w:val="subscript"/>
        </w:rPr>
        <w:t>15</w:t>
      </w:r>
      <w:r w:rsidR="009D7B69" w:rsidRPr="006E4B60">
        <w:t>H</w:t>
      </w:r>
      <w:r w:rsidR="009D7B69" w:rsidRPr="006E4B60">
        <w:rPr>
          <w:vertAlign w:val="subscript"/>
        </w:rPr>
        <w:t>28</w:t>
      </w:r>
      <w:r w:rsidR="009D7B69" w:rsidRPr="006E4B60">
        <w:t>O</w:t>
      </w:r>
      <w:r w:rsidR="00F12EC5" w:rsidRPr="006E4B60">
        <w:rPr>
          <w:vertAlign w:val="subscript"/>
        </w:rPr>
        <w:t>2</w:t>
      </w:r>
      <w:r>
        <w:t xml:space="preserve"> </w:t>
      </w:r>
      <w:r w:rsidR="00447ACA" w:rsidRPr="00447ACA">
        <w:rPr>
          <w:b/>
          <w:vertAlign w:val="superscript"/>
        </w:rPr>
        <w:t>1</w:t>
      </w:r>
      <w:r w:rsidR="00447ACA" w:rsidRPr="00447ACA">
        <w:rPr>
          <w:b/>
        </w:rPr>
        <w:t>H-NMR</w:t>
      </w:r>
      <w:r w:rsidR="00447ACA" w:rsidRPr="00447ACA">
        <w:t xml:space="preserve"> (</w:t>
      </w:r>
      <w:r w:rsidR="00447ACA" w:rsidRPr="00447ACA">
        <w:rPr>
          <w:b/>
        </w:rPr>
        <w:t>CDCl</w:t>
      </w:r>
      <w:r w:rsidR="00447ACA" w:rsidRPr="00447ACA">
        <w:rPr>
          <w:b/>
          <w:vertAlign w:val="subscript"/>
        </w:rPr>
        <w:t>3</w:t>
      </w:r>
      <w:r w:rsidR="00447ACA" w:rsidRPr="00447ACA">
        <w:t xml:space="preserve">, </w:t>
      </w:r>
      <w:r w:rsidR="00447ACA" w:rsidRPr="00447ACA">
        <w:rPr>
          <w:b/>
        </w:rPr>
        <w:t>500 MHz</w:t>
      </w:r>
      <w:r w:rsidR="00447ACA" w:rsidRPr="00447ACA">
        <w:t>): δ (ppm) 0.79 (s, 6H), 0.88 (s, 3H), 0.95-0.98 (</w:t>
      </w:r>
      <w:r w:rsidR="000F215A">
        <w:t>m</w:t>
      </w:r>
      <w:r w:rsidR="00447ACA" w:rsidRPr="00447ACA">
        <w:t xml:space="preserve">, 1H), 1.07-1.29 (m, 4H), 1.35 (s, 3H), 1.42-1.57 (m, </w:t>
      </w:r>
      <w:r w:rsidR="000741A3">
        <w:t>4</w:t>
      </w:r>
      <w:r w:rsidR="00447ACA" w:rsidRPr="00447ACA">
        <w:t>H), 1.63</w:t>
      </w:r>
      <w:r w:rsidR="007350D1">
        <w:t>-</w:t>
      </w:r>
      <w:r w:rsidR="00447ACA" w:rsidRPr="00447ACA">
        <w:t xml:space="preserve">1.67 (m, </w:t>
      </w:r>
      <w:r w:rsidR="00F12EC5">
        <w:t>2</w:t>
      </w:r>
      <w:r w:rsidR="00447ACA" w:rsidRPr="00447ACA">
        <w:t xml:space="preserve">H), 1.87-1.90 (tt, </w:t>
      </w:r>
      <w:r w:rsidR="00447ACA" w:rsidRPr="00447ACA">
        <w:rPr>
          <w:i/>
          <w:iCs/>
        </w:rPr>
        <w:t>J</w:t>
      </w:r>
      <w:r w:rsidR="00BB0FE8">
        <w:rPr>
          <w:i/>
          <w:iCs/>
          <w:vertAlign w:val="subscript"/>
        </w:rPr>
        <w:t>t</w:t>
      </w:r>
      <w:r w:rsidR="00BB0FE8">
        <w:rPr>
          <w:i/>
          <w:iCs/>
        </w:rPr>
        <w:t xml:space="preserve"> </w:t>
      </w:r>
      <w:r w:rsidR="00447ACA" w:rsidRPr="00447ACA">
        <w:t>=</w:t>
      </w:r>
      <w:r w:rsidR="000F215A">
        <w:t xml:space="preserve"> </w:t>
      </w:r>
      <w:r w:rsidR="00447ACA" w:rsidRPr="00447ACA">
        <w:t xml:space="preserve">6.1 Hz, 1H), 3.91-3.93 (m, </w:t>
      </w:r>
      <w:r w:rsidR="007350D1">
        <w:t>2</w:t>
      </w:r>
      <w:r w:rsidR="00447ACA" w:rsidRPr="00447ACA">
        <w:t xml:space="preserve">H). </w:t>
      </w:r>
      <w:r w:rsidR="00447ACA" w:rsidRPr="00447ACA">
        <w:rPr>
          <w:b/>
          <w:vertAlign w:val="superscript"/>
        </w:rPr>
        <w:t>13</w:t>
      </w:r>
      <w:r w:rsidR="00447ACA" w:rsidRPr="00447ACA">
        <w:rPr>
          <w:b/>
        </w:rPr>
        <w:t>C-NMR (CDCl</w:t>
      </w:r>
      <w:r w:rsidR="00447ACA" w:rsidRPr="00447ACA">
        <w:rPr>
          <w:b/>
          <w:vertAlign w:val="subscript"/>
        </w:rPr>
        <w:t>3</w:t>
      </w:r>
      <w:r w:rsidR="00447ACA" w:rsidRPr="00447ACA">
        <w:rPr>
          <w:b/>
        </w:rPr>
        <w:t xml:space="preserve">, 125 MHz): </w:t>
      </w:r>
      <w:r w:rsidR="00447ACA" w:rsidRPr="00447ACA">
        <w:t>δ (ppm)</w:t>
      </w:r>
      <w:r w:rsidR="00447ACA" w:rsidRPr="00447ACA">
        <w:rPr>
          <w:b/>
        </w:rPr>
        <w:t xml:space="preserve"> </w:t>
      </w:r>
      <w:r w:rsidR="00447ACA" w:rsidRPr="00447ACA">
        <w:t xml:space="preserve">16.05 (1C), 18.61 (1C), 20.19 (1C), 21.62 (1C), 24.30 (1C), 33.28 (1C), 33.56 (1C), 37.53 (1C), 39.99 (1C), 41.69 (1C), 44.51 (1C), 55.92 (1C), 60.52 (1C), 61.15 (1C), 75.14 (1C). </w:t>
      </w:r>
      <w:r w:rsidR="00447ACA" w:rsidRPr="00447ACA">
        <w:rPr>
          <w:szCs w:val="20"/>
        </w:rPr>
        <w:t>The data is consistent with the literature.</w:t>
      </w:r>
      <w:r w:rsidR="00447ACA" w:rsidRPr="00447ACA">
        <w:rPr>
          <w:szCs w:val="20"/>
        </w:rPr>
        <w:fldChar w:fldCharType="begin" w:fldLock="1"/>
      </w:r>
      <w:r w:rsidR="00E81BA1">
        <w:rPr>
          <w:szCs w:val="20"/>
        </w:rPr>
        <w:instrText>ADDIN CSL_CITATION {"citationItems":[{"id":"ITEM-1","itemData":{"DOI":"10.1002/EJOC.200400795","ISSN":"1099-0690","abstract":"The synthesis of austrodoral (1), a marine nor-sesquiterpene that contains a unique bicyclic skeleton, has been achieved. The synthetic strategy is based on the ring contraction of a suitable optically active drimanic epoxy derivative, obtained from commercially available (+)-sclareolide (4). Fluorosulfonic acid was found to promote the ring contraction ef ficiently. The nor-sesquiterpene hydrocarbon 13, a key intermediate in the synthesis of sesquiterpene hydroquinones, has also been prepared in optically active form. © Wiley-VCH Verlag GmbH &amp; Co. KGaA, 69451 Weinheim, Germany, 2005).","author":[{"dropping-particle":"","family":"Kulciţki","given":"Veaceslav","non-dropping-particle":"","parse-names":false,"suffix":""},{"dropping-particle":"","family":"Ungur","given":"Nicon","non-dropping-particle":"","parse-names":false,"suffix":""},{"dropping-particle":"","family":"Gavagnin","given":"Margherita","non-dropping-particle":"","parse-names":false,"suffix":""},{"dropping-particle":"","family":"Carbone","given":"Marianna","non-dropping-particle":"","parse-names":false,"suffix":""},{"dropping-particle":"","family":"Cimino","given":"Guido","non-dropping-particle":"","parse-names":false,"suffix":""}],"container-title":"European Journal of Organic Chemistry","id":"ITEM-1","issue":"9","issued":{"date-parts":[["2005","5","1"]]},"page":"1816-1822","publisher":"John Wiley &amp; Sons, Ltd","title":"Further Synthetic Studies Towards the Austrodorane Skeleton: Synthesis of Austrodoral","type":"article-journal","volume":"2005"},"uris":["http://www.mendeley.com/documents/?uuid=9c5d91bd-9023-3606-9b88-3c17b70400c2"]}],"mendeley":{"formattedCitation":"&lt;sup&gt;60&lt;/sup&gt;","plainTextFormattedCitation":"60","previouslyFormattedCitation":"&lt;sup&gt;59&lt;/sup&gt;"},"properties":{"noteIndex":0},"schema":"https://github.com/citation-style-language/schema/raw/master/csl-citation.json"}</w:instrText>
      </w:r>
      <w:r w:rsidR="00447ACA" w:rsidRPr="00447ACA">
        <w:rPr>
          <w:szCs w:val="20"/>
        </w:rPr>
        <w:fldChar w:fldCharType="separate"/>
      </w:r>
      <w:r w:rsidR="00E81BA1" w:rsidRPr="00E81BA1">
        <w:rPr>
          <w:noProof/>
          <w:szCs w:val="20"/>
          <w:vertAlign w:val="superscript"/>
        </w:rPr>
        <w:t>60</w:t>
      </w:r>
      <w:r w:rsidR="00447ACA" w:rsidRPr="00447ACA">
        <w:rPr>
          <w:szCs w:val="20"/>
        </w:rPr>
        <w:fldChar w:fldCharType="end"/>
      </w:r>
      <w:r w:rsidR="00A87618">
        <w:rPr>
          <w:szCs w:val="20"/>
        </w:rPr>
        <w:t xml:space="preserve"> </w:t>
      </w:r>
      <w:r w:rsidR="00A87618" w:rsidRPr="00A87618">
        <w:rPr>
          <w:szCs w:val="20"/>
        </w:rPr>
        <w:t>[α]</w:t>
      </w:r>
      <w:r w:rsidR="00A87618" w:rsidRPr="00A87618">
        <w:rPr>
          <w:szCs w:val="20"/>
          <w:vertAlign w:val="subscript"/>
        </w:rPr>
        <w:t>D</w:t>
      </w:r>
      <w:r w:rsidR="00A87618" w:rsidRPr="00A87618">
        <w:rPr>
          <w:szCs w:val="20"/>
          <w:vertAlign w:val="superscript"/>
        </w:rPr>
        <w:t xml:space="preserve">20 </w:t>
      </w:r>
      <w:r w:rsidR="00A87618" w:rsidRPr="00A87618">
        <w:rPr>
          <w:szCs w:val="20"/>
        </w:rPr>
        <w:t>= +</w:t>
      </w:r>
      <w:r w:rsidR="009276AF">
        <w:rPr>
          <w:szCs w:val="20"/>
        </w:rPr>
        <w:t>10</w:t>
      </w:r>
      <w:r w:rsidR="00A87618" w:rsidRPr="00A87618">
        <w:rPr>
          <w:szCs w:val="20"/>
        </w:rPr>
        <w:t>.</w:t>
      </w:r>
      <w:r w:rsidR="009276AF">
        <w:rPr>
          <w:szCs w:val="20"/>
        </w:rPr>
        <w:t>2</w:t>
      </w:r>
      <w:r w:rsidR="00A87618" w:rsidRPr="00A87618">
        <w:rPr>
          <w:szCs w:val="20"/>
        </w:rPr>
        <w:t xml:space="preserve"> (c = 0.</w:t>
      </w:r>
      <w:r w:rsidR="00665E22">
        <w:rPr>
          <w:szCs w:val="20"/>
        </w:rPr>
        <w:t>98</w:t>
      </w:r>
      <w:r w:rsidR="00A87618" w:rsidRPr="00A87618">
        <w:rPr>
          <w:szCs w:val="20"/>
        </w:rPr>
        <w:t xml:space="preserve"> in CHCl</w:t>
      </w:r>
      <w:r w:rsidR="00A87618" w:rsidRPr="00A87618">
        <w:rPr>
          <w:szCs w:val="20"/>
          <w:vertAlign w:val="subscript"/>
        </w:rPr>
        <w:t>3</w:t>
      </w:r>
      <w:r w:rsidR="00A87618" w:rsidRPr="00A87618">
        <w:rPr>
          <w:szCs w:val="20"/>
        </w:rPr>
        <w:t xml:space="preserve">); Lit. = </w:t>
      </w:r>
      <w:r w:rsidR="0098380C">
        <w:rPr>
          <w:szCs w:val="20"/>
        </w:rPr>
        <w:t>5</w:t>
      </w:r>
      <w:r w:rsidR="00A87618" w:rsidRPr="00A87618">
        <w:rPr>
          <w:szCs w:val="20"/>
        </w:rPr>
        <w:t>.</w:t>
      </w:r>
      <w:r w:rsidR="0098380C">
        <w:rPr>
          <w:szCs w:val="20"/>
        </w:rPr>
        <w:t>5</w:t>
      </w:r>
      <w:r w:rsidR="00A87618" w:rsidRPr="00A87618">
        <w:rPr>
          <w:szCs w:val="20"/>
        </w:rPr>
        <w:t xml:space="preserve"> (c = </w:t>
      </w:r>
      <w:r w:rsidR="00665E22">
        <w:rPr>
          <w:szCs w:val="20"/>
        </w:rPr>
        <w:t>0.</w:t>
      </w:r>
      <w:r w:rsidR="00A12E8E">
        <w:rPr>
          <w:szCs w:val="20"/>
        </w:rPr>
        <w:t>5</w:t>
      </w:r>
      <w:r w:rsidR="00A87618" w:rsidRPr="00A87618">
        <w:rPr>
          <w:szCs w:val="20"/>
        </w:rPr>
        <w:t xml:space="preserve"> in CHCl</w:t>
      </w:r>
      <w:r w:rsidR="00A87618" w:rsidRPr="00A87618">
        <w:rPr>
          <w:szCs w:val="20"/>
          <w:vertAlign w:val="subscript"/>
        </w:rPr>
        <w:t>3</w:t>
      </w:r>
      <w:r w:rsidR="00A87618" w:rsidRPr="00A87618">
        <w:rPr>
          <w:szCs w:val="20"/>
        </w:rPr>
        <w:t>)</w:t>
      </w:r>
      <w:r w:rsidR="00DA51E9">
        <w:rPr>
          <w:szCs w:val="20"/>
        </w:rPr>
        <w:t>.</w:t>
      </w:r>
      <w:r w:rsidR="00DA51E9">
        <w:rPr>
          <w:szCs w:val="20"/>
        </w:rPr>
        <w:fldChar w:fldCharType="begin" w:fldLock="1"/>
      </w:r>
      <w:r w:rsidR="00E81BA1">
        <w:rPr>
          <w:szCs w:val="20"/>
        </w:rPr>
        <w:instrText>ADDIN CSL_CITATION {"citationItems":[{"id":"ITEM-1","itemData":{"DOI":"10.1016/0957-4166(96)00203-0","ISSN":"0957-4166","abstract":"Enantiomerically pure Ambrox® was synthesized from (-)-13,14,15,16- tetranor-8α,12-labdanediol, which was prepared by lipase catalyzed kinetic resolution of (±)-drimane-8,11-diol.","author":[{"dropping-particle":"","family":"Tanimoto","given":"Hisahide","non-dropping-particle":"","parse-names":false,"suffix":""},{"dropping-particle":"","family":"Oritani","given":"Takayuki","non-dropping-particle":"","parse-names":false,"suffix":""}],"container-title":"Tetrahedron: Asymmetry","id":"ITEM-1","issue":"6","issued":{"date-parts":[["1996","6","1"]]},"page":"1695-1704","publisher":"Pergamon","title":"Practical synthesis of Ambrox® from farnesyl acetate involving lipase catalyzed resolution","type":"article-journal","volume":"7"},"uris":["http://www.mendeley.com/documents/?uuid=b8641269-6138-3297-b261-b09b3042682f"]}],"mendeley":{"formattedCitation":"&lt;sup&gt;61&lt;/sup&gt;","plainTextFormattedCitation":"61","previouslyFormattedCitation":"&lt;sup&gt;60&lt;/sup&gt;"},"properties":{"noteIndex":0},"schema":"https://github.com/citation-style-language/schema/raw/master/csl-citation.json"}</w:instrText>
      </w:r>
      <w:r w:rsidR="00DA51E9">
        <w:rPr>
          <w:szCs w:val="20"/>
        </w:rPr>
        <w:fldChar w:fldCharType="separate"/>
      </w:r>
      <w:r w:rsidR="00E81BA1" w:rsidRPr="00E81BA1">
        <w:rPr>
          <w:noProof/>
          <w:szCs w:val="20"/>
          <w:vertAlign w:val="superscript"/>
        </w:rPr>
        <w:t>61</w:t>
      </w:r>
      <w:r w:rsidR="00DA51E9">
        <w:rPr>
          <w:szCs w:val="20"/>
        </w:rPr>
        <w:fldChar w:fldCharType="end"/>
      </w:r>
      <w:r w:rsidR="00665E22" w:rsidRPr="00447ACA">
        <w:t xml:space="preserve"> </w:t>
      </w:r>
      <w:r w:rsidR="008606E4">
        <w:t>*assume</w:t>
      </w:r>
      <w:r w:rsidR="001B44D4">
        <w:t>d</w:t>
      </w:r>
      <w:r w:rsidR="008606E4">
        <w:t xml:space="preserve"> due to </w:t>
      </w:r>
      <w:r w:rsidR="00242613">
        <w:t xml:space="preserve">enantioselective cyclization of </w:t>
      </w:r>
      <w:r w:rsidR="001B44D4" w:rsidRPr="001B44D4">
        <w:rPr>
          <w:i/>
          <w:iCs/>
        </w:rPr>
        <w:t>E</w:t>
      </w:r>
      <w:r w:rsidR="001B44D4">
        <w:t>,</w:t>
      </w:r>
      <w:r w:rsidR="001B44D4" w:rsidRPr="001B44D4">
        <w:rPr>
          <w:i/>
          <w:iCs/>
        </w:rPr>
        <w:t>E</w:t>
      </w:r>
      <w:r w:rsidR="001B44D4">
        <w:t xml:space="preserve">-farnesol </w:t>
      </w:r>
      <w:r w:rsidR="00665995">
        <w:t>8</w:t>
      </w:r>
      <w:r w:rsidR="001B44D4">
        <w:t xml:space="preserve"> to drimenol (see supporting chromatograms)</w:t>
      </w:r>
      <w:r w:rsidR="00C056AC">
        <w:br/>
      </w:r>
    </w:p>
    <w:p w14:paraId="6E4C4E77" w14:textId="248FD59A" w:rsidR="004771B9" w:rsidRDefault="002777B2" w:rsidP="004771B9">
      <w:pPr>
        <w:pStyle w:val="Heading2"/>
        <w:rPr>
          <w:lang w:val="en-US"/>
        </w:rPr>
      </w:pPr>
      <w:bookmarkStart w:id="116" w:name="_Toc134623408"/>
      <w:r>
        <w:rPr>
          <w:lang w:val="en-US"/>
        </w:rPr>
        <w:t>8</w:t>
      </w:r>
      <w:r w:rsidR="00D17A77" w:rsidRPr="00D17A77">
        <w:rPr>
          <w:lang w:val="en-US"/>
        </w:rPr>
        <w:t xml:space="preserve"> with var</w:t>
      </w:r>
      <w:r w:rsidR="00D17A77">
        <w:rPr>
          <w:lang w:val="en-US"/>
        </w:rPr>
        <w:t xml:space="preserve">iant </w:t>
      </w:r>
      <w:r w:rsidR="00B753B9">
        <w:rPr>
          <w:lang w:val="en-US"/>
        </w:rPr>
        <w:t>Y420F G600L L36V</w:t>
      </w:r>
      <w:r w:rsidR="00E600A6">
        <w:rPr>
          <w:lang w:val="en-US"/>
        </w:rPr>
        <w:t xml:space="preserve"> to </w:t>
      </w:r>
      <w:r w:rsidR="00B402A7">
        <w:rPr>
          <w:lang w:val="en-US"/>
        </w:rPr>
        <w:t>(+)</w:t>
      </w:r>
      <w:r w:rsidR="00C73534">
        <w:rPr>
          <w:lang w:val="en-US"/>
        </w:rPr>
        <w:t>-</w:t>
      </w:r>
      <w:r w:rsidR="00E600A6">
        <w:rPr>
          <w:lang w:val="en-US"/>
        </w:rPr>
        <w:t>drimane diol (</w:t>
      </w:r>
      <w:r w:rsidR="00A46E17">
        <w:rPr>
          <w:lang w:val="en-US"/>
        </w:rPr>
        <w:t>S1-9</w:t>
      </w:r>
      <w:r w:rsidR="00E600A6">
        <w:rPr>
          <w:lang w:val="en-US"/>
        </w:rPr>
        <w:t>)</w:t>
      </w:r>
      <w:bookmarkEnd w:id="116"/>
    </w:p>
    <w:p w14:paraId="0D4E35F3" w14:textId="07FA82A4" w:rsidR="002F42E6" w:rsidRDefault="002777B2" w:rsidP="002F42E6">
      <w:pPr>
        <w:jc w:val="center"/>
        <w:rPr>
          <w:noProof/>
        </w:rPr>
      </w:pPr>
      <w:r>
        <w:rPr>
          <w:noProof/>
        </w:rPr>
        <w:object w:dxaOrig="5871" w:dyaOrig="2177" w14:anchorId="2247F453">
          <v:shape id="_x0000_i1031" type="#_x0000_t75" alt="" style="width:296.15pt;height:105.7pt" o:ole="">
            <v:imagedata r:id="rId40" o:title=""/>
            <o:lock v:ext="edit" aspectratio="f"/>
          </v:shape>
          <o:OLEObject Type="Embed" ProgID="ChemDraw.Document.6.0" ShapeID="_x0000_i1031" DrawAspect="Content" ObjectID="_1745237619" r:id="rId41"/>
        </w:object>
      </w:r>
    </w:p>
    <w:p w14:paraId="5765ABD5" w14:textId="54B71233" w:rsidR="002F42E6" w:rsidRPr="00A22BF2" w:rsidRDefault="00273D7E" w:rsidP="00A22BF2">
      <w:r w:rsidRPr="006E4B60">
        <w:rPr>
          <w:szCs w:val="20"/>
        </w:rPr>
        <w:t>Product was obtained as a white solid.</w:t>
      </w:r>
      <w:r w:rsidR="00F12EC5" w:rsidRPr="006E4B60">
        <w:rPr>
          <w:szCs w:val="20"/>
        </w:rPr>
        <w:t xml:space="preserve"> C</w:t>
      </w:r>
      <w:r w:rsidR="00F12EC5" w:rsidRPr="006E4B60">
        <w:rPr>
          <w:szCs w:val="20"/>
          <w:vertAlign w:val="subscript"/>
        </w:rPr>
        <w:t>15</w:t>
      </w:r>
      <w:r w:rsidR="00F12EC5" w:rsidRPr="006E4B60">
        <w:rPr>
          <w:szCs w:val="20"/>
        </w:rPr>
        <w:t>H</w:t>
      </w:r>
      <w:r w:rsidR="00F12EC5" w:rsidRPr="006E4B60">
        <w:rPr>
          <w:szCs w:val="20"/>
          <w:vertAlign w:val="subscript"/>
        </w:rPr>
        <w:t>28</w:t>
      </w:r>
      <w:r w:rsidR="00F12EC5" w:rsidRPr="006E4B60">
        <w:rPr>
          <w:szCs w:val="20"/>
        </w:rPr>
        <w:t>O</w:t>
      </w:r>
      <w:r w:rsidR="00F12EC5" w:rsidRPr="006E4B60">
        <w:rPr>
          <w:szCs w:val="20"/>
          <w:vertAlign w:val="subscript"/>
        </w:rPr>
        <w:t>2</w:t>
      </w:r>
      <w:r w:rsidRPr="006E4B60">
        <w:rPr>
          <w:szCs w:val="20"/>
        </w:rPr>
        <w:t xml:space="preserve"> </w:t>
      </w:r>
      <w:r w:rsidRPr="00447ACA">
        <w:rPr>
          <w:b/>
          <w:vertAlign w:val="superscript"/>
        </w:rPr>
        <w:t>1</w:t>
      </w:r>
      <w:r w:rsidRPr="00447ACA">
        <w:rPr>
          <w:b/>
        </w:rPr>
        <w:t>H-NMR</w:t>
      </w:r>
      <w:r w:rsidRPr="00447ACA">
        <w:t xml:space="preserve"> (</w:t>
      </w:r>
      <w:r w:rsidRPr="00447ACA">
        <w:rPr>
          <w:b/>
        </w:rPr>
        <w:t>CDCl</w:t>
      </w:r>
      <w:r w:rsidRPr="00447ACA">
        <w:rPr>
          <w:b/>
          <w:vertAlign w:val="subscript"/>
        </w:rPr>
        <w:t>3</w:t>
      </w:r>
      <w:r w:rsidRPr="00447ACA">
        <w:t xml:space="preserve">, </w:t>
      </w:r>
      <w:r w:rsidRPr="00447ACA">
        <w:rPr>
          <w:b/>
        </w:rPr>
        <w:t>500 MHz</w:t>
      </w:r>
      <w:r w:rsidRPr="00447ACA">
        <w:t>): δ (ppm) 0.</w:t>
      </w:r>
      <w:r w:rsidR="000E657C">
        <w:t>86</w:t>
      </w:r>
      <w:r w:rsidRPr="00447ACA">
        <w:t xml:space="preserve"> (s, </w:t>
      </w:r>
      <w:r w:rsidR="000E657C">
        <w:t>3</w:t>
      </w:r>
      <w:r w:rsidRPr="00447ACA">
        <w:t>H), 0.8</w:t>
      </w:r>
      <w:r w:rsidR="000E657C">
        <w:t>7</w:t>
      </w:r>
      <w:r w:rsidRPr="00447ACA">
        <w:t xml:space="preserve"> (s, 3H),</w:t>
      </w:r>
      <w:r w:rsidR="00605261">
        <w:t xml:space="preserve"> 1.</w:t>
      </w:r>
      <w:r w:rsidR="00536C25">
        <w:t xml:space="preserve">09-1.16 (td, </w:t>
      </w:r>
      <w:r w:rsidR="00536C25" w:rsidRPr="00536C25">
        <w:rPr>
          <w:i/>
          <w:iCs/>
        </w:rPr>
        <w:t>J</w:t>
      </w:r>
      <w:r w:rsidR="00536C25" w:rsidRPr="00536C25">
        <w:rPr>
          <w:i/>
          <w:iCs/>
          <w:vertAlign w:val="subscript"/>
        </w:rPr>
        <w:t xml:space="preserve">t </w:t>
      </w:r>
      <w:r w:rsidR="00536C25">
        <w:t xml:space="preserve">= 13 Hz, </w:t>
      </w:r>
      <w:r w:rsidR="00536C25" w:rsidRPr="00536C25">
        <w:rPr>
          <w:i/>
          <w:iCs/>
        </w:rPr>
        <w:t>J</w:t>
      </w:r>
      <w:r w:rsidR="00536C25" w:rsidRPr="00536C25">
        <w:rPr>
          <w:i/>
          <w:iCs/>
          <w:vertAlign w:val="subscript"/>
        </w:rPr>
        <w:t>d</w:t>
      </w:r>
      <w:r w:rsidR="00536C25">
        <w:t xml:space="preserve"> = 1.3</w:t>
      </w:r>
      <w:r w:rsidR="00536C25" w:rsidRPr="00536C25">
        <w:t xml:space="preserve"> </w:t>
      </w:r>
      <w:r w:rsidR="00536C25">
        <w:t xml:space="preserve">Hz, 1H), </w:t>
      </w:r>
      <w:r w:rsidR="00F8690E">
        <w:t>1.23</w:t>
      </w:r>
      <w:r w:rsidRPr="00447ACA">
        <w:t xml:space="preserve"> (</w:t>
      </w:r>
      <w:r w:rsidR="00F8690E">
        <w:t>s, 3H</w:t>
      </w:r>
      <w:r w:rsidRPr="00447ACA">
        <w:t>), 1.</w:t>
      </w:r>
      <w:r w:rsidR="00F46DF8">
        <w:t>34</w:t>
      </w:r>
      <w:r w:rsidRPr="00447ACA">
        <w:t xml:space="preserve"> (</w:t>
      </w:r>
      <w:r w:rsidR="00F46DF8">
        <w:t>s</w:t>
      </w:r>
      <w:r w:rsidRPr="00447ACA">
        <w:t xml:space="preserve">, </w:t>
      </w:r>
      <w:r w:rsidR="00F46DF8">
        <w:t>3</w:t>
      </w:r>
      <w:r w:rsidRPr="00447ACA">
        <w:t>H), 1.35 (s, 3H), 1.</w:t>
      </w:r>
      <w:r w:rsidR="00147276">
        <w:t>39</w:t>
      </w:r>
      <w:r w:rsidRPr="00447ACA">
        <w:t>-1.</w:t>
      </w:r>
      <w:r w:rsidR="00147276">
        <w:t>76</w:t>
      </w:r>
      <w:r w:rsidRPr="00447ACA">
        <w:t xml:space="preserve"> (m, </w:t>
      </w:r>
      <w:r w:rsidR="000553B0">
        <w:t>4</w:t>
      </w:r>
      <w:r w:rsidRPr="00447ACA">
        <w:t>H), 1.63</w:t>
      </w:r>
      <w:r w:rsidR="000553B0">
        <w:t>-</w:t>
      </w:r>
      <w:r w:rsidRPr="00447ACA">
        <w:t>1.67 (m, 1H), 1.8</w:t>
      </w:r>
      <w:r w:rsidR="00BB0FE8">
        <w:t xml:space="preserve">6-1.92 </w:t>
      </w:r>
      <w:r w:rsidRPr="00447ACA">
        <w:t>(</w:t>
      </w:r>
      <w:r w:rsidR="00BB0FE8">
        <w:t>m</w:t>
      </w:r>
      <w:r w:rsidRPr="00447ACA">
        <w:t xml:space="preserve">, 1H), </w:t>
      </w:r>
      <w:r w:rsidR="00F372B6">
        <w:t>2.33-2.36</w:t>
      </w:r>
      <w:r w:rsidRPr="00447ACA">
        <w:t xml:space="preserve"> (</w:t>
      </w:r>
      <w:r w:rsidR="00F372B6">
        <w:t>t</w:t>
      </w:r>
      <w:r w:rsidRPr="00447ACA">
        <w:t xml:space="preserve">, </w:t>
      </w:r>
      <w:r w:rsidR="00F372B6">
        <w:t xml:space="preserve">J = </w:t>
      </w:r>
      <w:r w:rsidR="00AD7853">
        <w:t>7.5 Hz,</w:t>
      </w:r>
      <w:r w:rsidR="00F372B6">
        <w:t xml:space="preserve"> 2</w:t>
      </w:r>
      <w:r w:rsidRPr="00447ACA">
        <w:t>H)</w:t>
      </w:r>
      <w:r w:rsidR="008F6CFA">
        <w:t>, 4.05-4.14 (m, 2H)</w:t>
      </w:r>
      <w:r w:rsidRPr="00447ACA">
        <w:t xml:space="preserve">. </w:t>
      </w:r>
      <w:r w:rsidRPr="00447ACA">
        <w:rPr>
          <w:b/>
          <w:vertAlign w:val="superscript"/>
        </w:rPr>
        <w:t>13</w:t>
      </w:r>
      <w:r w:rsidRPr="00447ACA">
        <w:rPr>
          <w:b/>
        </w:rPr>
        <w:t>C-NMR (CDCl</w:t>
      </w:r>
      <w:r w:rsidRPr="00447ACA">
        <w:rPr>
          <w:b/>
          <w:vertAlign w:val="subscript"/>
        </w:rPr>
        <w:t>3</w:t>
      </w:r>
      <w:r w:rsidRPr="00447ACA">
        <w:rPr>
          <w:b/>
        </w:rPr>
        <w:t xml:space="preserve">, 125 MHz): </w:t>
      </w:r>
      <w:r w:rsidRPr="00447ACA">
        <w:t>δ (ppm)</w:t>
      </w:r>
      <w:r w:rsidRPr="00447ACA">
        <w:rPr>
          <w:b/>
        </w:rPr>
        <w:t xml:space="preserve"> </w:t>
      </w:r>
      <w:r w:rsidRPr="00447ACA">
        <w:t>1</w:t>
      </w:r>
      <w:r w:rsidR="00F024CF">
        <w:t>4</w:t>
      </w:r>
      <w:r w:rsidRPr="00447ACA">
        <w:t>.</w:t>
      </w:r>
      <w:r w:rsidR="00F024CF">
        <w:t>13</w:t>
      </w:r>
      <w:r w:rsidRPr="00447ACA">
        <w:t xml:space="preserve"> (1C), </w:t>
      </w:r>
      <w:r w:rsidR="007656C8">
        <w:t>16.97</w:t>
      </w:r>
      <w:r w:rsidRPr="00447ACA">
        <w:t xml:space="preserve"> (1C), </w:t>
      </w:r>
      <w:r w:rsidR="007656C8">
        <w:t>18.42</w:t>
      </w:r>
      <w:r w:rsidRPr="00447ACA">
        <w:t xml:space="preserve"> (1C), 21.6</w:t>
      </w:r>
      <w:r w:rsidR="007656C8">
        <w:t>5</w:t>
      </w:r>
      <w:r w:rsidRPr="00447ACA">
        <w:t xml:space="preserve"> (1C), </w:t>
      </w:r>
      <w:r w:rsidR="007656C8">
        <w:t>22</w:t>
      </w:r>
      <w:r w:rsidR="008A15A4">
        <w:t xml:space="preserve">.69 (1C), </w:t>
      </w:r>
      <w:r w:rsidRPr="00447ACA">
        <w:t>24.</w:t>
      </w:r>
      <w:r w:rsidR="008A15A4">
        <w:t>72</w:t>
      </w:r>
      <w:r w:rsidRPr="00447ACA">
        <w:t xml:space="preserve"> (1C), 33.</w:t>
      </w:r>
      <w:r w:rsidR="008A15A4">
        <w:t>36</w:t>
      </w:r>
      <w:r w:rsidRPr="00447ACA">
        <w:t xml:space="preserve"> (1C), 3</w:t>
      </w:r>
      <w:r w:rsidR="00857485">
        <w:t>8</w:t>
      </w:r>
      <w:r w:rsidRPr="00447ACA">
        <w:t>.</w:t>
      </w:r>
      <w:r w:rsidR="00857485">
        <w:t>3</w:t>
      </w:r>
      <w:r w:rsidRPr="00447ACA">
        <w:t xml:space="preserve">6 (1C), </w:t>
      </w:r>
      <w:r w:rsidR="00857485">
        <w:t>40</w:t>
      </w:r>
      <w:r w:rsidRPr="00447ACA">
        <w:t>.</w:t>
      </w:r>
      <w:r w:rsidR="00857485">
        <w:t xml:space="preserve">04 </w:t>
      </w:r>
      <w:r w:rsidRPr="00447ACA">
        <w:t xml:space="preserve">(1C), </w:t>
      </w:r>
      <w:r w:rsidR="00857485">
        <w:t>41</w:t>
      </w:r>
      <w:r w:rsidRPr="00447ACA">
        <w:t>.</w:t>
      </w:r>
      <w:r w:rsidR="00857485">
        <w:t>87</w:t>
      </w:r>
      <w:r w:rsidRPr="00447ACA">
        <w:t xml:space="preserve"> (1C), 4</w:t>
      </w:r>
      <w:r w:rsidR="00857485">
        <w:t>2</w:t>
      </w:r>
      <w:r w:rsidRPr="00447ACA">
        <w:t>.</w:t>
      </w:r>
      <w:r w:rsidR="00857485">
        <w:t>88</w:t>
      </w:r>
      <w:r w:rsidRPr="00447ACA">
        <w:t xml:space="preserve"> (1C), </w:t>
      </w:r>
      <w:r w:rsidR="00BB34C3">
        <w:t>55</w:t>
      </w:r>
      <w:r w:rsidRPr="00447ACA">
        <w:t>.</w:t>
      </w:r>
      <w:r w:rsidR="00BB34C3">
        <w:t>86</w:t>
      </w:r>
      <w:r w:rsidRPr="00447ACA">
        <w:t xml:space="preserve"> (1C), 5</w:t>
      </w:r>
      <w:r w:rsidR="00BB34C3">
        <w:t>8</w:t>
      </w:r>
      <w:r w:rsidRPr="00447ACA">
        <w:t>.</w:t>
      </w:r>
      <w:r w:rsidR="00BB34C3">
        <w:t>31</w:t>
      </w:r>
      <w:r w:rsidRPr="00447ACA">
        <w:t xml:space="preserve"> (1C), 60.</w:t>
      </w:r>
      <w:r w:rsidR="00BB34C3">
        <w:t>1</w:t>
      </w:r>
      <w:r w:rsidRPr="00447ACA">
        <w:t xml:space="preserve">2 </w:t>
      </w:r>
      <w:r w:rsidR="00BB34C3">
        <w:t>(1C</w:t>
      </w:r>
      <w:r w:rsidRPr="00447ACA">
        <w:t>), 7</w:t>
      </w:r>
      <w:r w:rsidR="00430B93">
        <w:t>4</w:t>
      </w:r>
      <w:r w:rsidRPr="00447ACA">
        <w:t>.1</w:t>
      </w:r>
      <w:r w:rsidR="00430B93">
        <w:t>6</w:t>
      </w:r>
      <w:r w:rsidRPr="00447ACA">
        <w:t xml:space="preserve"> (1C). </w:t>
      </w:r>
      <w:r w:rsidRPr="00C73534">
        <w:rPr>
          <w:szCs w:val="20"/>
        </w:rPr>
        <w:t>The data is consistent with the literature.</w:t>
      </w:r>
      <w:r w:rsidR="00A82AF2">
        <w:fldChar w:fldCharType="begin" w:fldLock="1"/>
      </w:r>
      <w:r w:rsidR="00E81BA1">
        <w:instrText>ADDIN CSL_CITATION {"citationItems":[{"id":"ITEM-1","itemData":{"DOI":"10.1021/NP9603838/ASSET/IMAGES/LARGE/NP9603838H00001.JPEG","ISSN":"01633864","abstract":"Degradative studies have permitted an absolute stereochemistry to be assigned to the marine natural product puupehenone (1). On biosynthetic grounds 10 related co-metabolites were assigned to the same antipodal series.","author":[{"dropping-particle":"","family":"Urban","given":"Sylvia","non-dropping-particle":"","parse-names":false,"suffix":""},{"dropping-particle":"","family":"Capon","given":"Robert J.","non-dropping-particle":"","parse-names":false,"suffix":""}],"container-title":"Journal of Natural Products","id":"ITEM-1","issue":"9","issued":{"date-parts":[["1996","9"]]},"page":"900-901","publisher":" American Chemical Society ","title":"Absolute stereochemistry of puupehenone and related metabolites","type":"article-journal","volume":"59"},"uris":["http://www.mendeley.com/documents/?uuid=34829aac-aace-34b5-bb34-6b725a243e35"]}],"mendeley":{"formattedCitation":"&lt;sup&gt;62&lt;/sup&gt;","plainTextFormattedCitation":"62","previouslyFormattedCitation":"&lt;sup&gt;61&lt;/sup&gt;"},"properties":{"noteIndex":0},"schema":"https://github.com/citation-style-language/schema/raw/master/csl-citation.json"}</w:instrText>
      </w:r>
      <w:r w:rsidR="00A82AF2">
        <w:fldChar w:fldCharType="separate"/>
      </w:r>
      <w:r w:rsidR="00E81BA1" w:rsidRPr="00E81BA1">
        <w:rPr>
          <w:noProof/>
          <w:vertAlign w:val="superscript"/>
        </w:rPr>
        <w:t>62</w:t>
      </w:r>
      <w:r w:rsidR="00A82AF2">
        <w:fldChar w:fldCharType="end"/>
      </w:r>
      <w:r w:rsidR="00AD7853" w:rsidRPr="00273D7E">
        <w:t xml:space="preserve"> </w:t>
      </w:r>
      <w:r w:rsidR="00F9710B" w:rsidRPr="00F9710B">
        <w:t>[α]</w:t>
      </w:r>
      <w:r w:rsidR="00F9710B" w:rsidRPr="00F9710B">
        <w:rPr>
          <w:vertAlign w:val="subscript"/>
        </w:rPr>
        <w:t>D</w:t>
      </w:r>
      <w:r w:rsidR="00F9710B" w:rsidRPr="00F9710B">
        <w:rPr>
          <w:vertAlign w:val="superscript"/>
        </w:rPr>
        <w:t xml:space="preserve">20 </w:t>
      </w:r>
      <w:r w:rsidR="00F9710B" w:rsidRPr="00F9710B">
        <w:t>= +</w:t>
      </w:r>
      <w:r w:rsidR="009276AF">
        <w:t>16</w:t>
      </w:r>
      <w:r w:rsidR="00F9710B" w:rsidRPr="00F9710B">
        <w:t>.</w:t>
      </w:r>
      <w:r w:rsidR="009276AF">
        <w:t>4</w:t>
      </w:r>
      <w:r w:rsidR="00F9710B" w:rsidRPr="00F9710B">
        <w:t xml:space="preserve"> (c = 0.8</w:t>
      </w:r>
      <w:r w:rsidR="00A12E8E">
        <w:t>3</w:t>
      </w:r>
      <w:r w:rsidR="00F9710B" w:rsidRPr="00F9710B">
        <w:t xml:space="preserve"> in CHCl</w:t>
      </w:r>
      <w:r w:rsidR="00F9710B" w:rsidRPr="00F9710B">
        <w:rPr>
          <w:vertAlign w:val="subscript"/>
        </w:rPr>
        <w:t>3</w:t>
      </w:r>
      <w:r w:rsidR="00F9710B" w:rsidRPr="00F9710B">
        <w:t xml:space="preserve">); Lit. = </w:t>
      </w:r>
      <w:r w:rsidR="00A12E8E">
        <w:t>12</w:t>
      </w:r>
      <w:r w:rsidR="00F9710B" w:rsidRPr="00F9710B">
        <w:t xml:space="preserve"> (c = </w:t>
      </w:r>
      <w:r w:rsidR="00A12E8E">
        <w:t>1</w:t>
      </w:r>
      <w:r w:rsidR="00F9710B" w:rsidRPr="00F9710B">
        <w:t>.0</w:t>
      </w:r>
      <w:r w:rsidR="00A12E8E">
        <w:t>5</w:t>
      </w:r>
      <w:r w:rsidR="00F9710B" w:rsidRPr="00F9710B">
        <w:t xml:space="preserve"> in CHCl</w:t>
      </w:r>
      <w:r w:rsidR="00F9710B" w:rsidRPr="00F9710B">
        <w:rPr>
          <w:vertAlign w:val="subscript"/>
        </w:rPr>
        <w:t>3</w:t>
      </w:r>
      <w:r w:rsidR="00F9710B" w:rsidRPr="00F9710B">
        <w:t>).</w:t>
      </w:r>
      <w:r w:rsidR="008164FC">
        <w:fldChar w:fldCharType="begin" w:fldLock="1"/>
      </w:r>
      <w:r w:rsidR="00E81BA1">
        <w:instrText>ADDIN CSL_CITATION {"citationItems":[{"id":"ITEM-1","itemData":{"DOI":"10.1021/NP9603838/ASSET/IMAGES/LARGE/NP9603838H00001.JPEG","ISSN":"01633864","abstract":"Degradative studies have permitted an absolute stereochemistry to be assigned to the marine natural product puupehenone (1). On biosynthetic grounds 10 related co-metabolites were assigned to the same antipodal series.","author":[{"dropping-particle":"","family":"Urban","given":"Sylvia","non-dropping-particle":"","parse-names":false,"suffix":""},{"dropping-particle":"","family":"Capon","given":"Robert J.","non-dropping-particle":"","parse-names":false,"suffix":""}],"container-title":"Journal of Natural Products","id":"ITEM-1","issue":"9","issued":{"date-parts":[["1996","9"]]},"page":"900-901","publisher":" American Chemical Society ","title":"Absolute stereochemistry of puupehenone and related metabolites","type":"article-journal","volume":"59"},"uris":["http://www.mendeley.com/documents/?uuid=34829aac-aace-34b5-bb34-6b725a243e35"]}],"mendeley":{"formattedCitation":"&lt;sup&gt;62&lt;/sup&gt;","plainTextFormattedCitation":"62","previouslyFormattedCitation":"&lt;sup&gt;61&lt;/sup&gt;"},"properties":{"noteIndex":0},"schema":"https://github.com/citation-style-language/schema/raw/master/csl-citation.json"}</w:instrText>
      </w:r>
      <w:r w:rsidR="008164FC">
        <w:fldChar w:fldCharType="separate"/>
      </w:r>
      <w:r w:rsidR="00E81BA1" w:rsidRPr="00E81BA1">
        <w:rPr>
          <w:noProof/>
          <w:vertAlign w:val="superscript"/>
        </w:rPr>
        <w:t>62</w:t>
      </w:r>
      <w:r w:rsidR="008164FC">
        <w:fldChar w:fldCharType="end"/>
      </w:r>
      <w:r w:rsidR="00F9710B" w:rsidRPr="00273D7E">
        <w:t xml:space="preserve"> </w:t>
      </w:r>
    </w:p>
    <w:p w14:paraId="783C1218" w14:textId="57F1FD4E" w:rsidR="004771B9" w:rsidRPr="00676596" w:rsidRDefault="006318BC" w:rsidP="004771B9">
      <w:pPr>
        <w:pStyle w:val="Heading2"/>
        <w:rPr>
          <w:lang w:val="en-US"/>
        </w:rPr>
      </w:pPr>
      <w:bookmarkStart w:id="117" w:name="_Toc134623409"/>
      <w:r>
        <w:rPr>
          <w:lang w:val="en-US"/>
        </w:rPr>
        <w:lastRenderedPageBreak/>
        <w:t>10</w:t>
      </w:r>
      <w:r w:rsidR="00B753B9" w:rsidRPr="00676596">
        <w:rPr>
          <w:lang w:val="en-US"/>
        </w:rPr>
        <w:t xml:space="preserve"> with variant G600N</w:t>
      </w:r>
      <w:r w:rsidR="00676596" w:rsidRPr="00676596">
        <w:rPr>
          <w:lang w:val="en-US"/>
        </w:rPr>
        <w:t xml:space="preserve"> to la</w:t>
      </w:r>
      <w:r w:rsidR="00676596">
        <w:rPr>
          <w:lang w:val="en-US"/>
        </w:rPr>
        <w:t>bdane (</w:t>
      </w:r>
      <w:r w:rsidR="00DB4F00">
        <w:rPr>
          <w:lang w:val="en-US"/>
        </w:rPr>
        <w:t>12</w:t>
      </w:r>
      <w:r w:rsidR="00676596">
        <w:rPr>
          <w:lang w:val="en-US"/>
        </w:rPr>
        <w:t>)</w:t>
      </w:r>
      <w:bookmarkEnd w:id="117"/>
    </w:p>
    <w:p w14:paraId="64EA4DB2" w14:textId="34E18FBC" w:rsidR="004801EB" w:rsidRDefault="00DB4F00" w:rsidP="0056280F">
      <w:pPr>
        <w:jc w:val="center"/>
        <w:rPr>
          <w:noProof/>
        </w:rPr>
      </w:pPr>
      <w:r>
        <w:rPr>
          <w:noProof/>
        </w:rPr>
        <w:object w:dxaOrig="5959" w:dyaOrig="1903" w14:anchorId="34852137">
          <v:shape id="_x0000_i1032" type="#_x0000_t75" alt="" style="width:303.1pt;height:94.05pt" o:ole="">
            <v:imagedata r:id="rId42" o:title=""/>
            <o:lock v:ext="edit" aspectratio="f"/>
          </v:shape>
          <o:OLEObject Type="Embed" ProgID="ChemDraw.Document.6.0" ShapeID="_x0000_i1032" DrawAspect="Content" ObjectID="_1745237620" r:id="rId43"/>
        </w:object>
      </w:r>
    </w:p>
    <w:p w14:paraId="2515401A" w14:textId="4F8C6C0A" w:rsidR="0056280F" w:rsidRPr="00A22BF2" w:rsidRDefault="006B1A52" w:rsidP="00A22BF2">
      <w:r w:rsidRPr="006E4B60">
        <w:t>Product was obtained as a colorless</w:t>
      </w:r>
      <w:r w:rsidR="00025AC0">
        <w:t xml:space="preserve"> highly viscous</w:t>
      </w:r>
      <w:r w:rsidRPr="006E4B60">
        <w:t xml:space="preserve"> </w:t>
      </w:r>
      <w:r w:rsidR="0044308F">
        <w:t>oil</w:t>
      </w:r>
      <w:r w:rsidRPr="006E4B60">
        <w:t>. C</w:t>
      </w:r>
      <w:r w:rsidR="00C434FB">
        <w:rPr>
          <w:vertAlign w:val="subscript"/>
        </w:rPr>
        <w:t>20</w:t>
      </w:r>
      <w:r w:rsidRPr="006E4B60">
        <w:t>H</w:t>
      </w:r>
      <w:r w:rsidR="00C434FB">
        <w:rPr>
          <w:vertAlign w:val="subscript"/>
        </w:rPr>
        <w:t>34</w:t>
      </w:r>
      <w:r w:rsidRPr="006E4B60">
        <w:t>O</w:t>
      </w:r>
      <w:r>
        <w:rPr>
          <w:vertAlign w:val="subscript"/>
        </w:rPr>
        <w:t xml:space="preserve"> </w:t>
      </w:r>
      <w:r w:rsidR="00460CC2" w:rsidRPr="003F3A0D">
        <w:rPr>
          <w:b/>
          <w:vertAlign w:val="superscript"/>
        </w:rPr>
        <w:t>1</w:t>
      </w:r>
      <w:r w:rsidR="00460CC2" w:rsidRPr="003F3A0D">
        <w:rPr>
          <w:b/>
        </w:rPr>
        <w:t>H-NMR</w:t>
      </w:r>
      <w:r w:rsidR="00460CC2" w:rsidRPr="003F3A0D">
        <w:rPr>
          <w:bCs/>
        </w:rPr>
        <w:t xml:space="preserve"> (</w:t>
      </w:r>
      <w:r w:rsidR="00460CC2" w:rsidRPr="003F3A0D">
        <w:rPr>
          <w:b/>
        </w:rPr>
        <w:t>CDCl</w:t>
      </w:r>
      <w:r w:rsidR="00460CC2" w:rsidRPr="003F3A0D">
        <w:rPr>
          <w:b/>
          <w:vertAlign w:val="subscript"/>
        </w:rPr>
        <w:t>3</w:t>
      </w:r>
      <w:r w:rsidR="00460CC2" w:rsidRPr="003F3A0D">
        <w:rPr>
          <w:bCs/>
        </w:rPr>
        <w:t xml:space="preserve">, </w:t>
      </w:r>
      <w:r w:rsidR="00332A89">
        <w:rPr>
          <w:b/>
        </w:rPr>
        <w:t>4</w:t>
      </w:r>
      <w:r w:rsidR="00460CC2" w:rsidRPr="003F3A0D">
        <w:rPr>
          <w:b/>
        </w:rPr>
        <w:t>00 MHz</w:t>
      </w:r>
      <w:r w:rsidR="00460CC2" w:rsidRPr="003F3A0D">
        <w:rPr>
          <w:bCs/>
        </w:rPr>
        <w:t xml:space="preserve">): δ (ppm) </w:t>
      </w:r>
      <w:r w:rsidR="00460CC2" w:rsidRPr="003F3A0D">
        <w:t>0.76 (s, 3H), 0.82 (s, 3H), 0.84 (s, 3H), 0.80−1.09 (m, 2H), 1.56 (s, 3H), 1.69 (s, 3H), 1.02−2.01 (m, 1</w:t>
      </w:r>
      <w:r w:rsidR="00745125">
        <w:t>1</w:t>
      </w:r>
      <w:r w:rsidR="00460CC2" w:rsidRPr="003F3A0D">
        <w:t xml:space="preserve">H), 2.13−2.31 (m, 1H), 4.09−4.20 (m, 2H), 5.10-5.13 (m, 1H), 5.40−5.43 (t, </w:t>
      </w:r>
      <w:r w:rsidR="00460CC2" w:rsidRPr="003F3A0D">
        <w:rPr>
          <w:i/>
          <w:iCs/>
        </w:rPr>
        <w:t xml:space="preserve">J </w:t>
      </w:r>
      <w:r w:rsidR="00460CC2" w:rsidRPr="003F3A0D">
        <w:t>= 7.2 Hz, 1H).</w:t>
      </w:r>
      <w:r w:rsidR="00460CC2" w:rsidRPr="003F3A0D">
        <w:rPr>
          <w:bCs/>
        </w:rPr>
        <w:t xml:space="preserve"> </w:t>
      </w:r>
      <w:r w:rsidR="00460CC2" w:rsidRPr="003F3A0D">
        <w:rPr>
          <w:b/>
          <w:vertAlign w:val="superscript"/>
        </w:rPr>
        <w:t>13</w:t>
      </w:r>
      <w:r w:rsidR="00460CC2" w:rsidRPr="003F3A0D">
        <w:rPr>
          <w:b/>
        </w:rPr>
        <w:t>C-NMR (CDCl</w:t>
      </w:r>
      <w:r w:rsidR="00460CC2" w:rsidRPr="003F3A0D">
        <w:rPr>
          <w:b/>
          <w:vertAlign w:val="subscript"/>
        </w:rPr>
        <w:t>3</w:t>
      </w:r>
      <w:r w:rsidR="00460CC2" w:rsidRPr="003F3A0D">
        <w:rPr>
          <w:b/>
        </w:rPr>
        <w:t>, 1</w:t>
      </w:r>
      <w:r w:rsidR="00332A89">
        <w:rPr>
          <w:b/>
        </w:rPr>
        <w:t>00</w:t>
      </w:r>
      <w:r w:rsidR="00460CC2" w:rsidRPr="003F3A0D">
        <w:rPr>
          <w:b/>
        </w:rPr>
        <w:t xml:space="preserve"> MHz): </w:t>
      </w:r>
      <w:r w:rsidR="00460CC2" w:rsidRPr="003F3A0D">
        <w:t>δ (ppm)</w:t>
      </w:r>
      <w:r w:rsidR="00460CC2" w:rsidRPr="003F3A0D">
        <w:rPr>
          <w:b/>
        </w:rPr>
        <w:t xml:space="preserve"> </w:t>
      </w:r>
      <w:r w:rsidR="00460CC2" w:rsidRPr="003F3A0D">
        <w:t>12.5 (1C), 15.9 (1C), 17.7 (1C), 20.1 (1C), 22.2 (1C), 23.7 (1C), 25.3 (1C), 30.9 (1C), 33.9 (1C), 37 (1C), 39.1 (1C), 42.0 (1C), 42.3 (1C), 50.1 (1C), 53.4 (1C), 59.4 (1C), 120.2 (1C), 121.3 (1C), 135.2 (1C), 141.4 (1C). The data is consistent with the literature.</w:t>
      </w:r>
      <w:r w:rsidR="00460CC2" w:rsidRPr="003F3A0D">
        <w:fldChar w:fldCharType="begin" w:fldLock="1"/>
      </w:r>
      <w:r w:rsidR="00E81BA1">
        <w:instrText>ADDIN CSL_CITATION {"citationItems":[{"id":"ITEM-1","itemData":{"DOI":"10.1021/acs.joc.8b00514","ISSN":"15206904","PMID":"29644851","abstract":"This article describes our efforts toward the total synthesis of actinoranone. Our synthesis strategies rely on a convergent route to connect the terpenoid and polyketide fragments, employing catalysis and powerful classical reactions for the assembly of these key fragments. A new transformation was disclosed during this work, a domino ring-opening and esterification. Initial cytotoxic studies for the selected synthesis intermediates are also presented.","author":[{"dropping-particle":"","family":"Novaes","given":"Luiz F.T.","non-dropping-particle":"","parse-names":false,"suffix":""},{"dropping-particle":"","family":"Gonçalves","given":"Kaliandra De Almeida","non-dropping-particle":"","parse-names":false,"suffix":""},{"dropping-particle":"","family":"Trivella","given":"Daniela B.B.","non-dropping-particle":"","parse-names":false,"suffix":""},{"dropping-particle":"","family":"Pastre","given":"Julio C.","non-dropping-particle":"","parse-names":false,"suffix":""}],"container-title":"Journal of Organic Chemistry","id":"ITEM-1","issue":"9","issued":{"date-parts":[["2018","5","4"]]},"page":"5160-5176","publisher":"American Chemical Society","title":"Formal Total Synthesis of Actinoranone: Synthesis Approaches and Cytotoxic Studies","type":"article-journal","volume":"83"},"uris":["http://www.mendeley.com/documents/?uuid=aa55761e-7381-395b-ad93-0fa328afd192"]}],"mendeley":{"formattedCitation":"&lt;sup&gt;63&lt;/sup&gt;","plainTextFormattedCitation":"63","previouslyFormattedCitation":"&lt;sup&gt;62&lt;/sup&gt;"},"properties":{"noteIndex":0},"schema":"https://github.com/citation-style-language/schema/raw/master/csl-citation.json"}</w:instrText>
      </w:r>
      <w:r w:rsidR="00460CC2" w:rsidRPr="003F3A0D">
        <w:fldChar w:fldCharType="separate"/>
      </w:r>
      <w:r w:rsidR="00E81BA1" w:rsidRPr="00E81BA1">
        <w:rPr>
          <w:noProof/>
          <w:vertAlign w:val="superscript"/>
        </w:rPr>
        <w:t>63</w:t>
      </w:r>
      <w:r w:rsidR="00460CC2" w:rsidRPr="003F3A0D">
        <w:fldChar w:fldCharType="end"/>
      </w:r>
      <w:r w:rsidR="008164FC">
        <w:t xml:space="preserve"> </w:t>
      </w:r>
      <w:r w:rsidR="008164FC" w:rsidRPr="00F9710B">
        <w:t>[α]</w:t>
      </w:r>
      <w:r w:rsidR="008164FC" w:rsidRPr="00F9710B">
        <w:rPr>
          <w:vertAlign w:val="subscript"/>
        </w:rPr>
        <w:t>D</w:t>
      </w:r>
      <w:r w:rsidR="008164FC" w:rsidRPr="00F9710B">
        <w:rPr>
          <w:vertAlign w:val="superscript"/>
        </w:rPr>
        <w:t xml:space="preserve">20 </w:t>
      </w:r>
      <w:r w:rsidR="008164FC" w:rsidRPr="00F9710B">
        <w:t>= +</w:t>
      </w:r>
      <w:r w:rsidR="001A408F">
        <w:t>9.0</w:t>
      </w:r>
      <w:r w:rsidR="008164FC" w:rsidRPr="00F9710B">
        <w:t xml:space="preserve"> (c = 0.</w:t>
      </w:r>
      <w:r w:rsidR="001A408F">
        <w:t>64</w:t>
      </w:r>
      <w:r w:rsidR="008164FC" w:rsidRPr="00F9710B">
        <w:t xml:space="preserve"> in CHCl</w:t>
      </w:r>
      <w:r w:rsidR="008164FC" w:rsidRPr="00F9710B">
        <w:rPr>
          <w:vertAlign w:val="subscript"/>
        </w:rPr>
        <w:t>3</w:t>
      </w:r>
      <w:r w:rsidR="008164FC" w:rsidRPr="00F9710B">
        <w:t xml:space="preserve">); Lit. = </w:t>
      </w:r>
      <w:r w:rsidR="00D401CF">
        <w:t>5.0</w:t>
      </w:r>
      <w:r w:rsidR="008164FC" w:rsidRPr="00F9710B">
        <w:t xml:space="preserve"> (c = </w:t>
      </w:r>
      <w:r w:rsidR="007D0754">
        <w:t>0.5</w:t>
      </w:r>
      <w:r w:rsidR="008164FC" w:rsidRPr="00F9710B">
        <w:t xml:space="preserve"> in CHCl</w:t>
      </w:r>
      <w:r w:rsidR="008164FC" w:rsidRPr="00F9710B">
        <w:rPr>
          <w:vertAlign w:val="subscript"/>
        </w:rPr>
        <w:t>3</w:t>
      </w:r>
      <w:r w:rsidR="008164FC" w:rsidRPr="00F9710B">
        <w:t>)</w:t>
      </w:r>
      <w:r w:rsidR="007D0754">
        <w:t>.</w:t>
      </w:r>
      <w:r w:rsidR="007D0754" w:rsidRPr="003F3A0D">
        <w:fldChar w:fldCharType="begin" w:fldLock="1"/>
      </w:r>
      <w:r w:rsidR="00E81BA1">
        <w:instrText>ADDIN CSL_CITATION {"citationItems":[{"id":"ITEM-1","itemData":{"DOI":"10.1021/acs.joc.8b00514","ISSN":"15206904","PMID":"29644851","abstract":"This article describes our efforts toward the total synthesis of actinoranone. Our synthesis strategies rely on a convergent route to connect the terpenoid and polyketide fragments, employing catalysis and powerful classical reactions for the assembly of these key fragments. A new transformation was disclosed during this work, a domino ring-opening and esterification. Initial cytotoxic studies for the selected synthesis intermediates are also presented.","author":[{"dropping-particle":"","family":"Novaes","given":"Luiz F.T.","non-dropping-particle":"","parse-names":false,"suffix":""},{"dropping-particle":"","family":"Gonçalves","given":"Kaliandra De Almeida","non-dropping-particle":"","parse-names":false,"suffix":""},{"dropping-particle":"","family":"Trivella","given":"Daniela B.B.","non-dropping-particle":"","parse-names":false,"suffix":""},{"dropping-particle":"","family":"Pastre","given":"Julio C.","non-dropping-particle":"","parse-names":false,"suffix":""}],"container-title":"Journal of Organic Chemistry","id":"ITEM-1","issue":"9","issued":{"date-parts":[["2018","5","4"]]},"page":"5160-5176","publisher":"American Chemical Society","title":"Formal Total Synthesis of Actinoranone: Synthesis Approaches and Cytotoxic Studies","type":"article-journal","volume":"83"},"uris":["http://www.mendeley.com/documents/?uuid=aa55761e-7381-395b-ad93-0fa328afd192"]}],"mendeley":{"formattedCitation":"&lt;sup&gt;63&lt;/sup&gt;","plainTextFormattedCitation":"63","previouslyFormattedCitation":"&lt;sup&gt;62&lt;/sup&gt;"},"properties":{"noteIndex":0},"schema":"https://github.com/citation-style-language/schema/raw/master/csl-citation.json"}</w:instrText>
      </w:r>
      <w:r w:rsidR="007D0754" w:rsidRPr="003F3A0D">
        <w:fldChar w:fldCharType="separate"/>
      </w:r>
      <w:r w:rsidR="00E81BA1" w:rsidRPr="00E81BA1">
        <w:rPr>
          <w:noProof/>
          <w:vertAlign w:val="superscript"/>
        </w:rPr>
        <w:t>63</w:t>
      </w:r>
      <w:r w:rsidR="007D0754" w:rsidRPr="003F3A0D">
        <w:fldChar w:fldCharType="end"/>
      </w:r>
      <w:r w:rsidR="007D0754" w:rsidRPr="003F3A0D">
        <w:t xml:space="preserve"> </w:t>
      </w:r>
      <w:r w:rsidR="00C056AC">
        <w:br/>
      </w:r>
    </w:p>
    <w:p w14:paraId="44D98B70" w14:textId="4DDCC811" w:rsidR="004771B9" w:rsidRDefault="00DB4F00" w:rsidP="004771B9">
      <w:pPr>
        <w:pStyle w:val="Heading2"/>
        <w:rPr>
          <w:lang w:val="en-US"/>
        </w:rPr>
      </w:pPr>
      <w:bookmarkStart w:id="118" w:name="_Toc134623410"/>
      <w:r>
        <w:rPr>
          <w:lang w:val="en-US"/>
        </w:rPr>
        <w:t>10</w:t>
      </w:r>
      <w:r w:rsidR="00B753B9" w:rsidRPr="004771B9">
        <w:rPr>
          <w:lang w:val="en-US"/>
        </w:rPr>
        <w:t xml:space="preserve"> with variant F605W</w:t>
      </w:r>
      <w:r w:rsidR="00AD14E2">
        <w:rPr>
          <w:lang w:val="en-US"/>
        </w:rPr>
        <w:t xml:space="preserve"> </w:t>
      </w:r>
      <w:r w:rsidR="00676596">
        <w:rPr>
          <w:lang w:val="en-US"/>
        </w:rPr>
        <w:t xml:space="preserve">to </w:t>
      </w:r>
      <w:r w:rsidR="00676596" w:rsidRPr="00676596">
        <w:rPr>
          <w:i/>
          <w:iCs/>
          <w:lang w:val="en-US"/>
        </w:rPr>
        <w:t>ent</w:t>
      </w:r>
      <w:r w:rsidR="00676596">
        <w:rPr>
          <w:lang w:val="en-US"/>
        </w:rPr>
        <w:t>-isocopalol (</w:t>
      </w:r>
      <w:r>
        <w:rPr>
          <w:lang w:val="en-US"/>
        </w:rPr>
        <w:t>11</w:t>
      </w:r>
      <w:r w:rsidR="00676596">
        <w:rPr>
          <w:lang w:val="en-US"/>
        </w:rPr>
        <w:t>)</w:t>
      </w:r>
      <w:bookmarkEnd w:id="118"/>
    </w:p>
    <w:p w14:paraId="7E68619A" w14:textId="4D8F1D2A" w:rsidR="00460CC2" w:rsidRDefault="004C373F" w:rsidP="00E41747">
      <w:pPr>
        <w:jc w:val="center"/>
        <w:rPr>
          <w:noProof/>
        </w:rPr>
      </w:pPr>
      <w:r>
        <w:rPr>
          <w:noProof/>
        </w:rPr>
        <w:object w:dxaOrig="5959" w:dyaOrig="1903" w14:anchorId="3E64199E">
          <v:shape id="_x0000_i1033" type="#_x0000_t75" alt="" style="width:303.1pt;height:94.05pt" o:ole="">
            <v:imagedata r:id="rId44" o:title=""/>
            <o:lock v:ext="edit" aspectratio="f"/>
          </v:shape>
          <o:OLEObject Type="Embed" ProgID="ChemDraw.Document.6.0" ShapeID="_x0000_i1033" DrawAspect="Content" ObjectID="_1745237621" r:id="rId45"/>
        </w:object>
      </w:r>
    </w:p>
    <w:p w14:paraId="6E4A4B4A" w14:textId="71A3A2B3" w:rsidR="00E41747" w:rsidRPr="00460CC2" w:rsidRDefault="0079506C" w:rsidP="00A22BF2">
      <w:r w:rsidRPr="006E4B60">
        <w:t xml:space="preserve">Product was obtained as </w:t>
      </w:r>
      <w:r>
        <w:t>pale green solid</w:t>
      </w:r>
      <w:r w:rsidRPr="006E4B60">
        <w:t xml:space="preserve">. </w:t>
      </w:r>
      <w:r w:rsidR="00223551" w:rsidRPr="006E4B60">
        <w:t>C</w:t>
      </w:r>
      <w:r w:rsidR="00223551">
        <w:rPr>
          <w:vertAlign w:val="subscript"/>
        </w:rPr>
        <w:t>20</w:t>
      </w:r>
      <w:r w:rsidR="00223551" w:rsidRPr="006E4B60">
        <w:t>H</w:t>
      </w:r>
      <w:r w:rsidR="00223551">
        <w:rPr>
          <w:vertAlign w:val="subscript"/>
        </w:rPr>
        <w:t>34</w:t>
      </w:r>
      <w:r w:rsidR="00223551" w:rsidRPr="006E4B60">
        <w:t>O</w:t>
      </w:r>
      <w:r w:rsidRPr="005F7574">
        <w:rPr>
          <w:vertAlign w:val="subscript"/>
        </w:rPr>
        <w:t xml:space="preserve"> </w:t>
      </w:r>
      <w:r w:rsidR="000656EE" w:rsidRPr="005F7574">
        <w:rPr>
          <w:b/>
          <w:vertAlign w:val="superscript"/>
        </w:rPr>
        <w:t>1</w:t>
      </w:r>
      <w:r w:rsidR="000656EE" w:rsidRPr="005F7574">
        <w:rPr>
          <w:b/>
        </w:rPr>
        <w:t>H-NMR</w:t>
      </w:r>
      <w:r w:rsidR="000656EE" w:rsidRPr="005F7574">
        <w:t xml:space="preserve"> (</w:t>
      </w:r>
      <w:r w:rsidR="000656EE" w:rsidRPr="005F7574">
        <w:rPr>
          <w:b/>
        </w:rPr>
        <w:t>CDCl</w:t>
      </w:r>
      <w:r w:rsidR="000656EE" w:rsidRPr="005F7574">
        <w:rPr>
          <w:b/>
          <w:vertAlign w:val="subscript"/>
        </w:rPr>
        <w:t>3</w:t>
      </w:r>
      <w:r w:rsidR="000656EE" w:rsidRPr="005F7574">
        <w:t xml:space="preserve">, </w:t>
      </w:r>
      <w:r w:rsidR="00442EDA">
        <w:rPr>
          <w:b/>
        </w:rPr>
        <w:t>4</w:t>
      </w:r>
      <w:r w:rsidR="000656EE" w:rsidRPr="005F7574">
        <w:rPr>
          <w:b/>
        </w:rPr>
        <w:t>00 MHz</w:t>
      </w:r>
      <w:r w:rsidR="000656EE" w:rsidRPr="005F7574">
        <w:t>): δ (ppm) 0.81 (s, 3H), 0.83 (s, 3H), 0.86 (s, 3H), 0.88 (s, 3H), 1.1-1.4</w:t>
      </w:r>
      <w:r w:rsidR="00045817">
        <w:t xml:space="preserve"> </w:t>
      </w:r>
      <w:r w:rsidR="000656EE" w:rsidRPr="005F7574">
        <w:t xml:space="preserve">(m, 9H), 1.78 (m, 3H), 1.84-2.07 (m, </w:t>
      </w:r>
      <w:r w:rsidR="00745471">
        <w:t>6</w:t>
      </w:r>
      <w:r w:rsidR="000656EE" w:rsidRPr="005F7574">
        <w:t xml:space="preserve">H), 3.71-3.74 (dd, </w:t>
      </w:r>
      <w:r w:rsidR="000656EE" w:rsidRPr="005F7574">
        <w:rPr>
          <w:i/>
          <w:iCs/>
        </w:rPr>
        <w:t xml:space="preserve">J </w:t>
      </w:r>
      <w:r w:rsidR="000656EE" w:rsidRPr="005F7574">
        <w:t xml:space="preserve">= 6.3 Hz, 1H), 3.84-3.87 (dd, </w:t>
      </w:r>
      <w:r w:rsidR="000656EE" w:rsidRPr="005F7574">
        <w:rPr>
          <w:i/>
          <w:iCs/>
        </w:rPr>
        <w:t>J</w:t>
      </w:r>
      <w:r w:rsidR="000656EE" w:rsidRPr="005F7574">
        <w:t xml:space="preserve">= 6.3 Hz, 1H), 5.5-5.51 (m, 1H). </w:t>
      </w:r>
      <w:r w:rsidR="000656EE" w:rsidRPr="005F7574">
        <w:rPr>
          <w:b/>
          <w:vertAlign w:val="superscript"/>
        </w:rPr>
        <w:t>13</w:t>
      </w:r>
      <w:r w:rsidR="000656EE" w:rsidRPr="005F7574">
        <w:rPr>
          <w:b/>
        </w:rPr>
        <w:t>C-NMR (CDCl</w:t>
      </w:r>
      <w:r w:rsidR="000656EE" w:rsidRPr="005F7574">
        <w:rPr>
          <w:b/>
          <w:vertAlign w:val="subscript"/>
        </w:rPr>
        <w:t>3</w:t>
      </w:r>
      <w:r w:rsidR="000656EE" w:rsidRPr="005F7574">
        <w:rPr>
          <w:b/>
        </w:rPr>
        <w:t xml:space="preserve">, 125 MHz): </w:t>
      </w:r>
      <w:r w:rsidR="000656EE" w:rsidRPr="005F7574">
        <w:t>δ (ppm)</w:t>
      </w:r>
      <w:r w:rsidR="000656EE" w:rsidRPr="005F7574">
        <w:rPr>
          <w:b/>
        </w:rPr>
        <w:t xml:space="preserve"> </w:t>
      </w:r>
      <w:r w:rsidR="000656EE" w:rsidRPr="005F7574">
        <w:t>15.83 (1C), 15.84 (1C), 18.52 (1C), 18.75 (1C), 21.68 (1C), 21.81 (1C), 22.55 (1C), 33.14 (1C), 33.40 (1C), 36.24 (1C), 37.24 (1C), 39.93 (1C), 41.54 (1C), 41.91 (1C), 54.84 (1C), 56.25 (1C), 57.89 (1C), 60.89 (1C), 123.95 (1C), 132.65 (1C). The data is consistent with the literature.</w:t>
      </w:r>
      <w:r w:rsidR="000656EE" w:rsidRPr="005F7574">
        <w:fldChar w:fldCharType="begin" w:fldLock="1"/>
      </w:r>
      <w:r w:rsidR="00E81BA1">
        <w:instrText>ADDIN CSL_CITATION {"citationItems":[{"id":"ITEM-1","itemData":{"DOI":"10.1039/b407001a","ISSN":"14770520","abstract":"The substrate specificity of squalene-hopene cyclase was investigated using the C10-C25 analogs including naturally occurring substances, e.g. geraniol (C10), farnesol (C15) and geranylgeraniol (C20). No cyclization occurred for geraniol, but a significantly high conversion ratio (64%) was observed for farnesol, yielding the cyclic sesquiterpenes consisting of 6/6-fused bicyclic ring systems. Among them, an attractive compound having C30 was produced, in the structure of which acyclic the farnesol unit is linked to the bicyclic skeleton through ether linkage. Conversion of geranylgeraniol was low (ca. 12%). The squalene analogs having C20 and C25 also were cyclized in yields of ca. 33-36%, but the analogs having the methyl group at C(7) and/or at C(11) underwent no cyclization; the large steric bulk size of C(7)-Me and/or C(11)-Me, which is arranged in α-disposition for all the pre-chair conformation, would have interacted repulsively with the cyclase recognition site near to the C(7) and/or C(11), resulting in no construction of the all-chair conformation inside the reaction cavity. A relatively low yield of geranylgeraniol indicated that a less bulky hydrogen atom must be located at C(14) for the efficient polycyclization reaction. The squalene cyclase shows remarkably broad substrate specificity to accept the truncated analogs having carbon-chain lengths of C15-C25 in addition to C 30.","author":[{"dropping-particle":"","family":"Hoshino","given":"Tsutomu","non-dropping-particle":"","parse-names":false,"suffix":""},{"dropping-particle":"","family":"Kumai","given":"Yuko","non-dropping-particle":"","parse-names":false,"suffix":""},{"dropping-particle":"","family":"Kudo","given":"Isao","non-dropping-particle":"","parse-names":false,"suffix":""},{"dropping-particle":"","family":"Nakano","given":"Shin Ichi","non-dropping-particle":"","parse-names":false,"suffix":""},{"dropping-particle":"","family":"Ohashi","given":"Shumi","non-dropping-particle":"","parse-names":false,"suffix":""}],"container-title":"Organic and Biomolecular Chemistry","id":"ITEM-1","issue":"18","issued":{"date-parts":[["2004","9","21"]]},"page":"2650-2657","publisher":"Royal Society of Chemistry","title":"Enzymatic cyclization reactions of geraniol, farnesol and geranylgeraniol, and those of truncated squalene analogs having C20 and C25 by recombinant squalene cyclase","type":"article-journal","volume":"2"},"uris":["http://www.mendeley.com/documents/?uuid=5d12d7e0-def3-3184-9a98-e9d4ef800d8d"]}],"mendeley":{"formattedCitation":"&lt;sup&gt;64&lt;/sup&gt;","plainTextFormattedCitation":"64","previouslyFormattedCitation":"&lt;sup&gt;63&lt;/sup&gt;"},"properties":{"noteIndex":0},"schema":"https://github.com/citation-style-language/schema/raw/master/csl-citation.json"}</w:instrText>
      </w:r>
      <w:r w:rsidR="000656EE" w:rsidRPr="005F7574">
        <w:fldChar w:fldCharType="separate"/>
      </w:r>
      <w:r w:rsidR="00E81BA1" w:rsidRPr="00E81BA1">
        <w:rPr>
          <w:noProof/>
          <w:vertAlign w:val="superscript"/>
        </w:rPr>
        <w:t>64</w:t>
      </w:r>
      <w:r w:rsidR="000656EE" w:rsidRPr="005F7574">
        <w:fldChar w:fldCharType="end"/>
      </w:r>
      <w:r w:rsidR="00171805">
        <w:t xml:space="preserve"> </w:t>
      </w:r>
      <w:r w:rsidR="0039715B" w:rsidRPr="00F9710B">
        <w:t>[α]</w:t>
      </w:r>
      <w:r w:rsidR="0039715B" w:rsidRPr="00F9710B">
        <w:rPr>
          <w:vertAlign w:val="subscript"/>
        </w:rPr>
        <w:t>D</w:t>
      </w:r>
      <w:r w:rsidR="0039715B" w:rsidRPr="00F9710B">
        <w:rPr>
          <w:vertAlign w:val="superscript"/>
        </w:rPr>
        <w:t xml:space="preserve">20 </w:t>
      </w:r>
      <w:r w:rsidR="0039715B" w:rsidRPr="00F9710B">
        <w:t xml:space="preserve">= </w:t>
      </w:r>
      <w:r w:rsidR="0039715B">
        <w:t>–6.0</w:t>
      </w:r>
      <w:r w:rsidR="0039715B" w:rsidRPr="00F9710B">
        <w:t xml:space="preserve"> (c = 0.</w:t>
      </w:r>
      <w:r w:rsidR="0039715B">
        <w:t>55</w:t>
      </w:r>
      <w:r w:rsidR="0039715B" w:rsidRPr="00F9710B">
        <w:t xml:space="preserve"> in CHCl</w:t>
      </w:r>
      <w:r w:rsidR="0039715B" w:rsidRPr="00F9710B">
        <w:rPr>
          <w:vertAlign w:val="subscript"/>
        </w:rPr>
        <w:t>3</w:t>
      </w:r>
      <w:r w:rsidR="0039715B" w:rsidRPr="00F9710B">
        <w:t xml:space="preserve">); Lit. = </w:t>
      </w:r>
      <w:r w:rsidR="0039715B">
        <w:t>–10.</w:t>
      </w:r>
      <w:r w:rsidR="00A82F32">
        <w:t>1</w:t>
      </w:r>
      <w:r w:rsidR="0039715B" w:rsidRPr="00F9710B">
        <w:t xml:space="preserve"> (c = </w:t>
      </w:r>
      <w:r w:rsidR="0039715B">
        <w:t>0.</w:t>
      </w:r>
      <w:r w:rsidR="00A82F32">
        <w:t>42</w:t>
      </w:r>
      <w:r w:rsidR="0039715B" w:rsidRPr="00F9710B">
        <w:t xml:space="preserve"> in CHCl</w:t>
      </w:r>
      <w:r w:rsidR="0039715B" w:rsidRPr="00F9710B">
        <w:rPr>
          <w:vertAlign w:val="subscript"/>
        </w:rPr>
        <w:t>3</w:t>
      </w:r>
      <w:r w:rsidR="0039715B" w:rsidRPr="00F9710B">
        <w:t>)</w:t>
      </w:r>
      <w:r w:rsidR="0039715B">
        <w:t>.</w:t>
      </w:r>
      <w:r w:rsidR="00171805">
        <w:fldChar w:fldCharType="begin" w:fldLock="1"/>
      </w:r>
      <w:r w:rsidR="00E81BA1">
        <w:instrText>ADDIN CSL_CITATION {"citationItems":[{"id":"ITEM-1","itemData":{"DOI":"10.1021/JO0515529/SUPPL_FILE/JO0515529SI20050907_122422.PDF","ISSN":"00223263","PMID":"16268623","abstract":"The synthesis of three marine sponge metabolites, luffolide (4), 5, and 6, are described for the first time, establishing the absolute configuration of these compounds. The key intermediate, aldehyde 17, was obtained from methyl isoanticopalate, 11. The addition of 3-furyllithium to 17 and subsequent photochemical oxidation give the γ-hydroxybutenolide 5 and its epimer at C-16. Sesterterpenolide 6 is obtained by dehydration of 5. From the key aldehyde 17, luffolide (4) was obtained in six steps. © 2005 American Chemical Society.","author":[{"dropping-particle":"","family":"Basabe","given":"P.","non-dropping-particle":"","parse-names":false,"suffix":""},{"dropping-particle":"","family":"Delgado","given":"S.","non-dropping-particle":"","parse-names":false,"suffix":""},{"dropping-particle":"","family":"Marcos","given":"I. S.","non-dropping-particle":"","parse-names":false,"suffix":""},{"dropping-particle":"","family":"Diez","given":"D.","non-dropping-particle":"","parse-names":false,"suffix":""},{"dropping-particle":"","family":"Diego","given":"A.","non-dropping-particle":"","parse-names":false,"suffix":""},{"dropping-particle":"","family":"Roman","given":"M.","non-dropping-particle":"De","parse-names":false,"suffix":""},{"dropping-particle":"","family":"Urones","given":"J. G.","non-dropping-particle":"","parse-names":false,"suffix":""}],"container-title":"Journal of Organic Chemistry","id":"ITEM-1","issue":"23","issued":{"date-parts":[["2005","11","11"]]},"page":"9480-9485","publisher":" American Chemical Society ","title":"Synthesis of three marine natural sesterterpenolides from methyl isoanticopalate. First enantioselective synthesis of luffolide","type":"article-journal","volume":"70"},"uris":["http://www.mendeley.com/documents/?uuid=944ab253-9971-3082-bfe6-289bc32a474b"]}],"mendeley":{"formattedCitation":"&lt;sup&gt;65&lt;/sup&gt;","plainTextFormattedCitation":"65","previouslyFormattedCitation":"&lt;sup&gt;64&lt;/sup&gt;"},"properties":{"noteIndex":0},"schema":"https://github.com/citation-style-language/schema/raw/master/csl-citation.json"}</w:instrText>
      </w:r>
      <w:r w:rsidR="00171805">
        <w:fldChar w:fldCharType="separate"/>
      </w:r>
      <w:r w:rsidR="00E81BA1" w:rsidRPr="00E81BA1">
        <w:rPr>
          <w:noProof/>
          <w:vertAlign w:val="superscript"/>
        </w:rPr>
        <w:t>65</w:t>
      </w:r>
      <w:r w:rsidR="00171805">
        <w:fldChar w:fldCharType="end"/>
      </w:r>
      <w:r w:rsidR="00A82F32" w:rsidRPr="0039715B">
        <w:t xml:space="preserve"> </w:t>
      </w:r>
      <w:r w:rsidR="00C056AC">
        <w:br/>
      </w:r>
    </w:p>
    <w:p w14:paraId="1E7FA7B5" w14:textId="0B547368" w:rsidR="00B753B9" w:rsidRPr="00B753B9" w:rsidRDefault="004C373F" w:rsidP="004771B9">
      <w:pPr>
        <w:pStyle w:val="Heading2"/>
        <w:rPr>
          <w:lang w:val="en-US"/>
        </w:rPr>
      </w:pPr>
      <w:bookmarkStart w:id="119" w:name="_Toc134623411"/>
      <w:r>
        <w:rPr>
          <w:lang w:val="en-US"/>
        </w:rPr>
        <w:lastRenderedPageBreak/>
        <w:t>15</w:t>
      </w:r>
      <w:r w:rsidR="00B753B9" w:rsidRPr="00B753B9">
        <w:rPr>
          <w:lang w:val="en-US"/>
        </w:rPr>
        <w:t xml:space="preserve"> with varian</w:t>
      </w:r>
      <w:r w:rsidR="00B753B9">
        <w:rPr>
          <w:lang w:val="en-US"/>
        </w:rPr>
        <w:t>t F601D F605L</w:t>
      </w:r>
      <w:r w:rsidR="00676596">
        <w:rPr>
          <w:lang w:val="en-US"/>
        </w:rPr>
        <w:t xml:space="preserve"> to </w:t>
      </w:r>
      <w:r w:rsidR="00750D9A">
        <w:rPr>
          <w:lang w:val="en-US"/>
        </w:rPr>
        <w:t>sclareol oxide acetate (</w:t>
      </w:r>
      <w:r>
        <w:rPr>
          <w:lang w:val="en-US"/>
        </w:rPr>
        <w:t>16</w:t>
      </w:r>
      <w:r w:rsidR="00750D9A">
        <w:rPr>
          <w:lang w:val="en-US"/>
        </w:rPr>
        <w:t>)</w:t>
      </w:r>
      <w:bookmarkEnd w:id="119"/>
    </w:p>
    <w:p w14:paraId="58F8434C" w14:textId="21338DAA" w:rsidR="00746001" w:rsidRDefault="004C373F" w:rsidP="009B3A08">
      <w:pPr>
        <w:jc w:val="center"/>
        <w:rPr>
          <w:noProof/>
        </w:rPr>
      </w:pPr>
      <w:r>
        <w:rPr>
          <w:noProof/>
        </w:rPr>
        <w:object w:dxaOrig="6029" w:dyaOrig="2167" w14:anchorId="52F6DA6F">
          <v:shape id="_x0000_i1034" type="#_x0000_t75" alt="" style="width:310.05pt;height:113.8pt" o:ole="">
            <v:imagedata r:id="rId46" o:title=""/>
            <o:lock v:ext="edit" aspectratio="f"/>
          </v:shape>
          <o:OLEObject Type="Embed" ProgID="ChemDraw.Document.6.0" ShapeID="_x0000_i1034" DrawAspect="Content" ObjectID="_1745237622" r:id="rId47"/>
        </w:object>
      </w:r>
    </w:p>
    <w:p w14:paraId="1A93AB2E" w14:textId="342D9753" w:rsidR="00AB4F86" w:rsidRPr="006E64A9" w:rsidRDefault="0054169F" w:rsidP="006E64A9">
      <w:pPr>
        <w:rPr>
          <w:szCs w:val="24"/>
        </w:rPr>
      </w:pPr>
      <w:r w:rsidRPr="004C751D">
        <w:t xml:space="preserve">Product was obtained as pale colorless </w:t>
      </w:r>
      <w:r w:rsidR="003A2965">
        <w:t>wax</w:t>
      </w:r>
      <w:r w:rsidRPr="00967D77">
        <w:t>.</w:t>
      </w:r>
      <w:r w:rsidR="004C751D" w:rsidRPr="00967D77">
        <w:t xml:space="preserve"> C</w:t>
      </w:r>
      <w:r w:rsidR="004C751D" w:rsidRPr="00967D77">
        <w:rPr>
          <w:vertAlign w:val="subscript"/>
        </w:rPr>
        <w:t>20</w:t>
      </w:r>
      <w:r w:rsidR="004C751D" w:rsidRPr="00967D77">
        <w:t>H</w:t>
      </w:r>
      <w:r w:rsidR="004C751D" w:rsidRPr="00967D77">
        <w:rPr>
          <w:vertAlign w:val="subscript"/>
        </w:rPr>
        <w:t>32</w:t>
      </w:r>
      <w:r w:rsidR="004C751D" w:rsidRPr="00967D77">
        <w:t>O</w:t>
      </w:r>
      <w:r w:rsidR="004C751D" w:rsidRPr="00967D77">
        <w:rPr>
          <w:vertAlign w:val="subscript"/>
        </w:rPr>
        <w:t>3</w:t>
      </w:r>
      <w:r w:rsidRPr="00967D77">
        <w:t xml:space="preserve"> </w:t>
      </w:r>
      <w:r w:rsidR="00AB4F86" w:rsidRPr="00967D77">
        <w:rPr>
          <w:b/>
          <w:vertAlign w:val="superscript"/>
        </w:rPr>
        <w:t>1</w:t>
      </w:r>
      <w:r w:rsidR="00AB4F86" w:rsidRPr="00967D77">
        <w:rPr>
          <w:b/>
        </w:rPr>
        <w:t>H-NMR</w:t>
      </w:r>
      <w:r w:rsidR="00AB4F86" w:rsidRPr="00967D77">
        <w:t xml:space="preserve"> (</w:t>
      </w:r>
      <w:r w:rsidR="00AB4F86" w:rsidRPr="00967D77">
        <w:rPr>
          <w:b/>
        </w:rPr>
        <w:t>CDCl</w:t>
      </w:r>
      <w:r w:rsidR="00AB4F86" w:rsidRPr="00967D77">
        <w:rPr>
          <w:b/>
          <w:vertAlign w:val="subscript"/>
        </w:rPr>
        <w:t>3</w:t>
      </w:r>
      <w:r w:rsidR="00AB4F86" w:rsidRPr="00967D77">
        <w:t xml:space="preserve">, </w:t>
      </w:r>
      <w:r w:rsidR="00AB4F86" w:rsidRPr="00967D77">
        <w:rPr>
          <w:b/>
        </w:rPr>
        <w:t>500 MHz</w:t>
      </w:r>
      <w:r w:rsidR="00AB4F86" w:rsidRPr="00967D77">
        <w:t>): δ (ppm) 0.82 (s, 3H),</w:t>
      </w:r>
      <w:r w:rsidR="00112382">
        <w:t xml:space="preserve"> 0.84 (s, 3H)</w:t>
      </w:r>
      <w:r w:rsidR="00AB4F86" w:rsidRPr="00967D77">
        <w:t xml:space="preserve"> 0.88 (s, 3H), 0.91-0.98 (m, 2H), 1.13 (s,3H), 1.25-1</w:t>
      </w:r>
      <w:r w:rsidR="001F7BF2">
        <w:t>.</w:t>
      </w:r>
      <w:r w:rsidR="00AB4F86" w:rsidRPr="00967D77">
        <w:t xml:space="preserve">39 (m, </w:t>
      </w:r>
      <w:r w:rsidR="001F7BF2">
        <w:t>3</w:t>
      </w:r>
      <w:r w:rsidR="00AB4F86" w:rsidRPr="00967D77">
        <w:t xml:space="preserve">H), 1.44-1.47 (m, </w:t>
      </w:r>
      <w:r w:rsidR="001F7BF2">
        <w:t>1</w:t>
      </w:r>
      <w:r w:rsidR="00AB4F86" w:rsidRPr="00967D77">
        <w:t xml:space="preserve">H), 1.52-1.55 (m, 1H), 1.57-1.63 (m,1H), 1.68-174 (m, 2H), 2.19 (s, </w:t>
      </w:r>
      <w:r w:rsidR="00C03996">
        <w:t>3</w:t>
      </w:r>
      <w:r w:rsidR="00AB4F86" w:rsidRPr="00967D77">
        <w:t xml:space="preserve">H), 2.26-2.32 (dd, </w:t>
      </w:r>
      <w:r w:rsidR="00AB4F86" w:rsidRPr="00967D77">
        <w:rPr>
          <w:i/>
          <w:iCs/>
        </w:rPr>
        <w:t xml:space="preserve">J </w:t>
      </w:r>
      <w:r w:rsidR="00AB4F86" w:rsidRPr="00967D77">
        <w:t xml:space="preserve">= 7.1 Hz, 1H), 3.69 (s, 3H). </w:t>
      </w:r>
      <w:r w:rsidR="00AB4F86" w:rsidRPr="00967D77">
        <w:rPr>
          <w:b/>
          <w:vertAlign w:val="superscript"/>
        </w:rPr>
        <w:t>13</w:t>
      </w:r>
      <w:r w:rsidR="00AB4F86" w:rsidRPr="00967D77">
        <w:rPr>
          <w:b/>
        </w:rPr>
        <w:t>C-NMR (CDCl</w:t>
      </w:r>
      <w:r w:rsidR="00AB4F86" w:rsidRPr="00967D77">
        <w:rPr>
          <w:b/>
          <w:vertAlign w:val="subscript"/>
        </w:rPr>
        <w:t>3</w:t>
      </w:r>
      <w:r w:rsidR="00AB4F86" w:rsidRPr="00967D77">
        <w:rPr>
          <w:b/>
        </w:rPr>
        <w:t xml:space="preserve">, 125 MHz): </w:t>
      </w:r>
      <w:r w:rsidR="00AB4F86" w:rsidRPr="00967D77">
        <w:t>δ (ppm)</w:t>
      </w:r>
      <w:r w:rsidR="00AB4F86" w:rsidRPr="00967D77">
        <w:rPr>
          <w:b/>
        </w:rPr>
        <w:t xml:space="preserve"> </w:t>
      </w:r>
      <w:r w:rsidR="00AB4F86" w:rsidRPr="00967D77">
        <w:t>14.89 (1C), 18.48 (1C), 19.43 (1C), 19.64 (1C), 20.38 (1C), 20.58 (1C), 21.54 (1C), 33.17 (1C), 33.42 (1C), 36.75 (1C), 39.21 (1C), 40.60 (1C), 41.85 (1C), 50.87 (1C), 51.62 (1C), 56.09 (1C), 78.35 (1C), 99.96 (1C), 163.14 (1C), 169.29 (1C).</w:t>
      </w:r>
      <w:r w:rsidR="002C5D2E" w:rsidRPr="00967D77">
        <w:t xml:space="preserve"> [α]</w:t>
      </w:r>
      <w:r w:rsidR="002C5D2E" w:rsidRPr="00967D77">
        <w:rPr>
          <w:vertAlign w:val="subscript"/>
        </w:rPr>
        <w:t>D</w:t>
      </w:r>
      <w:r w:rsidR="002C5D2E" w:rsidRPr="00967D77">
        <w:rPr>
          <w:vertAlign w:val="superscript"/>
        </w:rPr>
        <w:t xml:space="preserve">20 </w:t>
      </w:r>
      <w:r w:rsidR="002C5D2E" w:rsidRPr="00967D77">
        <w:t>= 7.3 (c = 0.63 in CHCl</w:t>
      </w:r>
      <w:r w:rsidR="002C5D2E" w:rsidRPr="00967D77">
        <w:rPr>
          <w:vertAlign w:val="subscript"/>
        </w:rPr>
        <w:t>3</w:t>
      </w:r>
      <w:r w:rsidR="002C5D2E" w:rsidRPr="00967D77">
        <w:t>)</w:t>
      </w:r>
      <w:r w:rsidR="00A22BF2">
        <w:t>.</w:t>
      </w:r>
      <w:r w:rsidR="006E64A9">
        <w:rPr>
          <w:szCs w:val="24"/>
        </w:rPr>
        <w:br/>
      </w:r>
    </w:p>
    <w:p w14:paraId="0CA55A74" w14:textId="77777777" w:rsidR="00474D28" w:rsidRDefault="008468CD" w:rsidP="00474D28">
      <w:pPr>
        <w:pStyle w:val="Heading1"/>
        <w:numPr>
          <w:ilvl w:val="0"/>
          <w:numId w:val="6"/>
        </w:numPr>
      </w:pPr>
      <w:bookmarkStart w:id="120" w:name="_Toc134623412"/>
      <w:r>
        <w:t>Chemical synthesis</w:t>
      </w:r>
      <w:bookmarkStart w:id="121" w:name="_Toc94268565"/>
      <w:bookmarkStart w:id="122" w:name="_Toc99475502"/>
      <w:bookmarkStart w:id="123" w:name="_Toc102735769"/>
      <w:bookmarkEnd w:id="120"/>
    </w:p>
    <w:p w14:paraId="5AC4F48E" w14:textId="49A11785" w:rsidR="00474D28" w:rsidRDefault="00474D28" w:rsidP="00474D28">
      <w:pPr>
        <w:pStyle w:val="Heading2"/>
      </w:pPr>
      <w:bookmarkStart w:id="124" w:name="_Toc134623413"/>
      <w:r>
        <w:t xml:space="preserve">Synthesis of </w:t>
      </w:r>
      <w:r w:rsidRPr="00474D28">
        <w:rPr>
          <w:i/>
        </w:rPr>
        <w:t>E</w:t>
      </w:r>
      <w:r>
        <w:t>,</w:t>
      </w:r>
      <w:r w:rsidRPr="00474D28">
        <w:rPr>
          <w:i/>
        </w:rPr>
        <w:t>E</w:t>
      </w:r>
      <w:r>
        <w:t xml:space="preserve">-keto ester </w:t>
      </w:r>
      <w:bookmarkEnd w:id="121"/>
      <w:bookmarkEnd w:id="122"/>
      <w:bookmarkEnd w:id="123"/>
      <w:r>
        <w:t>(</w:t>
      </w:r>
      <w:r w:rsidR="004C373F">
        <w:t>15</w:t>
      </w:r>
      <w:r>
        <w:t>)</w:t>
      </w:r>
      <w:bookmarkEnd w:id="124"/>
    </w:p>
    <w:p w14:paraId="6259D37E" w14:textId="77777777" w:rsidR="005F5F1D" w:rsidRPr="005F5F1D" w:rsidRDefault="005F5F1D" w:rsidP="005F5F1D"/>
    <w:p w14:paraId="69FBF798" w14:textId="39B54737" w:rsidR="00A675FB" w:rsidRDefault="008A4CE0" w:rsidP="00EB5CC1">
      <w:pPr>
        <w:jc w:val="center"/>
      </w:pPr>
      <w:r>
        <w:object w:dxaOrig="8933" w:dyaOrig="1293" w14:anchorId="30CE34FF">
          <v:shape id="_x0000_i1035" type="#_x0000_t75" style="width:454.05pt;height:65.05pt" o:ole="">
            <v:imagedata r:id="rId48" o:title=""/>
          </v:shape>
          <o:OLEObject Type="Embed" ProgID="ChemDraw.Document.6.0" ShapeID="_x0000_i1035" DrawAspect="Content" ObjectID="_1745237623" r:id="rId49"/>
        </w:object>
      </w:r>
    </w:p>
    <w:p w14:paraId="2F57CFD2" w14:textId="08C2DB7F" w:rsidR="00716043" w:rsidRDefault="00716043" w:rsidP="00716043">
      <w:r w:rsidRPr="00F869FC">
        <w:t xml:space="preserve">The reaction </w:t>
      </w:r>
      <w:r>
        <w:t>was</w:t>
      </w:r>
      <w:r w:rsidRPr="00F869FC">
        <w:t xml:space="preserve"> carried out under nitrogen atmosphere. </w:t>
      </w:r>
      <w:r w:rsidRPr="00F2211B">
        <w:t>A 60</w:t>
      </w:r>
      <w:r>
        <w:t xml:space="preserve"> </w:t>
      </w:r>
      <w:r w:rsidRPr="00F2211B">
        <w:t>% dispersion of NaH in mineral oil (210</w:t>
      </w:r>
      <w:r>
        <w:t xml:space="preserve"> </w:t>
      </w:r>
      <w:r w:rsidRPr="00F2211B">
        <w:t>mg, 5.25</w:t>
      </w:r>
      <w:r>
        <w:t xml:space="preserve"> </w:t>
      </w:r>
      <w:r w:rsidRPr="00F2211B">
        <w:t xml:space="preserve">mmol) was washed with hexane (3x1mL) and suspended in DMF (5mL). </w:t>
      </w:r>
      <w:r>
        <w:t>m</w:t>
      </w:r>
      <w:r w:rsidRPr="00F2211B">
        <w:t>ethyl</w:t>
      </w:r>
      <w:r>
        <w:t xml:space="preserve"> </w:t>
      </w:r>
      <w:r w:rsidRPr="00F2211B">
        <w:t>acetoacetate</w:t>
      </w:r>
      <w:r>
        <w:rPr>
          <w:b/>
          <w:bCs/>
        </w:rPr>
        <w:t xml:space="preserve"> </w:t>
      </w:r>
      <w:r w:rsidRPr="00F2211B">
        <w:t>(580</w:t>
      </w:r>
      <w:r>
        <w:t xml:space="preserve"> μ</w:t>
      </w:r>
      <w:r w:rsidRPr="00F2211B">
        <w:t>L, 5.4</w:t>
      </w:r>
      <w:r>
        <w:t xml:space="preserve"> </w:t>
      </w:r>
      <w:r w:rsidRPr="00F2211B">
        <w:t>mmol was added dropwise. After 30</w:t>
      </w:r>
      <w:r>
        <w:t xml:space="preserve"> </w:t>
      </w:r>
      <w:r w:rsidRPr="00F2211B">
        <w:t xml:space="preserve">min, the resulting solution was treated with </w:t>
      </w:r>
      <w:r w:rsidRPr="001D5C3D">
        <w:rPr>
          <w:i/>
          <w:iCs/>
        </w:rPr>
        <w:t>E</w:t>
      </w:r>
      <w:r>
        <w:t>,</w:t>
      </w:r>
      <w:r w:rsidRPr="001D5C3D">
        <w:rPr>
          <w:i/>
          <w:iCs/>
        </w:rPr>
        <w:t>E</w:t>
      </w:r>
      <w:r w:rsidRPr="00F2211B">
        <w:t>-farnesyl</w:t>
      </w:r>
      <w:r>
        <w:t xml:space="preserve"> </w:t>
      </w:r>
      <w:r w:rsidRPr="00F2211B">
        <w:t>bromide (0.5 g, 1.75</w:t>
      </w:r>
      <w:r>
        <w:t xml:space="preserve"> </w:t>
      </w:r>
      <w:r w:rsidRPr="00F2211B">
        <w:t>mmol) and stirred for 4</w:t>
      </w:r>
      <w:r>
        <w:t xml:space="preserve"> </w:t>
      </w:r>
      <w:r w:rsidRPr="00F2211B">
        <w:t>h. The reaction mixture was quenched with 5</w:t>
      </w:r>
      <w:r>
        <w:t xml:space="preserve"> </w:t>
      </w:r>
      <w:r w:rsidRPr="00F2211B">
        <w:t xml:space="preserve">mL of </w:t>
      </w:r>
      <w:r>
        <w:t>saturated NaHCO</w:t>
      </w:r>
      <w:r>
        <w:rPr>
          <w:vertAlign w:val="subscript"/>
        </w:rPr>
        <w:t>3</w:t>
      </w:r>
      <w:r w:rsidRPr="00F2211B">
        <w:t>, extracted with EtOAc (3</w:t>
      </w:r>
      <w:r>
        <w:t xml:space="preserve"> </w:t>
      </w:r>
      <w:r w:rsidRPr="00F2211B">
        <w:t>x</w:t>
      </w:r>
      <w:r>
        <w:t xml:space="preserve"> </w:t>
      </w:r>
      <w:r w:rsidRPr="00F2211B">
        <w:t>10</w:t>
      </w:r>
      <w:r>
        <w:t xml:space="preserve"> </w:t>
      </w:r>
      <w:r w:rsidRPr="00F2211B">
        <w:t>mL), and washed with H</w:t>
      </w:r>
      <w:r w:rsidRPr="003E62EA">
        <w:rPr>
          <w:vertAlign w:val="subscript"/>
        </w:rPr>
        <w:t>2</w:t>
      </w:r>
      <w:r>
        <w:t>O</w:t>
      </w:r>
      <w:r w:rsidRPr="00F2211B">
        <w:t xml:space="preserve"> (4</w:t>
      </w:r>
      <w:r>
        <w:t xml:space="preserve"> </w:t>
      </w:r>
      <w:r w:rsidRPr="00F2211B">
        <w:t>x</w:t>
      </w:r>
      <w:r>
        <w:t xml:space="preserve"> </w:t>
      </w:r>
      <w:r w:rsidRPr="00F2211B">
        <w:t>5</w:t>
      </w:r>
      <w:r>
        <w:t> </w:t>
      </w:r>
      <w:r w:rsidRPr="00F2211B">
        <w:t xml:space="preserve">mL). The </w:t>
      </w:r>
      <w:r>
        <w:t xml:space="preserve">combined </w:t>
      </w:r>
      <w:r w:rsidRPr="00F2211B">
        <w:t xml:space="preserve">organic </w:t>
      </w:r>
      <w:r>
        <w:t>layers</w:t>
      </w:r>
      <w:r w:rsidRPr="00F2211B">
        <w:t xml:space="preserve"> w</w:t>
      </w:r>
      <w:r>
        <w:t>ere</w:t>
      </w:r>
      <w:r w:rsidRPr="00F2211B">
        <w:t xml:space="preserve"> dried </w:t>
      </w:r>
      <w:r>
        <w:t>over Mg</w:t>
      </w:r>
      <w:r w:rsidRPr="00F2211B">
        <w:t>S</w:t>
      </w:r>
      <w:r>
        <w:t>O</w:t>
      </w:r>
      <w:r w:rsidRPr="00C909B9">
        <w:rPr>
          <w:vertAlign w:val="subscript"/>
        </w:rPr>
        <w:t>4</w:t>
      </w:r>
      <w:r>
        <w:t xml:space="preserve"> </w:t>
      </w:r>
      <w:r w:rsidRPr="00F2211B">
        <w:t>and concentrated.</w:t>
      </w:r>
      <w:r>
        <w:t xml:space="preserve"> </w:t>
      </w:r>
      <w:r w:rsidRPr="00F2211B">
        <w:t>Column chromatography (</w:t>
      </w:r>
      <w:r>
        <w:rPr>
          <w:rFonts w:cs="Arial"/>
        </w:rPr>
        <w:t>CH:EtOAc</w:t>
      </w:r>
      <w:r w:rsidRPr="00F2211B">
        <w:t>,</w:t>
      </w:r>
      <w:r>
        <w:t xml:space="preserve"> </w:t>
      </w:r>
      <w:r w:rsidRPr="00F2211B">
        <w:t>1:</w:t>
      </w:r>
      <w:r>
        <w:t>20</w:t>
      </w:r>
      <w:r w:rsidRPr="00F2211B">
        <w:t>) afforde</w:t>
      </w:r>
      <w:r>
        <w:t xml:space="preserve">d </w:t>
      </w:r>
      <w:r w:rsidRPr="00F2211B">
        <w:t>a colorless oil</w:t>
      </w:r>
      <w:r>
        <w:t xml:space="preserve"> of </w:t>
      </w:r>
      <w:r w:rsidR="00A46E17">
        <w:rPr>
          <w:b/>
          <w:bCs/>
        </w:rPr>
        <w:t>15</w:t>
      </w:r>
      <w:r>
        <w:t xml:space="preserve"> </w:t>
      </w:r>
      <w:r w:rsidRPr="00F2211B">
        <w:t>(</w:t>
      </w:r>
      <w:r>
        <w:t>0.43 mL, 1.36 mmol, 78 %</w:t>
      </w:r>
      <w:r w:rsidRPr="00F2211B">
        <w:t>)</w:t>
      </w:r>
      <w:r>
        <w:t>.</w:t>
      </w:r>
    </w:p>
    <w:p w14:paraId="2C9D53DE" w14:textId="2B6D73B7" w:rsidR="00CC0546" w:rsidRDefault="00744566" w:rsidP="00CC0546">
      <w:pPr>
        <w:rPr>
          <w:rFonts w:cs="Arial"/>
        </w:rPr>
      </w:pPr>
      <w:r w:rsidRPr="00967D77">
        <w:t>C</w:t>
      </w:r>
      <w:r w:rsidRPr="00967D77">
        <w:rPr>
          <w:vertAlign w:val="subscript"/>
        </w:rPr>
        <w:t>20</w:t>
      </w:r>
      <w:r w:rsidRPr="00967D77">
        <w:t>H</w:t>
      </w:r>
      <w:r w:rsidRPr="00967D77">
        <w:rPr>
          <w:vertAlign w:val="subscript"/>
        </w:rPr>
        <w:t>32</w:t>
      </w:r>
      <w:r w:rsidRPr="00967D77">
        <w:t>O</w:t>
      </w:r>
      <w:r w:rsidRPr="00967D77">
        <w:rPr>
          <w:vertAlign w:val="subscript"/>
        </w:rPr>
        <w:t>3</w:t>
      </w:r>
      <w:r w:rsidRPr="00967D77">
        <w:t xml:space="preserve"> </w:t>
      </w:r>
      <w:r w:rsidR="00AA0C45" w:rsidRPr="00015F74">
        <w:rPr>
          <w:rFonts w:cs="Arial"/>
          <w:b/>
          <w:vertAlign w:val="superscript"/>
        </w:rPr>
        <w:t>1</w:t>
      </w:r>
      <w:r w:rsidR="00AA0C45" w:rsidRPr="00015F74">
        <w:rPr>
          <w:rFonts w:cs="Arial"/>
          <w:b/>
        </w:rPr>
        <w:t>H-NMR (CDCl</w:t>
      </w:r>
      <w:r w:rsidR="00AA0C45" w:rsidRPr="00015F74">
        <w:rPr>
          <w:rFonts w:cs="Arial"/>
          <w:b/>
          <w:vertAlign w:val="subscript"/>
        </w:rPr>
        <w:t>3</w:t>
      </w:r>
      <w:r w:rsidR="00AA0C45" w:rsidRPr="00015F74">
        <w:rPr>
          <w:rFonts w:cs="Arial"/>
          <w:b/>
        </w:rPr>
        <w:t xml:space="preserve">, 500 MHz): </w:t>
      </w:r>
      <w:r w:rsidR="00AA0C45" w:rsidRPr="00015F74">
        <w:rPr>
          <w:rFonts w:cs="Arial"/>
        </w:rPr>
        <w:t>δ (ppm)</w:t>
      </w:r>
      <w:r w:rsidR="00AA0C45">
        <w:rPr>
          <w:rFonts w:cs="Arial"/>
        </w:rPr>
        <w:t xml:space="preserve"> 1.58 (s, 3H), 1.60 (s, 3H), 1.62 (s, 3H), 1.67 (s, 3H), 1.94-1.99 (m, 4H), 2.03-2.07 (m, 4H), 2.22 (s, 3H), 2.54-2.57 (t, </w:t>
      </w:r>
      <w:r w:rsidR="00AA0C45" w:rsidRPr="00375D03">
        <w:rPr>
          <w:rFonts w:cs="Arial"/>
          <w:i/>
          <w:iCs/>
        </w:rPr>
        <w:t>J</w:t>
      </w:r>
      <w:r w:rsidR="00AA0C45">
        <w:rPr>
          <w:rFonts w:cs="Arial"/>
        </w:rPr>
        <w:t xml:space="preserve"> = 7.5 Hz, 2H), 3.44-3.47 (t, </w:t>
      </w:r>
      <w:r w:rsidR="00AA0C45" w:rsidRPr="00375D03">
        <w:rPr>
          <w:rFonts w:cs="Arial"/>
          <w:i/>
          <w:iCs/>
        </w:rPr>
        <w:t>J</w:t>
      </w:r>
      <w:r w:rsidR="00AA0C45">
        <w:rPr>
          <w:rFonts w:cs="Arial"/>
        </w:rPr>
        <w:t xml:space="preserve"> = 7.7 Hz, 1H), 3.72 (s, 3H), 5.02-5.08 (m, 3H). </w:t>
      </w:r>
      <w:r w:rsidR="00AA0C45" w:rsidRPr="00E20C1A">
        <w:rPr>
          <w:rFonts w:cs="Arial"/>
          <w:b/>
          <w:vertAlign w:val="superscript"/>
        </w:rPr>
        <w:t>13</w:t>
      </w:r>
      <w:r w:rsidR="00AA0C45" w:rsidRPr="00E20C1A">
        <w:rPr>
          <w:rFonts w:cs="Arial"/>
          <w:b/>
        </w:rPr>
        <w:t>C-NMR (CDCl</w:t>
      </w:r>
      <w:r w:rsidR="00AA0C45" w:rsidRPr="00E20C1A">
        <w:rPr>
          <w:rFonts w:cs="Arial"/>
          <w:b/>
          <w:vertAlign w:val="subscript"/>
        </w:rPr>
        <w:t>3</w:t>
      </w:r>
      <w:r w:rsidR="00AA0C45" w:rsidRPr="00E20C1A">
        <w:rPr>
          <w:rFonts w:cs="Arial"/>
          <w:b/>
        </w:rPr>
        <w:t xml:space="preserve">, 125 MHz): </w:t>
      </w:r>
      <w:r w:rsidR="00AA0C45" w:rsidRPr="00E20C1A">
        <w:rPr>
          <w:rFonts w:cs="Arial"/>
        </w:rPr>
        <w:t>δ (ppm) 1</w:t>
      </w:r>
      <w:r w:rsidR="00154D15" w:rsidRPr="00E20C1A">
        <w:rPr>
          <w:rFonts w:cs="Arial"/>
        </w:rPr>
        <w:t>6</w:t>
      </w:r>
      <w:r w:rsidR="00AA0C45" w:rsidRPr="00E20C1A">
        <w:rPr>
          <w:rFonts w:cs="Arial"/>
        </w:rPr>
        <w:t>.</w:t>
      </w:r>
      <w:r w:rsidR="00154D15" w:rsidRPr="00E20C1A">
        <w:rPr>
          <w:rFonts w:cs="Arial"/>
        </w:rPr>
        <w:t>0</w:t>
      </w:r>
      <w:r w:rsidR="00AA0C45" w:rsidRPr="00E20C1A">
        <w:rPr>
          <w:rFonts w:cs="Arial"/>
        </w:rPr>
        <w:t xml:space="preserve"> (1C), 16.1 (1C), 17.7 (1C), 25.7 (1C), 26.5 (1C), 26.7 (1C), 26.9 (1C), 29.2 (1C),</w:t>
      </w:r>
      <w:r w:rsidR="00D03D6C" w:rsidRPr="00E20C1A">
        <w:rPr>
          <w:rFonts w:cs="Arial"/>
        </w:rPr>
        <w:t xml:space="preserve"> 39.68 (1C),</w:t>
      </w:r>
      <w:r w:rsidR="00AA0C45" w:rsidRPr="00E20C1A">
        <w:rPr>
          <w:rFonts w:cs="Arial"/>
        </w:rPr>
        <w:t xml:space="preserve"> </w:t>
      </w:r>
      <w:r w:rsidR="00AA0C45" w:rsidRPr="00E20C1A">
        <w:rPr>
          <w:rFonts w:cs="Arial"/>
        </w:rPr>
        <w:lastRenderedPageBreak/>
        <w:t>39.7</w:t>
      </w:r>
      <w:r w:rsidR="00D03D6C" w:rsidRPr="00E20C1A">
        <w:rPr>
          <w:rFonts w:cs="Arial"/>
        </w:rPr>
        <w:t>1</w:t>
      </w:r>
      <w:r w:rsidR="00AA0C45" w:rsidRPr="00E20C1A">
        <w:rPr>
          <w:rFonts w:cs="Arial"/>
        </w:rPr>
        <w:t xml:space="preserve"> (1C), 52.3 (1C), 59.6 (1C), 119.5 (1C), 123.8 (1C), 124.3 (1C), 131.3 (1C), 135.2 (1C), 138.6 (1C), 170.1 (1C), 203.1 (1C).</w:t>
      </w:r>
      <w:r w:rsidR="00AA0C45">
        <w:rPr>
          <w:rFonts w:cs="Arial"/>
        </w:rPr>
        <w:t xml:space="preserve"> The data is consistent with the literature.</w:t>
      </w:r>
      <w:r w:rsidR="00AA0C45">
        <w:rPr>
          <w:rFonts w:cs="Arial"/>
        </w:rPr>
        <w:fldChar w:fldCharType="begin" w:fldLock="1"/>
      </w:r>
      <w:r w:rsidR="00E81BA1">
        <w:rPr>
          <w:rFonts w:cs="Arial"/>
        </w:rPr>
        <w:instrText>ADDIN CSL_CITATION {"citationItems":[{"id":"ITEM-1","itemData":{"author":[{"dropping-particle":"","family":"Parker","given":"Kathlyn A","non-dropping-particle":"","parse-names":false,"suffix":""},{"dropping-particle":"","family":"Resnick","given":"Lynn","non-dropping-particle":"","parse-names":false,"suffix":""}],"container-title":"J. Org. Chem","id":"ITEM-1","issued":{"date-parts":[["1995"]]},"page":"5726-5728","title":"The First Total Synthesis of a Pyripyropene-Type ACAT Inhibitor, (±)-GERI-BP00P","type":"article-journal","volume":"60"},"uris":["http://www.mendeley.com/documents/?uuid=69ff7802-7313-39ed-9c41-6a5fc134f0a8"]}],"mendeley":{"formattedCitation":"&lt;sup&gt;21&lt;/sup&gt;","plainTextFormattedCitation":"21","previouslyFormattedCitation":"&lt;sup&gt;20&lt;/sup&gt;"},"properties":{"noteIndex":0},"schema":"https://github.com/citation-style-language/schema/raw/master/csl-citation.json"}</w:instrText>
      </w:r>
      <w:r w:rsidR="00AA0C45">
        <w:rPr>
          <w:rFonts w:cs="Arial"/>
        </w:rPr>
        <w:fldChar w:fldCharType="separate"/>
      </w:r>
      <w:r w:rsidR="00E81BA1" w:rsidRPr="00E81BA1">
        <w:rPr>
          <w:rFonts w:cs="Arial"/>
          <w:noProof/>
          <w:vertAlign w:val="superscript"/>
        </w:rPr>
        <w:t>21</w:t>
      </w:r>
      <w:r w:rsidR="00AA0C45">
        <w:rPr>
          <w:rFonts w:cs="Arial"/>
        </w:rPr>
        <w:fldChar w:fldCharType="end"/>
      </w:r>
      <w:bookmarkStart w:id="125" w:name="_Toc94268569"/>
      <w:bookmarkStart w:id="126" w:name="_Toc99475504"/>
      <w:bookmarkStart w:id="127" w:name="_Toc102735771"/>
      <w:r w:rsidR="006E64A9">
        <w:rPr>
          <w:rFonts w:cs="Arial"/>
        </w:rPr>
        <w:br/>
      </w:r>
    </w:p>
    <w:p w14:paraId="3A45214F" w14:textId="47FC0A7F" w:rsidR="00BF3BA2" w:rsidRPr="009D5A26" w:rsidRDefault="00BF3BA2" w:rsidP="004E6DEF">
      <w:pPr>
        <w:pStyle w:val="Heading2"/>
        <w:rPr>
          <w:lang w:val="en-US"/>
        </w:rPr>
      </w:pPr>
      <w:bookmarkStart w:id="128" w:name="_Toc134623414"/>
      <w:r w:rsidRPr="009D5A26">
        <w:rPr>
          <w:lang w:val="en-US"/>
        </w:rPr>
        <w:t xml:space="preserve">Synthesis of ketone </w:t>
      </w:r>
      <w:r w:rsidR="00415F48">
        <w:rPr>
          <w:lang w:val="en-US"/>
        </w:rPr>
        <w:t>(</w:t>
      </w:r>
      <w:r w:rsidR="002516AD" w:rsidRPr="009D5A26">
        <w:rPr>
          <w:lang w:val="en-US"/>
        </w:rPr>
        <w:t>P</w:t>
      </w:r>
      <w:r w:rsidRPr="009D5A26">
        <w:rPr>
          <w:lang w:val="en-US"/>
        </w:rPr>
        <w:t>-1</w:t>
      </w:r>
      <w:r w:rsidR="00415F48">
        <w:rPr>
          <w:lang w:val="en-US"/>
        </w:rPr>
        <w:t>)</w:t>
      </w:r>
      <w:bookmarkEnd w:id="128"/>
    </w:p>
    <w:p w14:paraId="75E3EB25" w14:textId="4AF94C3F" w:rsidR="005E3987" w:rsidRDefault="00940D5E" w:rsidP="001B068A">
      <w:pPr>
        <w:jc w:val="left"/>
      </w:pPr>
      <w:r w:rsidRPr="00EE3BFD">
        <w:object w:dxaOrig="5491" w:dyaOrig="1287" w14:anchorId="0B3356DD">
          <v:shape id="_x0000_i1036" type="#_x0000_t75" style="width:272.9pt;height:63.85pt" o:ole="">
            <v:imagedata r:id="rId50" o:title=""/>
          </v:shape>
          <o:OLEObject Type="Embed" ProgID="ChemDraw.Document.6.0" ShapeID="_x0000_i1036" DrawAspect="Content" ObjectID="_1745237624" r:id="rId51"/>
        </w:object>
      </w:r>
      <w:r w:rsidR="001B068A">
        <w:rPr>
          <w:noProof/>
        </w:rPr>
        <w:drawing>
          <wp:inline distT="0" distB="0" distL="0" distR="0" wp14:anchorId="58EEDDE2" wp14:editId="28C5AF13">
            <wp:extent cx="2084294" cy="1210204"/>
            <wp:effectExtent l="0" t="0" r="0" b="9525"/>
            <wp:docPr id="64" name="Picture 6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diagram&#10;&#10;Description automatically generated"/>
                    <pic:cNvPicPr/>
                  </pic:nvPicPr>
                  <pic:blipFill rotWithShape="1">
                    <a:blip r:embed="rId52"/>
                    <a:srcRect l="8871" t="28049" r="47704" b="51616"/>
                    <a:stretch/>
                  </pic:blipFill>
                  <pic:spPr bwMode="auto">
                    <a:xfrm>
                      <a:off x="0" y="0"/>
                      <a:ext cx="2091622" cy="1214459"/>
                    </a:xfrm>
                    <a:prstGeom prst="rect">
                      <a:avLst/>
                    </a:prstGeom>
                    <a:ln>
                      <a:noFill/>
                    </a:ln>
                    <a:extLst>
                      <a:ext uri="{53640926-AAD7-44D8-BBD7-CCE9431645EC}">
                        <a14:shadowObscured xmlns:a14="http://schemas.microsoft.com/office/drawing/2010/main"/>
                      </a:ext>
                    </a:extLst>
                  </pic:spPr>
                </pic:pic>
              </a:graphicData>
            </a:graphic>
          </wp:inline>
        </w:drawing>
      </w:r>
    </w:p>
    <w:p w14:paraId="2128C214" w14:textId="1885AA73" w:rsidR="005043CC" w:rsidRPr="0057124A" w:rsidRDefault="005E3987" w:rsidP="005E3987">
      <w:r>
        <w:t>T</w:t>
      </w:r>
      <w:r w:rsidR="000F5B42">
        <w:t>o</w:t>
      </w:r>
      <w:r w:rsidR="008002BD">
        <w:t xml:space="preserve"> a 10 mL gla</w:t>
      </w:r>
      <w:r w:rsidR="00FF7083">
        <w:t>s</w:t>
      </w:r>
      <w:r w:rsidR="008002BD">
        <w:t xml:space="preserve">s </w:t>
      </w:r>
      <w:r w:rsidR="000F5B42">
        <w:t xml:space="preserve">vessel </w:t>
      </w:r>
      <w:r w:rsidR="002E3D70">
        <w:t xml:space="preserve">were added 5 mL buffer solution </w:t>
      </w:r>
      <w:r w:rsidR="009B6224">
        <w:t>containing</w:t>
      </w:r>
      <w:r w:rsidR="00D321FE">
        <w:t xml:space="preserve"> 1 mM NaI and 20 mM 2HPCD</w:t>
      </w:r>
      <w:r>
        <w:t>,</w:t>
      </w:r>
      <w:r w:rsidR="00D321FE">
        <w:t xml:space="preserve"> was added 21.</w:t>
      </w:r>
      <w:r w:rsidR="00BE0F1F">
        <w:t>8 µL</w:t>
      </w:r>
      <w:r w:rsidR="00216D25">
        <w:t xml:space="preserve"> (</w:t>
      </w:r>
      <w:r w:rsidR="00F1393C">
        <w:t xml:space="preserve">19.4 </w:t>
      </w:r>
      <w:r w:rsidR="002E71B9">
        <w:t>m</w:t>
      </w:r>
      <w:r w:rsidR="00F1393C">
        <w:t xml:space="preserve">g, </w:t>
      </w:r>
      <w:r w:rsidR="0086681C">
        <w:t>0.1 mmol)</w:t>
      </w:r>
      <w:r w:rsidR="00BE0F1F">
        <w:t xml:space="preserve"> </w:t>
      </w:r>
      <w:r w:rsidR="00BE0F1F" w:rsidRPr="005B6280">
        <w:rPr>
          <w:i/>
          <w:iCs/>
        </w:rPr>
        <w:t>trans</w:t>
      </w:r>
      <w:r w:rsidR="00BE0F1F">
        <w:t xml:space="preserve">-hexahydrochromene </w:t>
      </w:r>
      <w:r w:rsidR="009F28A3">
        <w:t>18</w:t>
      </w:r>
      <w:r w:rsidR="0086681C">
        <w:t xml:space="preserve"> and </w:t>
      </w:r>
      <w:r w:rsidR="003449F3">
        <w:t>38.7 µL</w:t>
      </w:r>
      <w:r w:rsidR="005261B7">
        <w:t xml:space="preserve"> of </w:t>
      </w:r>
      <w:r w:rsidR="00E37CA5">
        <w:t>30%</w:t>
      </w:r>
      <w:r w:rsidR="00C46ED9">
        <w:t xml:space="preserve"> H</w:t>
      </w:r>
      <w:r w:rsidR="00C46ED9" w:rsidRPr="00C46ED9">
        <w:rPr>
          <w:vertAlign w:val="subscript"/>
        </w:rPr>
        <w:t>2</w:t>
      </w:r>
      <w:r w:rsidR="00C46ED9">
        <w:t>O</w:t>
      </w:r>
      <w:r w:rsidR="00C46ED9" w:rsidRPr="00C46ED9">
        <w:rPr>
          <w:vertAlign w:val="subscript"/>
        </w:rPr>
        <w:t>2</w:t>
      </w:r>
      <w:r w:rsidR="00E37CA5">
        <w:rPr>
          <w:vertAlign w:val="subscript"/>
        </w:rPr>
        <w:t xml:space="preserve"> </w:t>
      </w:r>
      <w:r w:rsidR="00E37CA5">
        <w:t>in H</w:t>
      </w:r>
      <w:r w:rsidR="00E37CA5">
        <w:rPr>
          <w:vertAlign w:val="subscript"/>
        </w:rPr>
        <w:t>2</w:t>
      </w:r>
      <w:r w:rsidR="00E37CA5">
        <w:t>O (</w:t>
      </w:r>
      <w:r w:rsidR="00EC423A">
        <w:t>0.5 mmol</w:t>
      </w:r>
      <w:r w:rsidR="00F66BE3">
        <w:t>, 5 eq</w:t>
      </w:r>
      <w:r w:rsidR="00EC423A">
        <w:t>)</w:t>
      </w:r>
      <w:r>
        <w:t>. The reaction mixture was shaken for 2 h at 37 °C before another</w:t>
      </w:r>
      <w:r w:rsidR="00AC150A">
        <w:t xml:space="preserve"> portion of 38.7 µL of 30% H</w:t>
      </w:r>
      <w:r w:rsidR="00AC150A" w:rsidRPr="00C46ED9">
        <w:rPr>
          <w:vertAlign w:val="subscript"/>
        </w:rPr>
        <w:t>2</w:t>
      </w:r>
      <w:r w:rsidR="00AC150A">
        <w:t>O</w:t>
      </w:r>
      <w:r w:rsidR="00AC150A" w:rsidRPr="00C46ED9">
        <w:rPr>
          <w:vertAlign w:val="subscript"/>
        </w:rPr>
        <w:t>2</w:t>
      </w:r>
      <w:r w:rsidR="00AC150A">
        <w:rPr>
          <w:vertAlign w:val="subscript"/>
        </w:rPr>
        <w:t xml:space="preserve"> </w:t>
      </w:r>
      <w:r w:rsidR="00AC150A">
        <w:t>was added. After</w:t>
      </w:r>
      <w:r w:rsidR="00E53E32">
        <w:t xml:space="preserve"> reaction completion determined via GC-MS</w:t>
      </w:r>
      <w:r w:rsidR="00AC150A">
        <w:t xml:space="preserve"> </w:t>
      </w:r>
      <w:r w:rsidR="00E53E32">
        <w:t>(4</w:t>
      </w:r>
      <w:r w:rsidR="00BE4352">
        <w:t xml:space="preserve"> h </w:t>
      </w:r>
      <w:r w:rsidR="00E53E32">
        <w:t xml:space="preserve">total reaction time), </w:t>
      </w:r>
      <w:r w:rsidR="00BE4352">
        <w:t xml:space="preserve">the reaction was </w:t>
      </w:r>
      <w:r w:rsidR="00E03F8B">
        <w:t>quenched with</w:t>
      </w:r>
      <w:r w:rsidR="00CB4E61">
        <w:t xml:space="preserve"> sat. Na</w:t>
      </w:r>
      <w:r w:rsidR="00CB4E61">
        <w:rPr>
          <w:vertAlign w:val="subscript"/>
        </w:rPr>
        <w:t>2</w:t>
      </w:r>
      <w:r w:rsidR="00E03F8B">
        <w:t>S</w:t>
      </w:r>
      <w:r w:rsidR="00E03F8B">
        <w:rPr>
          <w:vertAlign w:val="subscript"/>
        </w:rPr>
        <w:t>2</w:t>
      </w:r>
      <w:r w:rsidR="00E03F8B">
        <w:t>O</w:t>
      </w:r>
      <w:r w:rsidR="00E03F8B">
        <w:rPr>
          <w:vertAlign w:val="subscript"/>
        </w:rPr>
        <w:t>3</w:t>
      </w:r>
      <w:r w:rsidR="00BE4352">
        <w:t xml:space="preserve"> </w:t>
      </w:r>
      <w:r w:rsidR="0057124A">
        <w:t>and extracted with ethyl acetate. The organic phase was dried over Mg</w:t>
      </w:r>
      <w:r w:rsidR="0057124A">
        <w:rPr>
          <w:vertAlign w:val="subscript"/>
        </w:rPr>
        <w:t>2</w:t>
      </w:r>
      <w:r w:rsidR="0057124A">
        <w:t>SO</w:t>
      </w:r>
      <w:r w:rsidR="0057124A">
        <w:rPr>
          <w:vertAlign w:val="subscript"/>
        </w:rPr>
        <w:t>4</w:t>
      </w:r>
      <w:r w:rsidR="00934193">
        <w:rPr>
          <w:vertAlign w:val="subscript"/>
        </w:rPr>
        <w:t xml:space="preserve"> </w:t>
      </w:r>
      <w:r w:rsidR="00934193">
        <w:t>and reduced under vacuo to afford</w:t>
      </w:r>
      <w:r w:rsidR="00F1393C">
        <w:t xml:space="preserve"> a </w:t>
      </w:r>
      <w:r w:rsidR="00793F7B">
        <w:t>3</w:t>
      </w:r>
      <w:r w:rsidR="00F1393C">
        <w:t>:</w:t>
      </w:r>
      <w:r w:rsidR="00793F7B">
        <w:t>2</w:t>
      </w:r>
      <w:r w:rsidR="00F1393C">
        <w:t xml:space="preserve"> diastereoisomeric mixture of</w:t>
      </w:r>
      <w:r w:rsidR="00934193">
        <w:t xml:space="preserve"> P-1</w:t>
      </w:r>
      <w:r w:rsidR="00F1393C">
        <w:t xml:space="preserve"> as a colorless oil (</w:t>
      </w:r>
      <w:r w:rsidR="009768D7">
        <w:t>20.4 </w:t>
      </w:r>
      <w:r w:rsidR="002E71B9">
        <w:t>m</w:t>
      </w:r>
      <w:r w:rsidR="009768D7">
        <w:t>g,</w:t>
      </w:r>
      <w:r w:rsidR="00D43DD2">
        <w:t xml:space="preserve"> 0.0097 mmol,</w:t>
      </w:r>
      <w:r w:rsidR="009768D7">
        <w:t xml:space="preserve"> 97%</w:t>
      </w:r>
      <w:r w:rsidR="00EA7577">
        <w:t>)</w:t>
      </w:r>
      <w:r w:rsidR="00A50FB1">
        <w:t>.</w:t>
      </w:r>
      <w:r w:rsidR="00871A2A" w:rsidRPr="00871A2A">
        <w:t xml:space="preserve"> </w:t>
      </w:r>
      <w:r w:rsidR="00871A2A">
        <w:t>Reactions were monitored by taking 10 µL samples that were quenched with 10 µL sat. Na</w:t>
      </w:r>
      <w:r w:rsidR="00871A2A">
        <w:rPr>
          <w:vertAlign w:val="subscript"/>
        </w:rPr>
        <w:t>2</w:t>
      </w:r>
      <w:r w:rsidR="00871A2A">
        <w:t>S</w:t>
      </w:r>
      <w:r w:rsidR="00871A2A">
        <w:rPr>
          <w:vertAlign w:val="subscript"/>
        </w:rPr>
        <w:t>2</w:t>
      </w:r>
      <w:r w:rsidR="00871A2A">
        <w:t>O</w:t>
      </w:r>
      <w:r w:rsidR="00871A2A">
        <w:rPr>
          <w:vertAlign w:val="subscript"/>
        </w:rPr>
        <w:t>3</w:t>
      </w:r>
      <w:r w:rsidR="00871A2A">
        <w:t>, extracted with ethyl acetate and measured via GC-MS.</w:t>
      </w:r>
    </w:p>
    <w:p w14:paraId="1CE92A0F" w14:textId="54132BA9" w:rsidR="00162C2B" w:rsidRDefault="00246FD9" w:rsidP="00162C2B">
      <w:pPr>
        <w:rPr>
          <w:rFonts w:cs="Arial"/>
        </w:rPr>
      </w:pPr>
      <w:r w:rsidRPr="00967D77">
        <w:t>C</w:t>
      </w:r>
      <w:r>
        <w:rPr>
          <w:vertAlign w:val="subscript"/>
        </w:rPr>
        <w:t>13</w:t>
      </w:r>
      <w:r w:rsidRPr="00967D77">
        <w:t>H</w:t>
      </w:r>
      <w:r>
        <w:rPr>
          <w:vertAlign w:val="subscript"/>
        </w:rPr>
        <w:t>2</w:t>
      </w:r>
      <w:r w:rsidRPr="00967D77">
        <w:rPr>
          <w:vertAlign w:val="subscript"/>
        </w:rPr>
        <w:t>2</w:t>
      </w:r>
      <w:r w:rsidRPr="00967D77">
        <w:t>O</w:t>
      </w:r>
      <w:r w:rsidR="00323C34">
        <w:rPr>
          <w:vertAlign w:val="subscript"/>
        </w:rPr>
        <w:t>2</w:t>
      </w:r>
      <w:r>
        <w:rPr>
          <w:vertAlign w:val="subscript"/>
        </w:rPr>
        <w:t xml:space="preserve"> </w:t>
      </w:r>
      <w:r w:rsidR="00162C2B" w:rsidRPr="0059235A">
        <w:rPr>
          <w:rFonts w:cs="Arial"/>
          <w:b/>
          <w:vertAlign w:val="superscript"/>
        </w:rPr>
        <w:t>1</w:t>
      </w:r>
      <w:r w:rsidR="00162C2B" w:rsidRPr="0059235A">
        <w:rPr>
          <w:rFonts w:cs="Arial"/>
          <w:b/>
        </w:rPr>
        <w:t>H-NMR (CDCl</w:t>
      </w:r>
      <w:r w:rsidR="00162C2B" w:rsidRPr="0059235A">
        <w:rPr>
          <w:rFonts w:cs="Arial"/>
          <w:b/>
          <w:vertAlign w:val="subscript"/>
        </w:rPr>
        <w:t>3</w:t>
      </w:r>
      <w:r w:rsidR="00162C2B" w:rsidRPr="0059235A">
        <w:rPr>
          <w:rFonts w:cs="Arial"/>
          <w:b/>
        </w:rPr>
        <w:t>, 500 MHz)</w:t>
      </w:r>
      <w:r w:rsidRPr="0059235A">
        <w:rPr>
          <w:rFonts w:cs="Arial"/>
          <w:b/>
        </w:rPr>
        <w:t xml:space="preserve"> major diastereoisomer</w:t>
      </w:r>
      <w:r w:rsidR="00162C2B" w:rsidRPr="0059235A">
        <w:rPr>
          <w:rFonts w:cs="Arial"/>
          <w:b/>
        </w:rPr>
        <w:t xml:space="preserve">: </w:t>
      </w:r>
      <w:r w:rsidR="00162C2B" w:rsidRPr="0059235A">
        <w:rPr>
          <w:rFonts w:cs="Arial"/>
        </w:rPr>
        <w:t>δ (ppm) 0.81 (s, 3H), 0.</w:t>
      </w:r>
      <w:r w:rsidR="00C907A7" w:rsidRPr="0059235A">
        <w:rPr>
          <w:rFonts w:cs="Arial"/>
        </w:rPr>
        <w:t>85</w:t>
      </w:r>
      <w:r w:rsidR="00162C2B" w:rsidRPr="0059235A">
        <w:rPr>
          <w:rFonts w:cs="Arial"/>
        </w:rPr>
        <w:t xml:space="preserve"> (s, 3H) </w:t>
      </w:r>
      <w:r w:rsidR="00CA7DF2" w:rsidRPr="0059235A">
        <w:rPr>
          <w:rFonts w:cs="Arial"/>
        </w:rPr>
        <w:t>0.93</w:t>
      </w:r>
      <w:r w:rsidR="00162C2B" w:rsidRPr="0059235A">
        <w:rPr>
          <w:rFonts w:cs="Arial"/>
        </w:rPr>
        <w:t xml:space="preserve"> (s, 3H), </w:t>
      </w:r>
      <w:r w:rsidR="00CA7DF2" w:rsidRPr="0059235A">
        <w:rPr>
          <w:rFonts w:cs="Arial"/>
        </w:rPr>
        <w:t xml:space="preserve">1.15 (s, 3H), </w:t>
      </w:r>
      <w:r w:rsidR="00162C2B" w:rsidRPr="0059235A">
        <w:rPr>
          <w:rFonts w:cs="Arial"/>
        </w:rPr>
        <w:t>1.</w:t>
      </w:r>
      <w:r w:rsidR="00CA7DF2" w:rsidRPr="0059235A">
        <w:rPr>
          <w:rFonts w:cs="Arial"/>
        </w:rPr>
        <w:t>30</w:t>
      </w:r>
      <w:r w:rsidR="00162C2B" w:rsidRPr="0059235A">
        <w:rPr>
          <w:rFonts w:cs="Arial"/>
        </w:rPr>
        <w:t>-1.</w:t>
      </w:r>
      <w:r w:rsidR="00CA7DF2" w:rsidRPr="0059235A">
        <w:rPr>
          <w:rFonts w:cs="Arial"/>
        </w:rPr>
        <w:t>34</w:t>
      </w:r>
      <w:r w:rsidR="00162C2B" w:rsidRPr="0059235A">
        <w:rPr>
          <w:rFonts w:cs="Arial"/>
        </w:rPr>
        <w:t xml:space="preserve"> (m, 1H), 1.4</w:t>
      </w:r>
      <w:r w:rsidR="002208D1" w:rsidRPr="0059235A">
        <w:rPr>
          <w:rFonts w:cs="Arial"/>
        </w:rPr>
        <w:t>3</w:t>
      </w:r>
      <w:r w:rsidR="00162C2B" w:rsidRPr="0059235A">
        <w:rPr>
          <w:rFonts w:cs="Arial"/>
        </w:rPr>
        <w:t>-1.</w:t>
      </w:r>
      <w:r w:rsidR="002208D1" w:rsidRPr="0059235A">
        <w:rPr>
          <w:rFonts w:cs="Arial"/>
        </w:rPr>
        <w:t>4</w:t>
      </w:r>
      <w:r w:rsidR="00162C2B" w:rsidRPr="0059235A">
        <w:rPr>
          <w:rFonts w:cs="Arial"/>
        </w:rPr>
        <w:t>6 (m, </w:t>
      </w:r>
      <w:r w:rsidR="002208D1" w:rsidRPr="0059235A">
        <w:rPr>
          <w:rFonts w:cs="Arial"/>
        </w:rPr>
        <w:t>2</w:t>
      </w:r>
      <w:r w:rsidR="00162C2B" w:rsidRPr="0059235A">
        <w:rPr>
          <w:rFonts w:cs="Arial"/>
        </w:rPr>
        <w:t>H), 1.6</w:t>
      </w:r>
      <w:r w:rsidR="002208D1" w:rsidRPr="0059235A">
        <w:rPr>
          <w:rFonts w:cs="Arial"/>
        </w:rPr>
        <w:t>6-1.73</w:t>
      </w:r>
      <w:r w:rsidR="00162C2B" w:rsidRPr="0059235A">
        <w:rPr>
          <w:rFonts w:cs="Arial"/>
        </w:rPr>
        <w:t xml:space="preserve"> (</w:t>
      </w:r>
      <w:r w:rsidR="002208D1" w:rsidRPr="0059235A">
        <w:rPr>
          <w:rFonts w:cs="Arial"/>
        </w:rPr>
        <w:t>m</w:t>
      </w:r>
      <w:r w:rsidR="00162C2B" w:rsidRPr="0059235A">
        <w:rPr>
          <w:rFonts w:cs="Arial"/>
        </w:rPr>
        <w:t xml:space="preserve">, </w:t>
      </w:r>
      <w:r w:rsidR="002208D1" w:rsidRPr="0059235A">
        <w:rPr>
          <w:rFonts w:cs="Arial"/>
        </w:rPr>
        <w:t>2</w:t>
      </w:r>
      <w:r w:rsidR="00162C2B" w:rsidRPr="0059235A">
        <w:rPr>
          <w:rFonts w:cs="Arial"/>
        </w:rPr>
        <w:t>H), 1.</w:t>
      </w:r>
      <w:r w:rsidR="008C4DDE" w:rsidRPr="0059235A">
        <w:rPr>
          <w:rFonts w:cs="Arial"/>
        </w:rPr>
        <w:t>92</w:t>
      </w:r>
      <w:r w:rsidR="00162C2B" w:rsidRPr="0059235A">
        <w:rPr>
          <w:rFonts w:cs="Arial"/>
        </w:rPr>
        <w:t>-</w:t>
      </w:r>
      <w:r w:rsidR="008C4DDE" w:rsidRPr="0059235A">
        <w:rPr>
          <w:rFonts w:cs="Arial"/>
        </w:rPr>
        <w:t>2.14</w:t>
      </w:r>
      <w:r w:rsidR="00162C2B" w:rsidRPr="0059235A">
        <w:rPr>
          <w:rFonts w:cs="Arial"/>
        </w:rPr>
        <w:t xml:space="preserve"> (m, </w:t>
      </w:r>
      <w:r w:rsidR="008C4DDE" w:rsidRPr="0059235A">
        <w:rPr>
          <w:rFonts w:cs="Arial"/>
        </w:rPr>
        <w:t>4</w:t>
      </w:r>
      <w:r w:rsidR="00162C2B" w:rsidRPr="0059235A">
        <w:rPr>
          <w:rFonts w:cs="Arial"/>
        </w:rPr>
        <w:t xml:space="preserve">H), </w:t>
      </w:r>
      <w:r w:rsidR="00096066" w:rsidRPr="0059235A">
        <w:rPr>
          <w:rFonts w:cs="Arial"/>
        </w:rPr>
        <w:t xml:space="preserve">2.21 (s, 3H), </w:t>
      </w:r>
      <w:r w:rsidR="00162C2B" w:rsidRPr="0059235A">
        <w:rPr>
          <w:rFonts w:cs="Arial"/>
        </w:rPr>
        <w:t>4.</w:t>
      </w:r>
      <w:r w:rsidR="00982E68" w:rsidRPr="0059235A">
        <w:rPr>
          <w:rFonts w:cs="Arial"/>
        </w:rPr>
        <w:t>33</w:t>
      </w:r>
      <w:r w:rsidR="00162C2B" w:rsidRPr="0059235A">
        <w:rPr>
          <w:rFonts w:cs="Arial"/>
        </w:rPr>
        <w:t>-4.</w:t>
      </w:r>
      <w:r w:rsidR="00982E68" w:rsidRPr="0059235A">
        <w:rPr>
          <w:rFonts w:cs="Arial"/>
        </w:rPr>
        <w:t>37</w:t>
      </w:r>
      <w:r w:rsidR="00162C2B" w:rsidRPr="0059235A">
        <w:rPr>
          <w:rFonts w:cs="Arial"/>
        </w:rPr>
        <w:t xml:space="preserve"> (</w:t>
      </w:r>
      <w:r w:rsidR="00982E68" w:rsidRPr="0059235A">
        <w:rPr>
          <w:rFonts w:cs="Arial"/>
        </w:rPr>
        <w:t>dd</w:t>
      </w:r>
      <w:r w:rsidR="00162C2B" w:rsidRPr="0059235A">
        <w:rPr>
          <w:rFonts w:cs="Arial"/>
        </w:rPr>
        <w:t>,</w:t>
      </w:r>
      <w:r w:rsidR="00982E68" w:rsidRPr="0059235A">
        <w:rPr>
          <w:rFonts w:cs="Arial"/>
        </w:rPr>
        <w:t xml:space="preserve"> </w:t>
      </w:r>
      <w:r w:rsidR="00982E68" w:rsidRPr="0059235A">
        <w:rPr>
          <w:rFonts w:cs="Arial"/>
          <w:i/>
          <w:iCs/>
        </w:rPr>
        <w:t>J</w:t>
      </w:r>
      <w:r w:rsidR="00982E68" w:rsidRPr="0059235A">
        <w:rPr>
          <w:rFonts w:cs="Arial"/>
          <w:i/>
          <w:iCs/>
          <w:vertAlign w:val="subscript"/>
        </w:rPr>
        <w:t>d</w:t>
      </w:r>
      <w:r w:rsidR="00162C2B" w:rsidRPr="0059235A">
        <w:rPr>
          <w:rFonts w:cs="Arial"/>
        </w:rPr>
        <w:t xml:space="preserve"> </w:t>
      </w:r>
      <w:r w:rsidR="00982E68" w:rsidRPr="0059235A">
        <w:rPr>
          <w:rFonts w:cs="Arial"/>
        </w:rPr>
        <w:t xml:space="preserve">= </w:t>
      </w:r>
      <w:r w:rsidR="00774DF6" w:rsidRPr="0059235A">
        <w:rPr>
          <w:rFonts w:cs="Arial"/>
        </w:rPr>
        <w:t xml:space="preserve">5.3 Hz, </w:t>
      </w:r>
      <w:r w:rsidR="00774DF6" w:rsidRPr="0059235A">
        <w:rPr>
          <w:rFonts w:cs="Arial"/>
          <w:i/>
          <w:iCs/>
        </w:rPr>
        <w:t>J</w:t>
      </w:r>
      <w:r w:rsidR="00774DF6" w:rsidRPr="0059235A">
        <w:rPr>
          <w:rFonts w:cs="Arial"/>
          <w:i/>
          <w:iCs/>
          <w:vertAlign w:val="subscript"/>
        </w:rPr>
        <w:t>d</w:t>
      </w:r>
      <w:r w:rsidR="00774DF6" w:rsidRPr="0059235A">
        <w:rPr>
          <w:rFonts w:cs="Arial"/>
          <w:i/>
          <w:iCs/>
        </w:rPr>
        <w:t xml:space="preserve"> </w:t>
      </w:r>
      <w:r w:rsidR="00774DF6" w:rsidRPr="0059235A">
        <w:rPr>
          <w:rFonts w:cs="Arial"/>
        </w:rPr>
        <w:t xml:space="preserve">= </w:t>
      </w:r>
      <w:r w:rsidR="0059235A" w:rsidRPr="0059235A">
        <w:rPr>
          <w:rFonts w:cs="Arial"/>
        </w:rPr>
        <w:t xml:space="preserve">1.7 Hz, </w:t>
      </w:r>
      <w:r w:rsidR="00162C2B" w:rsidRPr="0059235A">
        <w:rPr>
          <w:rFonts w:cs="Arial"/>
        </w:rPr>
        <w:t xml:space="preserve">1H). </w:t>
      </w:r>
      <w:r w:rsidR="00162C2B" w:rsidRPr="00825A80">
        <w:rPr>
          <w:rFonts w:cs="Arial"/>
          <w:b/>
          <w:vertAlign w:val="superscript"/>
        </w:rPr>
        <w:t>13</w:t>
      </w:r>
      <w:r w:rsidR="00162C2B" w:rsidRPr="00825A80">
        <w:rPr>
          <w:rFonts w:cs="Arial"/>
          <w:b/>
        </w:rPr>
        <w:t>C-NMR (CDCl</w:t>
      </w:r>
      <w:r w:rsidR="00162C2B" w:rsidRPr="00825A80">
        <w:rPr>
          <w:rFonts w:cs="Arial"/>
          <w:b/>
          <w:vertAlign w:val="subscript"/>
        </w:rPr>
        <w:t>3</w:t>
      </w:r>
      <w:r w:rsidR="00162C2B" w:rsidRPr="00825A80">
        <w:rPr>
          <w:rFonts w:cs="Arial"/>
          <w:b/>
        </w:rPr>
        <w:t xml:space="preserve">, 125 MHz): </w:t>
      </w:r>
      <w:r w:rsidR="00162C2B" w:rsidRPr="00825A80">
        <w:rPr>
          <w:rFonts w:cs="Arial"/>
        </w:rPr>
        <w:t>δ (ppm) 19.</w:t>
      </w:r>
      <w:r w:rsidR="00FA7A87" w:rsidRPr="00825A80">
        <w:rPr>
          <w:rFonts w:cs="Arial"/>
        </w:rPr>
        <w:t>8</w:t>
      </w:r>
      <w:r w:rsidR="00825A80" w:rsidRPr="00825A80">
        <w:rPr>
          <w:rFonts w:cs="Arial"/>
        </w:rPr>
        <w:t>1</w:t>
      </w:r>
      <w:r w:rsidR="00162C2B" w:rsidRPr="00825A80">
        <w:rPr>
          <w:rFonts w:cs="Arial"/>
        </w:rPr>
        <w:t xml:space="preserve"> (1C), </w:t>
      </w:r>
      <w:r w:rsidR="00825A80" w:rsidRPr="00825A80">
        <w:rPr>
          <w:rFonts w:cs="Arial"/>
        </w:rPr>
        <w:t>20.35</w:t>
      </w:r>
      <w:r w:rsidR="00162C2B" w:rsidRPr="00825A80">
        <w:rPr>
          <w:rFonts w:cs="Arial"/>
        </w:rPr>
        <w:t xml:space="preserve"> (1C), </w:t>
      </w:r>
      <w:r w:rsidR="00825A80" w:rsidRPr="00825A80">
        <w:rPr>
          <w:rFonts w:cs="Arial"/>
        </w:rPr>
        <w:t>21.13</w:t>
      </w:r>
      <w:r w:rsidR="00162C2B" w:rsidRPr="00825A80">
        <w:rPr>
          <w:rFonts w:cs="Arial"/>
        </w:rPr>
        <w:t xml:space="preserve"> (1C), 2</w:t>
      </w:r>
      <w:r w:rsidR="00825A80" w:rsidRPr="00825A80">
        <w:rPr>
          <w:rFonts w:cs="Arial"/>
        </w:rPr>
        <w:t>6</w:t>
      </w:r>
      <w:r w:rsidR="00162C2B" w:rsidRPr="00825A80">
        <w:rPr>
          <w:rFonts w:cs="Arial"/>
        </w:rPr>
        <w:t>.</w:t>
      </w:r>
      <w:r w:rsidR="00825A80" w:rsidRPr="00825A80">
        <w:rPr>
          <w:rFonts w:cs="Arial"/>
        </w:rPr>
        <w:t>79</w:t>
      </w:r>
      <w:r w:rsidR="00162C2B" w:rsidRPr="00825A80">
        <w:rPr>
          <w:rFonts w:cs="Arial"/>
        </w:rPr>
        <w:t xml:space="preserve"> (1C), 2</w:t>
      </w:r>
      <w:r w:rsidR="00825A80" w:rsidRPr="00825A80">
        <w:rPr>
          <w:rFonts w:cs="Arial"/>
        </w:rPr>
        <w:t>8</w:t>
      </w:r>
      <w:r w:rsidR="00162C2B" w:rsidRPr="00825A80">
        <w:rPr>
          <w:rFonts w:cs="Arial"/>
        </w:rPr>
        <w:t>.</w:t>
      </w:r>
      <w:r w:rsidR="00825A80" w:rsidRPr="00825A80">
        <w:rPr>
          <w:rFonts w:cs="Arial"/>
        </w:rPr>
        <w:t>00</w:t>
      </w:r>
      <w:r w:rsidR="00162C2B" w:rsidRPr="00825A80">
        <w:rPr>
          <w:rFonts w:cs="Arial"/>
        </w:rPr>
        <w:t xml:space="preserve"> (1C) 3</w:t>
      </w:r>
      <w:r w:rsidR="00825A80" w:rsidRPr="00825A80">
        <w:rPr>
          <w:rFonts w:cs="Arial"/>
        </w:rPr>
        <w:t>2</w:t>
      </w:r>
      <w:r w:rsidR="00162C2B" w:rsidRPr="00825A80">
        <w:rPr>
          <w:rFonts w:cs="Arial"/>
        </w:rPr>
        <w:t>.</w:t>
      </w:r>
      <w:r w:rsidR="00825A80" w:rsidRPr="00825A80">
        <w:rPr>
          <w:rFonts w:cs="Arial"/>
        </w:rPr>
        <w:t>65</w:t>
      </w:r>
      <w:r w:rsidR="00162C2B" w:rsidRPr="00825A80">
        <w:rPr>
          <w:rFonts w:cs="Arial"/>
        </w:rPr>
        <w:t xml:space="preserve"> (1C), 3</w:t>
      </w:r>
      <w:r w:rsidR="00825A80" w:rsidRPr="00825A80">
        <w:rPr>
          <w:rFonts w:cs="Arial"/>
        </w:rPr>
        <w:t>3</w:t>
      </w:r>
      <w:r w:rsidR="00162C2B" w:rsidRPr="00825A80">
        <w:rPr>
          <w:rFonts w:cs="Arial"/>
        </w:rPr>
        <w:t>.</w:t>
      </w:r>
      <w:r w:rsidR="00825A80" w:rsidRPr="00825A80">
        <w:rPr>
          <w:rFonts w:cs="Arial"/>
        </w:rPr>
        <w:t>21</w:t>
      </w:r>
      <w:r w:rsidR="00162C2B" w:rsidRPr="00825A80">
        <w:rPr>
          <w:rFonts w:cs="Arial"/>
        </w:rPr>
        <w:t xml:space="preserve"> (1C), 3</w:t>
      </w:r>
      <w:r w:rsidR="00825A80" w:rsidRPr="00825A80">
        <w:rPr>
          <w:rFonts w:cs="Arial"/>
        </w:rPr>
        <w:t>8</w:t>
      </w:r>
      <w:r w:rsidR="00162C2B" w:rsidRPr="00825A80">
        <w:rPr>
          <w:rFonts w:cs="Arial"/>
        </w:rPr>
        <w:t>.</w:t>
      </w:r>
      <w:r w:rsidR="00825A80" w:rsidRPr="00825A80">
        <w:rPr>
          <w:rFonts w:cs="Arial"/>
        </w:rPr>
        <w:t>62</w:t>
      </w:r>
      <w:r w:rsidR="00162C2B" w:rsidRPr="00825A80">
        <w:rPr>
          <w:rFonts w:cs="Arial"/>
        </w:rPr>
        <w:t xml:space="preserve"> (1C), 4</w:t>
      </w:r>
      <w:r w:rsidR="00825A80" w:rsidRPr="00825A80">
        <w:rPr>
          <w:rFonts w:cs="Arial"/>
        </w:rPr>
        <w:t>0</w:t>
      </w:r>
      <w:r w:rsidR="00162C2B" w:rsidRPr="00825A80">
        <w:rPr>
          <w:rFonts w:cs="Arial"/>
        </w:rPr>
        <w:t>.</w:t>
      </w:r>
      <w:r w:rsidR="00825A80" w:rsidRPr="00825A80">
        <w:rPr>
          <w:rFonts w:cs="Arial"/>
        </w:rPr>
        <w:t>81</w:t>
      </w:r>
      <w:r w:rsidR="00162C2B" w:rsidRPr="00825A80">
        <w:rPr>
          <w:rFonts w:cs="Arial"/>
        </w:rPr>
        <w:t xml:space="preserve"> (1C), </w:t>
      </w:r>
      <w:r w:rsidR="00825A80" w:rsidRPr="00825A80">
        <w:rPr>
          <w:rFonts w:cs="Arial"/>
        </w:rPr>
        <w:t>55</w:t>
      </w:r>
      <w:r w:rsidR="00162C2B" w:rsidRPr="00825A80">
        <w:rPr>
          <w:rFonts w:cs="Arial"/>
        </w:rPr>
        <w:t>.</w:t>
      </w:r>
      <w:r w:rsidR="00825A80" w:rsidRPr="00825A80">
        <w:rPr>
          <w:rFonts w:cs="Arial"/>
        </w:rPr>
        <w:t>66</w:t>
      </w:r>
      <w:r w:rsidR="00162C2B" w:rsidRPr="00825A80">
        <w:rPr>
          <w:rFonts w:cs="Arial"/>
        </w:rPr>
        <w:t xml:space="preserve"> (1C), </w:t>
      </w:r>
      <w:r w:rsidR="00825A80" w:rsidRPr="00825A80">
        <w:rPr>
          <w:rFonts w:cs="Arial"/>
        </w:rPr>
        <w:t>80.07</w:t>
      </w:r>
      <w:r w:rsidR="00162C2B" w:rsidRPr="00825A80">
        <w:rPr>
          <w:rFonts w:cs="Arial"/>
        </w:rPr>
        <w:t xml:space="preserve"> (1C), </w:t>
      </w:r>
      <w:r w:rsidR="00825A80" w:rsidRPr="00825A80">
        <w:rPr>
          <w:rFonts w:cs="Arial"/>
        </w:rPr>
        <w:t>82.62</w:t>
      </w:r>
      <w:r w:rsidR="00162C2B" w:rsidRPr="00825A80">
        <w:rPr>
          <w:rFonts w:cs="Arial"/>
        </w:rPr>
        <w:t xml:space="preserve"> (1C), </w:t>
      </w:r>
      <w:r w:rsidR="00825A80" w:rsidRPr="00825A80">
        <w:rPr>
          <w:rFonts w:cs="Arial"/>
        </w:rPr>
        <w:t>211.13</w:t>
      </w:r>
      <w:r w:rsidR="00162C2B" w:rsidRPr="00825A80">
        <w:rPr>
          <w:rFonts w:cs="Arial"/>
        </w:rPr>
        <w:t xml:space="preserve"> (1C).</w:t>
      </w:r>
      <w:r w:rsidR="006E64A9">
        <w:rPr>
          <w:rFonts w:cs="Arial"/>
        </w:rPr>
        <w:br/>
      </w:r>
    </w:p>
    <w:p w14:paraId="1C1A466B" w14:textId="4CFBDA0F" w:rsidR="00C357FB" w:rsidRPr="007001B0" w:rsidRDefault="00C357FB" w:rsidP="00C357FB">
      <w:pPr>
        <w:pStyle w:val="Heading2"/>
        <w:rPr>
          <w:lang w:val="en-US"/>
        </w:rPr>
      </w:pPr>
      <w:bookmarkStart w:id="129" w:name="_Toc134623415"/>
      <w:r w:rsidRPr="007001B0">
        <w:rPr>
          <w:lang w:val="en-US"/>
        </w:rPr>
        <w:t xml:space="preserve">Synthesis of ketone </w:t>
      </w:r>
      <w:r w:rsidR="00415F48">
        <w:rPr>
          <w:lang w:val="en-US"/>
        </w:rPr>
        <w:t>(</w:t>
      </w:r>
      <w:r w:rsidRPr="007001B0">
        <w:rPr>
          <w:lang w:val="en-US"/>
        </w:rPr>
        <w:t>P-2</w:t>
      </w:r>
      <w:r w:rsidR="00415F48">
        <w:rPr>
          <w:lang w:val="en-US"/>
        </w:rPr>
        <w:t>)</w:t>
      </w:r>
      <w:bookmarkEnd w:id="129"/>
    </w:p>
    <w:p w14:paraId="7239087C" w14:textId="4321F4EF" w:rsidR="00C357FB" w:rsidRDefault="00742FB6" w:rsidP="00C357FB">
      <w:pPr>
        <w:jc w:val="center"/>
        <w:rPr>
          <w:rFonts w:cs="Arial"/>
        </w:rPr>
      </w:pPr>
      <w:r w:rsidRPr="00EE3BFD">
        <w:object w:dxaOrig="5491" w:dyaOrig="1287" w14:anchorId="68474A02">
          <v:shape id="_x0000_i1037" type="#_x0000_t75" style="width:272.9pt;height:63.85pt" o:ole="">
            <v:imagedata r:id="rId53" o:title=""/>
          </v:shape>
          <o:OLEObject Type="Embed" ProgID="ChemDraw.Document.6.0" ShapeID="_x0000_i1037" DrawAspect="Content" ObjectID="_1745237625" r:id="rId54"/>
        </w:object>
      </w:r>
      <w:r w:rsidR="00BB53AE">
        <w:rPr>
          <w:noProof/>
        </w:rPr>
        <w:drawing>
          <wp:inline distT="0" distB="0" distL="0" distR="0" wp14:anchorId="08BE4646" wp14:editId="49B78D20">
            <wp:extent cx="2082800" cy="1176955"/>
            <wp:effectExtent l="0" t="0" r="0" b="4445"/>
            <wp:docPr id="65" name="Picture 6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diagram&#10;&#10;Description automatically generated"/>
                    <pic:cNvPicPr/>
                  </pic:nvPicPr>
                  <pic:blipFill rotWithShape="1">
                    <a:blip r:embed="rId52"/>
                    <a:srcRect l="8871" t="49249" r="47704" b="30961"/>
                    <a:stretch/>
                  </pic:blipFill>
                  <pic:spPr bwMode="auto">
                    <a:xfrm>
                      <a:off x="0" y="0"/>
                      <a:ext cx="2091622" cy="1181940"/>
                    </a:xfrm>
                    <a:prstGeom prst="rect">
                      <a:avLst/>
                    </a:prstGeom>
                    <a:ln>
                      <a:noFill/>
                    </a:ln>
                    <a:extLst>
                      <a:ext uri="{53640926-AAD7-44D8-BBD7-CCE9431645EC}">
                        <a14:shadowObscured xmlns:a14="http://schemas.microsoft.com/office/drawing/2010/main"/>
                      </a:ext>
                    </a:extLst>
                  </pic:spPr>
                </pic:pic>
              </a:graphicData>
            </a:graphic>
          </wp:inline>
        </w:drawing>
      </w:r>
    </w:p>
    <w:p w14:paraId="6CA5CFFC" w14:textId="3AD23E06" w:rsidR="00530033" w:rsidRPr="0057124A" w:rsidRDefault="00530033" w:rsidP="00530033">
      <w:r>
        <w:t>To a 1 mL gla</w:t>
      </w:r>
      <w:r w:rsidR="00FF7083">
        <w:t>s</w:t>
      </w:r>
      <w:r>
        <w:t>s vial were added 500 µL buffer solution containing 1 mM NaI and 20 mM 2HPCD, was added 2</w:t>
      </w:r>
      <w:r w:rsidR="006B716F">
        <w:t>.1</w:t>
      </w:r>
      <w:r>
        <w:t>8 µL (1</w:t>
      </w:r>
      <w:r w:rsidR="006B716F">
        <w:t>.</w:t>
      </w:r>
      <w:r>
        <w:t>94 g, 0.</w:t>
      </w:r>
      <w:r w:rsidR="006B716F">
        <w:t>0</w:t>
      </w:r>
      <w:r>
        <w:t xml:space="preserve">1 mmol) </w:t>
      </w:r>
      <w:r w:rsidR="006B716F">
        <w:rPr>
          <w:i/>
          <w:iCs/>
        </w:rPr>
        <w:t>cis</w:t>
      </w:r>
      <w:r>
        <w:t xml:space="preserve">-hexahydrochromene </w:t>
      </w:r>
      <w:r w:rsidR="009F28A3">
        <w:t>23</w:t>
      </w:r>
      <w:r>
        <w:t xml:space="preserve"> and 3</w:t>
      </w:r>
      <w:r w:rsidR="00367434">
        <w:t>.</w:t>
      </w:r>
      <w:r>
        <w:t>87 µL of 30% H</w:t>
      </w:r>
      <w:r w:rsidRPr="00C46ED9">
        <w:rPr>
          <w:vertAlign w:val="subscript"/>
        </w:rPr>
        <w:t>2</w:t>
      </w:r>
      <w:r>
        <w:t>O</w:t>
      </w:r>
      <w:r w:rsidRPr="00C46ED9">
        <w:rPr>
          <w:vertAlign w:val="subscript"/>
        </w:rPr>
        <w:t>2</w:t>
      </w:r>
      <w:r>
        <w:rPr>
          <w:vertAlign w:val="subscript"/>
        </w:rPr>
        <w:t xml:space="preserve"> </w:t>
      </w:r>
      <w:r>
        <w:t>in H</w:t>
      </w:r>
      <w:r>
        <w:rPr>
          <w:vertAlign w:val="subscript"/>
        </w:rPr>
        <w:t>2</w:t>
      </w:r>
      <w:r>
        <w:t>O (0.</w:t>
      </w:r>
      <w:r w:rsidR="00367434">
        <w:t>0</w:t>
      </w:r>
      <w:r>
        <w:t>5 mmol</w:t>
      </w:r>
      <w:r w:rsidR="00F66BE3">
        <w:t>, 5 eq</w:t>
      </w:r>
      <w:r>
        <w:t>). The reaction mixture was shaken for 2 h at 37 °C before another portion of 3</w:t>
      </w:r>
      <w:r w:rsidR="00367434">
        <w:t>.</w:t>
      </w:r>
      <w:r>
        <w:t>87 µL of 30% H</w:t>
      </w:r>
      <w:r w:rsidRPr="00C46ED9">
        <w:rPr>
          <w:vertAlign w:val="subscript"/>
        </w:rPr>
        <w:t>2</w:t>
      </w:r>
      <w:r>
        <w:t>O</w:t>
      </w:r>
      <w:r w:rsidRPr="00C46ED9">
        <w:rPr>
          <w:vertAlign w:val="subscript"/>
        </w:rPr>
        <w:t>2</w:t>
      </w:r>
      <w:r>
        <w:rPr>
          <w:vertAlign w:val="subscript"/>
        </w:rPr>
        <w:t xml:space="preserve"> </w:t>
      </w:r>
      <w:r>
        <w:t xml:space="preserve">was added. After </w:t>
      </w:r>
      <w:r w:rsidR="00E53E32">
        <w:t xml:space="preserve">reaction completion determined via </w:t>
      </w:r>
      <w:r w:rsidR="00E53E32">
        <w:lastRenderedPageBreak/>
        <w:t>GC-MS (4</w:t>
      </w:r>
      <w:r>
        <w:t xml:space="preserve"> h </w:t>
      </w:r>
      <w:r w:rsidR="00E53E32">
        <w:t xml:space="preserve">total reaction time), </w:t>
      </w:r>
      <w:r>
        <w:t>the reaction was quenched with sat. Na</w:t>
      </w:r>
      <w:r>
        <w:rPr>
          <w:vertAlign w:val="subscript"/>
        </w:rPr>
        <w:t>2</w:t>
      </w:r>
      <w:r>
        <w:t>S</w:t>
      </w:r>
      <w:r>
        <w:rPr>
          <w:vertAlign w:val="subscript"/>
        </w:rPr>
        <w:t>2</w:t>
      </w:r>
      <w:r>
        <w:t>O</w:t>
      </w:r>
      <w:r>
        <w:rPr>
          <w:vertAlign w:val="subscript"/>
        </w:rPr>
        <w:t>3</w:t>
      </w:r>
      <w:r>
        <w:t xml:space="preserve"> and extracted with ethyl acetate. The organic phase was dried over Mg</w:t>
      </w:r>
      <w:r>
        <w:rPr>
          <w:vertAlign w:val="subscript"/>
        </w:rPr>
        <w:t>2</w:t>
      </w:r>
      <w:r>
        <w:t>SO</w:t>
      </w:r>
      <w:r>
        <w:rPr>
          <w:vertAlign w:val="subscript"/>
        </w:rPr>
        <w:t xml:space="preserve">4 </w:t>
      </w:r>
      <w:r>
        <w:t xml:space="preserve">and reduced under vacuo to afford a </w:t>
      </w:r>
      <w:r w:rsidR="00367434">
        <w:t>9</w:t>
      </w:r>
      <w:r>
        <w:t>:</w:t>
      </w:r>
      <w:r w:rsidR="00367434">
        <w:t>1</w:t>
      </w:r>
      <w:r>
        <w:t xml:space="preserve"> diastereoisomeric mixture of P-</w:t>
      </w:r>
      <w:r w:rsidR="00367434">
        <w:t>2</w:t>
      </w:r>
      <w:r>
        <w:t xml:space="preserve"> as a colorless oil (</w:t>
      </w:r>
      <w:r w:rsidR="002E71B9">
        <w:t>1.9</w:t>
      </w:r>
      <w:r>
        <w:t> </w:t>
      </w:r>
      <w:r w:rsidR="002E71B9">
        <w:t>m</w:t>
      </w:r>
      <w:r>
        <w:t xml:space="preserve">g, </w:t>
      </w:r>
      <w:r w:rsidR="00D43DD2">
        <w:t xml:space="preserve">0.009 mol, </w:t>
      </w:r>
      <w:r>
        <w:t>9</w:t>
      </w:r>
      <w:r w:rsidR="002E71B9">
        <w:t>0</w:t>
      </w:r>
      <w:r>
        <w:t>%)</w:t>
      </w:r>
      <w:r w:rsidR="000623BD">
        <w:t>.</w:t>
      </w:r>
    </w:p>
    <w:p w14:paraId="0D246B98" w14:textId="6128EE92" w:rsidR="00A203AA" w:rsidRDefault="00E15429" w:rsidP="00A203AA">
      <w:pPr>
        <w:rPr>
          <w:rFonts w:cs="Arial"/>
        </w:rPr>
      </w:pPr>
      <w:r w:rsidRPr="00DC4CE6">
        <w:t>C</w:t>
      </w:r>
      <w:r w:rsidRPr="00DC4CE6">
        <w:rPr>
          <w:vertAlign w:val="subscript"/>
        </w:rPr>
        <w:t>13</w:t>
      </w:r>
      <w:r w:rsidRPr="00DC4CE6">
        <w:t>H</w:t>
      </w:r>
      <w:r w:rsidRPr="00DC4CE6">
        <w:rPr>
          <w:vertAlign w:val="subscript"/>
        </w:rPr>
        <w:t>22</w:t>
      </w:r>
      <w:r w:rsidRPr="00DC4CE6">
        <w:t>O</w:t>
      </w:r>
      <w:r w:rsidRPr="00DC4CE6">
        <w:rPr>
          <w:vertAlign w:val="subscript"/>
        </w:rPr>
        <w:t>2</w:t>
      </w:r>
      <w:r w:rsidR="00A203AA" w:rsidRPr="00DC4CE6">
        <w:t xml:space="preserve"> </w:t>
      </w:r>
      <w:r w:rsidR="00A203AA" w:rsidRPr="00DC4CE6">
        <w:rPr>
          <w:rFonts w:cs="Arial"/>
          <w:b/>
          <w:vertAlign w:val="superscript"/>
        </w:rPr>
        <w:t>1</w:t>
      </w:r>
      <w:r w:rsidR="00A203AA" w:rsidRPr="00DC4CE6">
        <w:rPr>
          <w:rFonts w:cs="Arial"/>
          <w:b/>
        </w:rPr>
        <w:t>H-NMR (CDCl</w:t>
      </w:r>
      <w:r w:rsidR="00A203AA" w:rsidRPr="00DC4CE6">
        <w:rPr>
          <w:rFonts w:cs="Arial"/>
          <w:b/>
          <w:vertAlign w:val="subscript"/>
        </w:rPr>
        <w:t>3</w:t>
      </w:r>
      <w:r w:rsidR="00A203AA" w:rsidRPr="00DC4CE6">
        <w:rPr>
          <w:rFonts w:cs="Arial"/>
          <w:b/>
        </w:rPr>
        <w:t xml:space="preserve">, </w:t>
      </w:r>
      <w:r w:rsidR="00442EDA">
        <w:rPr>
          <w:rFonts w:cs="Arial"/>
          <w:b/>
        </w:rPr>
        <w:t>7</w:t>
      </w:r>
      <w:r w:rsidR="00A203AA" w:rsidRPr="00DC4CE6">
        <w:rPr>
          <w:rFonts w:cs="Arial"/>
          <w:b/>
        </w:rPr>
        <w:t xml:space="preserve">00 MHz): </w:t>
      </w:r>
      <w:r w:rsidR="00A203AA" w:rsidRPr="00DC4CE6">
        <w:rPr>
          <w:rFonts w:cs="Arial"/>
        </w:rPr>
        <w:t>δ (ppm) 0.8</w:t>
      </w:r>
      <w:r w:rsidR="00FC52D1" w:rsidRPr="00DC4CE6">
        <w:rPr>
          <w:rFonts w:cs="Arial"/>
        </w:rPr>
        <w:t>4</w:t>
      </w:r>
      <w:r w:rsidR="00A203AA" w:rsidRPr="00DC4CE6">
        <w:rPr>
          <w:rFonts w:cs="Arial"/>
        </w:rPr>
        <w:t xml:space="preserve"> (s, 3H), </w:t>
      </w:r>
      <w:r w:rsidR="005A6188" w:rsidRPr="00DC4CE6">
        <w:rPr>
          <w:rFonts w:cs="Arial"/>
        </w:rPr>
        <w:t>1.01</w:t>
      </w:r>
      <w:r w:rsidR="00A203AA" w:rsidRPr="00DC4CE6">
        <w:rPr>
          <w:rFonts w:cs="Arial"/>
        </w:rPr>
        <w:t xml:space="preserve"> (s, 3H) </w:t>
      </w:r>
      <w:r w:rsidR="00C20FE5" w:rsidRPr="00DC4CE6">
        <w:rPr>
          <w:rFonts w:cs="Arial"/>
        </w:rPr>
        <w:t>1.27-1.38</w:t>
      </w:r>
      <w:r w:rsidR="00A203AA" w:rsidRPr="00DC4CE6">
        <w:rPr>
          <w:rFonts w:cs="Arial"/>
        </w:rPr>
        <w:t xml:space="preserve"> (</w:t>
      </w:r>
      <w:r w:rsidR="00C20FE5" w:rsidRPr="00DC4CE6">
        <w:rPr>
          <w:rFonts w:cs="Arial"/>
        </w:rPr>
        <w:t>m</w:t>
      </w:r>
      <w:r w:rsidR="00A203AA" w:rsidRPr="00DC4CE6">
        <w:rPr>
          <w:rFonts w:cs="Arial"/>
        </w:rPr>
        <w:t xml:space="preserve">, </w:t>
      </w:r>
      <w:r w:rsidR="00D71E3A" w:rsidRPr="00DC4CE6">
        <w:rPr>
          <w:rFonts w:cs="Arial"/>
        </w:rPr>
        <w:t>5</w:t>
      </w:r>
      <w:r w:rsidR="00A203AA" w:rsidRPr="00DC4CE6">
        <w:rPr>
          <w:rFonts w:cs="Arial"/>
        </w:rPr>
        <w:t>H), 1.</w:t>
      </w:r>
      <w:r w:rsidR="00C20FE5" w:rsidRPr="00DC4CE6">
        <w:rPr>
          <w:rFonts w:cs="Arial"/>
        </w:rPr>
        <w:t xml:space="preserve">42 </w:t>
      </w:r>
      <w:r w:rsidR="00A203AA" w:rsidRPr="00DC4CE6">
        <w:rPr>
          <w:rFonts w:cs="Arial"/>
        </w:rPr>
        <w:t>(</w:t>
      </w:r>
      <w:r w:rsidR="00C20FE5" w:rsidRPr="00DC4CE6">
        <w:rPr>
          <w:rFonts w:cs="Arial"/>
        </w:rPr>
        <w:t>s</w:t>
      </w:r>
      <w:r w:rsidR="00A203AA" w:rsidRPr="00DC4CE6">
        <w:rPr>
          <w:rFonts w:cs="Arial"/>
        </w:rPr>
        <w:t xml:space="preserve">, </w:t>
      </w:r>
      <w:r w:rsidR="00C20FE5" w:rsidRPr="00DC4CE6">
        <w:rPr>
          <w:rFonts w:cs="Arial"/>
        </w:rPr>
        <w:t>3</w:t>
      </w:r>
      <w:r w:rsidR="00A203AA" w:rsidRPr="00DC4CE6">
        <w:rPr>
          <w:rFonts w:cs="Arial"/>
        </w:rPr>
        <w:t>H), 1.4-1.6 (m, </w:t>
      </w:r>
      <w:r w:rsidR="00D71E3A" w:rsidRPr="00DC4CE6">
        <w:rPr>
          <w:rFonts w:cs="Arial"/>
        </w:rPr>
        <w:t>4</w:t>
      </w:r>
      <w:r w:rsidR="00A203AA" w:rsidRPr="00DC4CE6">
        <w:rPr>
          <w:rFonts w:cs="Arial"/>
        </w:rPr>
        <w:t xml:space="preserve">H), </w:t>
      </w:r>
      <w:r w:rsidR="006E615E" w:rsidRPr="00DC4CE6">
        <w:rPr>
          <w:rFonts w:cs="Arial"/>
        </w:rPr>
        <w:t>2.22</w:t>
      </w:r>
      <w:r w:rsidR="00A203AA" w:rsidRPr="00DC4CE6">
        <w:rPr>
          <w:rFonts w:cs="Arial"/>
        </w:rPr>
        <w:t xml:space="preserve"> (s, 3H), </w:t>
      </w:r>
      <w:r w:rsidR="00972E4F" w:rsidRPr="00DC4CE6">
        <w:rPr>
          <w:rFonts w:cs="Arial"/>
        </w:rPr>
        <w:t xml:space="preserve">4.22-4.25 (dd, </w:t>
      </w:r>
      <w:r w:rsidR="00972E4F" w:rsidRPr="00DC4CE6">
        <w:rPr>
          <w:rFonts w:cs="Arial"/>
          <w:i/>
          <w:iCs/>
        </w:rPr>
        <w:t>J</w:t>
      </w:r>
      <w:r w:rsidR="00972E4F" w:rsidRPr="00DC4CE6">
        <w:rPr>
          <w:rFonts w:cs="Arial"/>
          <w:i/>
          <w:iCs/>
          <w:vertAlign w:val="subscript"/>
        </w:rPr>
        <w:t>d</w:t>
      </w:r>
      <w:r w:rsidR="00972E4F" w:rsidRPr="00DC4CE6">
        <w:rPr>
          <w:rFonts w:cs="Arial"/>
        </w:rPr>
        <w:t xml:space="preserve"> = </w:t>
      </w:r>
      <w:r w:rsidR="00050CB4" w:rsidRPr="00DC4CE6">
        <w:rPr>
          <w:rFonts w:cs="Arial"/>
        </w:rPr>
        <w:t>4.8</w:t>
      </w:r>
      <w:r w:rsidR="00972E4F" w:rsidRPr="00DC4CE6">
        <w:rPr>
          <w:rFonts w:cs="Arial"/>
        </w:rPr>
        <w:t xml:space="preserve"> Hz, </w:t>
      </w:r>
      <w:r w:rsidR="00972E4F" w:rsidRPr="00DC4CE6">
        <w:rPr>
          <w:rFonts w:cs="Arial"/>
          <w:i/>
          <w:iCs/>
        </w:rPr>
        <w:t>J</w:t>
      </w:r>
      <w:r w:rsidR="00972E4F" w:rsidRPr="00DC4CE6">
        <w:rPr>
          <w:rFonts w:cs="Arial"/>
          <w:i/>
          <w:iCs/>
          <w:vertAlign w:val="subscript"/>
        </w:rPr>
        <w:t>d</w:t>
      </w:r>
      <w:r w:rsidR="00972E4F" w:rsidRPr="00DC4CE6">
        <w:rPr>
          <w:rFonts w:cs="Arial"/>
          <w:i/>
          <w:iCs/>
        </w:rPr>
        <w:t xml:space="preserve"> </w:t>
      </w:r>
      <w:r w:rsidR="00972E4F" w:rsidRPr="00DC4CE6">
        <w:rPr>
          <w:rFonts w:cs="Arial"/>
        </w:rPr>
        <w:t>= 1.</w:t>
      </w:r>
      <w:r w:rsidR="00050CB4" w:rsidRPr="00DC4CE6">
        <w:rPr>
          <w:rFonts w:cs="Arial"/>
        </w:rPr>
        <w:t>4</w:t>
      </w:r>
      <w:r w:rsidR="00972E4F" w:rsidRPr="00DC4CE6">
        <w:rPr>
          <w:rFonts w:cs="Arial"/>
        </w:rPr>
        <w:t xml:space="preserve"> Hz, 1H). </w:t>
      </w:r>
      <w:r w:rsidR="00A203AA" w:rsidRPr="00DC4CE6">
        <w:rPr>
          <w:rFonts w:cs="Arial"/>
          <w:b/>
          <w:vertAlign w:val="superscript"/>
        </w:rPr>
        <w:t>13</w:t>
      </w:r>
      <w:r w:rsidR="00A203AA" w:rsidRPr="00DC4CE6">
        <w:rPr>
          <w:rFonts w:cs="Arial"/>
          <w:b/>
        </w:rPr>
        <w:t>C-NMR (CDCl</w:t>
      </w:r>
      <w:r w:rsidR="00A203AA" w:rsidRPr="00DC4CE6">
        <w:rPr>
          <w:rFonts w:cs="Arial"/>
          <w:b/>
          <w:vertAlign w:val="subscript"/>
        </w:rPr>
        <w:t>3</w:t>
      </w:r>
      <w:r w:rsidR="00A203AA" w:rsidRPr="00DC4CE6">
        <w:rPr>
          <w:rFonts w:cs="Arial"/>
          <w:b/>
        </w:rPr>
        <w:t>, 1</w:t>
      </w:r>
      <w:r w:rsidR="00442EDA">
        <w:rPr>
          <w:rFonts w:cs="Arial"/>
          <w:b/>
        </w:rPr>
        <w:t>76</w:t>
      </w:r>
      <w:r w:rsidR="00A203AA" w:rsidRPr="00DC4CE6">
        <w:rPr>
          <w:rFonts w:cs="Arial"/>
          <w:b/>
        </w:rPr>
        <w:t xml:space="preserve"> MHz): </w:t>
      </w:r>
      <w:r w:rsidR="00A203AA" w:rsidRPr="00DC4CE6">
        <w:rPr>
          <w:rFonts w:cs="Arial"/>
        </w:rPr>
        <w:t>δ (ppm) 19.</w:t>
      </w:r>
      <w:r w:rsidR="00732B71" w:rsidRPr="00DC4CE6">
        <w:rPr>
          <w:rFonts w:cs="Arial"/>
        </w:rPr>
        <w:t>93</w:t>
      </w:r>
      <w:r w:rsidR="00A203AA" w:rsidRPr="00DC4CE6">
        <w:rPr>
          <w:rFonts w:cs="Arial"/>
        </w:rPr>
        <w:t xml:space="preserve"> (1C), </w:t>
      </w:r>
      <w:r w:rsidR="006B7C49" w:rsidRPr="00DC4CE6">
        <w:rPr>
          <w:rFonts w:cs="Arial"/>
        </w:rPr>
        <w:t>25.51</w:t>
      </w:r>
      <w:r w:rsidR="00A203AA" w:rsidRPr="00DC4CE6">
        <w:rPr>
          <w:rFonts w:cs="Arial"/>
        </w:rPr>
        <w:t xml:space="preserve"> (1C), </w:t>
      </w:r>
      <w:r w:rsidR="006B7C49" w:rsidRPr="00DC4CE6">
        <w:rPr>
          <w:rFonts w:cs="Arial"/>
        </w:rPr>
        <w:t>26.5</w:t>
      </w:r>
      <w:r w:rsidR="00A203AA" w:rsidRPr="00DC4CE6">
        <w:rPr>
          <w:rFonts w:cs="Arial"/>
        </w:rPr>
        <w:t xml:space="preserve"> (1C), </w:t>
      </w:r>
      <w:r w:rsidR="006B7C49" w:rsidRPr="00DC4CE6">
        <w:rPr>
          <w:rFonts w:cs="Arial"/>
        </w:rPr>
        <w:t>27.28</w:t>
      </w:r>
      <w:r w:rsidR="00A203AA" w:rsidRPr="00DC4CE6">
        <w:rPr>
          <w:rFonts w:cs="Arial"/>
        </w:rPr>
        <w:t xml:space="preserve"> (1C), </w:t>
      </w:r>
      <w:r w:rsidR="006B7C49" w:rsidRPr="00DC4CE6">
        <w:rPr>
          <w:rFonts w:cs="Arial"/>
        </w:rPr>
        <w:t>28.29</w:t>
      </w:r>
      <w:r w:rsidR="00A203AA" w:rsidRPr="00DC4CE6">
        <w:rPr>
          <w:rFonts w:cs="Arial"/>
        </w:rPr>
        <w:t xml:space="preserve"> (</w:t>
      </w:r>
      <w:r w:rsidR="006B7C49" w:rsidRPr="00DC4CE6">
        <w:rPr>
          <w:rFonts w:cs="Arial"/>
        </w:rPr>
        <w:t>2</w:t>
      </w:r>
      <w:r w:rsidR="00A203AA" w:rsidRPr="00DC4CE6">
        <w:rPr>
          <w:rFonts w:cs="Arial"/>
        </w:rPr>
        <w:t>C) 30.</w:t>
      </w:r>
      <w:r w:rsidR="006B7C49" w:rsidRPr="00DC4CE6">
        <w:rPr>
          <w:rFonts w:cs="Arial"/>
        </w:rPr>
        <w:t>64</w:t>
      </w:r>
      <w:r w:rsidR="00A203AA" w:rsidRPr="00DC4CE6">
        <w:rPr>
          <w:rFonts w:cs="Arial"/>
        </w:rPr>
        <w:t xml:space="preserve"> (1C), 32.</w:t>
      </w:r>
      <w:r w:rsidR="003D1ACC" w:rsidRPr="00DC4CE6">
        <w:rPr>
          <w:rFonts w:cs="Arial"/>
        </w:rPr>
        <w:t>3</w:t>
      </w:r>
      <w:r w:rsidR="00A203AA" w:rsidRPr="00DC4CE6">
        <w:rPr>
          <w:rFonts w:cs="Arial"/>
        </w:rPr>
        <w:t xml:space="preserve"> (1C), 3</w:t>
      </w:r>
      <w:r w:rsidR="003D1ACC" w:rsidRPr="00DC4CE6">
        <w:rPr>
          <w:rFonts w:cs="Arial"/>
        </w:rPr>
        <w:t>3</w:t>
      </w:r>
      <w:r w:rsidR="00A203AA" w:rsidRPr="00DC4CE6">
        <w:rPr>
          <w:rFonts w:cs="Arial"/>
        </w:rPr>
        <w:t>.9</w:t>
      </w:r>
      <w:r w:rsidR="003D1ACC" w:rsidRPr="00DC4CE6">
        <w:rPr>
          <w:rFonts w:cs="Arial"/>
        </w:rPr>
        <w:t>3</w:t>
      </w:r>
      <w:r w:rsidR="00A203AA" w:rsidRPr="00DC4CE6">
        <w:rPr>
          <w:rFonts w:cs="Arial"/>
        </w:rPr>
        <w:t xml:space="preserve"> (1C), </w:t>
      </w:r>
      <w:r w:rsidR="003D1ACC" w:rsidRPr="00DC4CE6">
        <w:rPr>
          <w:rFonts w:cs="Arial"/>
        </w:rPr>
        <w:t>34.00</w:t>
      </w:r>
      <w:r w:rsidR="00A203AA" w:rsidRPr="00DC4CE6">
        <w:rPr>
          <w:rFonts w:cs="Arial"/>
        </w:rPr>
        <w:t xml:space="preserve"> (1C), </w:t>
      </w:r>
      <w:r w:rsidR="00A91949" w:rsidRPr="00DC4CE6">
        <w:rPr>
          <w:rFonts w:cs="Arial"/>
        </w:rPr>
        <w:t>51.9</w:t>
      </w:r>
      <w:r w:rsidR="00A203AA" w:rsidRPr="00DC4CE6">
        <w:rPr>
          <w:rFonts w:cs="Arial"/>
        </w:rPr>
        <w:t xml:space="preserve"> (1C), </w:t>
      </w:r>
      <w:r w:rsidR="00A91949" w:rsidRPr="00DC4CE6">
        <w:rPr>
          <w:rFonts w:cs="Arial"/>
        </w:rPr>
        <w:t>80.08</w:t>
      </w:r>
      <w:r w:rsidR="00A203AA" w:rsidRPr="00DC4CE6">
        <w:rPr>
          <w:rFonts w:cs="Arial"/>
        </w:rPr>
        <w:t xml:space="preserve"> (1C), </w:t>
      </w:r>
      <w:r w:rsidR="002E7443" w:rsidRPr="00DC4CE6">
        <w:rPr>
          <w:rFonts w:cs="Arial"/>
        </w:rPr>
        <w:t>21</w:t>
      </w:r>
      <w:r w:rsidR="00DC4CE6" w:rsidRPr="00DC4CE6">
        <w:rPr>
          <w:rFonts w:cs="Arial"/>
        </w:rPr>
        <w:t>2.9</w:t>
      </w:r>
      <w:r w:rsidR="00A203AA" w:rsidRPr="00DC4CE6">
        <w:rPr>
          <w:rFonts w:cs="Arial"/>
        </w:rPr>
        <w:t xml:space="preserve"> (1C)</w:t>
      </w:r>
      <w:r w:rsidR="00DC4CE6" w:rsidRPr="00DC4CE6">
        <w:rPr>
          <w:rFonts w:cs="Arial"/>
        </w:rPr>
        <w:t xml:space="preserve">. </w:t>
      </w:r>
      <w:r w:rsidR="006E64A9">
        <w:rPr>
          <w:rFonts w:cs="Arial"/>
        </w:rPr>
        <w:br/>
      </w:r>
    </w:p>
    <w:p w14:paraId="2FC9A588" w14:textId="743A5736" w:rsidR="00A203AA" w:rsidRPr="007001B0" w:rsidRDefault="00A203AA" w:rsidP="00A203AA">
      <w:pPr>
        <w:pStyle w:val="Heading2"/>
        <w:rPr>
          <w:lang w:val="en-US"/>
        </w:rPr>
      </w:pPr>
      <w:bookmarkStart w:id="130" w:name="_Toc134623416"/>
      <w:r w:rsidRPr="007001B0">
        <w:rPr>
          <w:lang w:val="en-US"/>
        </w:rPr>
        <w:t xml:space="preserve">Synthesis of ketone </w:t>
      </w:r>
      <w:r w:rsidR="00415F48">
        <w:rPr>
          <w:lang w:val="en-US"/>
        </w:rPr>
        <w:t>(</w:t>
      </w:r>
      <w:r w:rsidRPr="007001B0">
        <w:rPr>
          <w:lang w:val="en-US"/>
        </w:rPr>
        <w:t>P-3</w:t>
      </w:r>
      <w:r w:rsidR="00415F48">
        <w:rPr>
          <w:lang w:val="en-US"/>
        </w:rPr>
        <w:t>)</w:t>
      </w:r>
      <w:bookmarkEnd w:id="130"/>
    </w:p>
    <w:p w14:paraId="65E02C8B" w14:textId="2DDC8A17" w:rsidR="00A203AA" w:rsidRDefault="001B068A" w:rsidP="00BB53AE">
      <w:pPr>
        <w:jc w:val="left"/>
        <w:rPr>
          <w:rFonts w:cs="Arial"/>
        </w:rPr>
      </w:pPr>
      <w:r w:rsidRPr="00EE3BFD">
        <w:object w:dxaOrig="6089" w:dyaOrig="1812" w14:anchorId="439B16E2">
          <v:shape id="_x0000_i1038" type="#_x0000_t75" style="width:303.1pt;height:94.05pt" o:ole="">
            <v:imagedata r:id="rId55" o:title=""/>
          </v:shape>
          <o:OLEObject Type="Embed" ProgID="ChemDraw.Document.6.0" ShapeID="_x0000_i1038" DrawAspect="Content" ObjectID="_1745237626" r:id="rId56"/>
        </w:object>
      </w:r>
      <w:r w:rsidR="00BB53AE">
        <w:rPr>
          <w:noProof/>
        </w:rPr>
        <w:drawing>
          <wp:inline distT="0" distB="0" distL="0" distR="0" wp14:anchorId="00AA704C" wp14:editId="58E48159">
            <wp:extent cx="1870564" cy="1231900"/>
            <wp:effectExtent l="0" t="0" r="0" b="6350"/>
            <wp:docPr id="66" name="Picture 6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diagram&#10;&#10;Description automatically generated"/>
                    <pic:cNvPicPr/>
                  </pic:nvPicPr>
                  <pic:blipFill rotWithShape="1">
                    <a:blip r:embed="rId52"/>
                    <a:srcRect l="10485" t="72749" r="45302" b="3769"/>
                    <a:stretch/>
                  </pic:blipFill>
                  <pic:spPr bwMode="auto">
                    <a:xfrm>
                      <a:off x="0" y="0"/>
                      <a:ext cx="1889356" cy="1244276"/>
                    </a:xfrm>
                    <a:prstGeom prst="rect">
                      <a:avLst/>
                    </a:prstGeom>
                    <a:ln>
                      <a:noFill/>
                    </a:ln>
                    <a:extLst>
                      <a:ext uri="{53640926-AAD7-44D8-BBD7-CCE9431645EC}">
                        <a14:shadowObscured xmlns:a14="http://schemas.microsoft.com/office/drawing/2010/main"/>
                      </a:ext>
                    </a:extLst>
                  </pic:spPr>
                </pic:pic>
              </a:graphicData>
            </a:graphic>
          </wp:inline>
        </w:drawing>
      </w:r>
    </w:p>
    <w:p w14:paraId="50F8AF74" w14:textId="4EDCFB4C" w:rsidR="00D43DD2" w:rsidRPr="00D43DD2" w:rsidRDefault="00D43DD2" w:rsidP="00A203AA">
      <w:r>
        <w:t>To a 10 mL gla</w:t>
      </w:r>
      <w:r w:rsidR="00FF7083">
        <w:t>s</w:t>
      </w:r>
      <w:r>
        <w:t>s vessel were added 5 mL buffer solution containing 1 mM NaI and 20 mM 2HPCD</w:t>
      </w:r>
      <w:r w:rsidR="00594733">
        <w:t xml:space="preserve"> and 10% isopropanol</w:t>
      </w:r>
      <w:r>
        <w:t xml:space="preserve">, was added </w:t>
      </w:r>
      <w:r w:rsidR="00EF72D0">
        <w:t>26</w:t>
      </w:r>
      <w:r>
        <w:t>.</w:t>
      </w:r>
      <w:r w:rsidR="00EF72D0">
        <w:t>2</w:t>
      </w:r>
      <w:r>
        <w:t xml:space="preserve"> mg </w:t>
      </w:r>
      <w:r w:rsidR="00EF72D0">
        <w:t>(</w:t>
      </w:r>
      <w:r>
        <w:t xml:space="preserve">0.1 mmol) </w:t>
      </w:r>
      <w:r w:rsidR="000038BD">
        <w:t>sclareoloxide</w:t>
      </w:r>
      <w:r>
        <w:t xml:space="preserve"> </w:t>
      </w:r>
      <w:r w:rsidR="009F28A3">
        <w:t>14</w:t>
      </w:r>
      <w:r>
        <w:t xml:space="preserve"> and 38.7 µL of 30% H</w:t>
      </w:r>
      <w:r w:rsidRPr="00C46ED9">
        <w:rPr>
          <w:vertAlign w:val="subscript"/>
        </w:rPr>
        <w:t>2</w:t>
      </w:r>
      <w:r>
        <w:t>O</w:t>
      </w:r>
      <w:r w:rsidRPr="00C46ED9">
        <w:rPr>
          <w:vertAlign w:val="subscript"/>
        </w:rPr>
        <w:t>2</w:t>
      </w:r>
      <w:r>
        <w:rPr>
          <w:vertAlign w:val="subscript"/>
        </w:rPr>
        <w:t xml:space="preserve"> </w:t>
      </w:r>
      <w:r>
        <w:t>in H</w:t>
      </w:r>
      <w:r>
        <w:rPr>
          <w:vertAlign w:val="subscript"/>
        </w:rPr>
        <w:t>2</w:t>
      </w:r>
      <w:r>
        <w:t>O (0.5 mmol</w:t>
      </w:r>
      <w:r w:rsidR="00F66BE3">
        <w:t>, 5 eq</w:t>
      </w:r>
      <w:r>
        <w:t>). The reaction mixture was shaken for 2 h at 37 °C before another portion of 38.7 µL of 30% H</w:t>
      </w:r>
      <w:r w:rsidRPr="00C46ED9">
        <w:rPr>
          <w:vertAlign w:val="subscript"/>
        </w:rPr>
        <w:t>2</w:t>
      </w:r>
      <w:r>
        <w:t>O</w:t>
      </w:r>
      <w:r w:rsidRPr="00C46ED9">
        <w:rPr>
          <w:vertAlign w:val="subscript"/>
        </w:rPr>
        <w:t>2</w:t>
      </w:r>
      <w:r>
        <w:rPr>
          <w:vertAlign w:val="subscript"/>
        </w:rPr>
        <w:t xml:space="preserve"> </w:t>
      </w:r>
      <w:r>
        <w:t>was added.</w:t>
      </w:r>
      <w:r w:rsidR="00A50FB1">
        <w:t xml:space="preserve"> This step was repeated.</w:t>
      </w:r>
      <w:r>
        <w:t xml:space="preserve"> After</w:t>
      </w:r>
      <w:r w:rsidR="00E53E32">
        <w:t xml:space="preserve"> reaction completion determined via GC-MS</w:t>
      </w:r>
      <w:r>
        <w:t xml:space="preserve"> </w:t>
      </w:r>
      <w:r w:rsidR="00E53E32">
        <w:t>(</w:t>
      </w:r>
      <w:r w:rsidR="00A50FB1">
        <w:t>6</w:t>
      </w:r>
      <w:r>
        <w:t xml:space="preserve"> h</w:t>
      </w:r>
      <w:r w:rsidR="00A50FB1">
        <w:t xml:space="preserve"> of total reaction time</w:t>
      </w:r>
      <w:r w:rsidR="00E53E32">
        <w:t>),</w:t>
      </w:r>
      <w:r>
        <w:t xml:space="preserve"> the reaction was quenched with sat. Na</w:t>
      </w:r>
      <w:r>
        <w:rPr>
          <w:vertAlign w:val="subscript"/>
        </w:rPr>
        <w:t>2</w:t>
      </w:r>
      <w:r>
        <w:t>S</w:t>
      </w:r>
      <w:r>
        <w:rPr>
          <w:vertAlign w:val="subscript"/>
        </w:rPr>
        <w:t>2</w:t>
      </w:r>
      <w:r>
        <w:t>O</w:t>
      </w:r>
      <w:r>
        <w:rPr>
          <w:vertAlign w:val="subscript"/>
        </w:rPr>
        <w:t>3</w:t>
      </w:r>
      <w:r>
        <w:t xml:space="preserve"> and extracted with ethyl acetate. The organic phase was dried over Mg</w:t>
      </w:r>
      <w:r>
        <w:rPr>
          <w:vertAlign w:val="subscript"/>
        </w:rPr>
        <w:t>2</w:t>
      </w:r>
      <w:r>
        <w:t>SO</w:t>
      </w:r>
      <w:r>
        <w:rPr>
          <w:vertAlign w:val="subscript"/>
        </w:rPr>
        <w:t xml:space="preserve">4 </w:t>
      </w:r>
      <w:r>
        <w:t xml:space="preserve">and reduced under vacuo to afford a </w:t>
      </w:r>
      <w:r w:rsidR="00793F7B">
        <w:t>3</w:t>
      </w:r>
      <w:r>
        <w:t>:</w:t>
      </w:r>
      <w:r w:rsidR="00793F7B">
        <w:t>2</w:t>
      </w:r>
      <w:r>
        <w:t xml:space="preserve"> diastereoisomeric mixture of </w:t>
      </w:r>
      <w:r w:rsidRPr="00A46E17">
        <w:rPr>
          <w:b/>
          <w:bCs/>
        </w:rPr>
        <w:t>P-</w:t>
      </w:r>
      <w:r w:rsidR="00236A5F" w:rsidRPr="00A46E17">
        <w:rPr>
          <w:b/>
          <w:bCs/>
        </w:rPr>
        <w:t>3</w:t>
      </w:r>
      <w:r>
        <w:t xml:space="preserve"> as a colorless oil (2</w:t>
      </w:r>
      <w:r w:rsidR="00541E21">
        <w:t>5</w:t>
      </w:r>
      <w:r>
        <w:t>.</w:t>
      </w:r>
      <w:r w:rsidR="00541E21">
        <w:t>3</w:t>
      </w:r>
      <w:r>
        <w:t> mg, 0.009</w:t>
      </w:r>
      <w:r w:rsidR="004D55EA">
        <w:t>1</w:t>
      </w:r>
      <w:r>
        <w:t xml:space="preserve"> mmol, 9</w:t>
      </w:r>
      <w:r w:rsidR="004D55EA">
        <w:t>1</w:t>
      </w:r>
      <w:r>
        <w:t>%)</w:t>
      </w:r>
      <w:r w:rsidR="00A50FB1">
        <w:t>.</w:t>
      </w:r>
    </w:p>
    <w:p w14:paraId="6419BE0A" w14:textId="3FD874DD" w:rsidR="00A203AA" w:rsidRDefault="004D55EA" w:rsidP="00A203AA">
      <w:pPr>
        <w:rPr>
          <w:rFonts w:cs="Arial"/>
        </w:rPr>
      </w:pPr>
      <w:r w:rsidRPr="00DC4CE6">
        <w:t>C</w:t>
      </w:r>
      <w:r w:rsidRPr="00DC4CE6">
        <w:rPr>
          <w:vertAlign w:val="subscript"/>
        </w:rPr>
        <w:t>1</w:t>
      </w:r>
      <w:r>
        <w:rPr>
          <w:vertAlign w:val="subscript"/>
        </w:rPr>
        <w:t>8</w:t>
      </w:r>
      <w:r w:rsidRPr="00DC4CE6">
        <w:t>H</w:t>
      </w:r>
      <w:r>
        <w:rPr>
          <w:vertAlign w:val="subscript"/>
        </w:rPr>
        <w:t>30</w:t>
      </w:r>
      <w:r w:rsidRPr="00DC4CE6">
        <w:t>O</w:t>
      </w:r>
      <w:r w:rsidRPr="00DC4CE6">
        <w:rPr>
          <w:vertAlign w:val="subscript"/>
        </w:rPr>
        <w:t>2</w:t>
      </w:r>
      <w:r>
        <w:rPr>
          <w:vertAlign w:val="subscript"/>
        </w:rPr>
        <w:t xml:space="preserve"> </w:t>
      </w:r>
      <w:r w:rsidR="009854F6" w:rsidRPr="009B3CEF">
        <w:t xml:space="preserve">Characteristic signals of the </w:t>
      </w:r>
      <w:r w:rsidR="00975803" w:rsidRPr="009B3CEF">
        <w:t>major diastereoisomer</w:t>
      </w:r>
      <w:r w:rsidR="00A203AA" w:rsidRPr="009B3CEF">
        <w:t>.</w:t>
      </w:r>
      <w:r w:rsidR="00FF3760">
        <w:t xml:space="preserve"> </w:t>
      </w:r>
      <w:r w:rsidR="00FF3760" w:rsidRPr="00DC4CE6">
        <w:t>C</w:t>
      </w:r>
      <w:r w:rsidR="00FF3760" w:rsidRPr="00DC4CE6">
        <w:rPr>
          <w:vertAlign w:val="subscript"/>
        </w:rPr>
        <w:t>1</w:t>
      </w:r>
      <w:r w:rsidR="00FF3760">
        <w:rPr>
          <w:vertAlign w:val="subscript"/>
        </w:rPr>
        <w:t>8</w:t>
      </w:r>
      <w:r w:rsidR="00FF3760" w:rsidRPr="00DC4CE6">
        <w:t>H</w:t>
      </w:r>
      <w:r w:rsidR="00FF3760">
        <w:rPr>
          <w:vertAlign w:val="subscript"/>
        </w:rPr>
        <w:t>30</w:t>
      </w:r>
      <w:r w:rsidR="00FF3760" w:rsidRPr="00DC4CE6">
        <w:t>O</w:t>
      </w:r>
      <w:r w:rsidR="00FF3760" w:rsidRPr="00DC4CE6">
        <w:rPr>
          <w:vertAlign w:val="subscript"/>
        </w:rPr>
        <w:t>2</w:t>
      </w:r>
      <w:r w:rsidR="00A203AA" w:rsidRPr="009B3CEF">
        <w:t xml:space="preserve"> </w:t>
      </w:r>
      <w:r w:rsidR="00A203AA" w:rsidRPr="009B3CEF">
        <w:rPr>
          <w:rFonts w:cs="Arial"/>
          <w:b/>
          <w:vertAlign w:val="superscript"/>
        </w:rPr>
        <w:t>1</w:t>
      </w:r>
      <w:r w:rsidR="00A203AA" w:rsidRPr="009B3CEF">
        <w:rPr>
          <w:rFonts w:cs="Arial"/>
          <w:b/>
        </w:rPr>
        <w:t>H-NMR (CDCl</w:t>
      </w:r>
      <w:r w:rsidR="00A203AA" w:rsidRPr="009B3CEF">
        <w:rPr>
          <w:rFonts w:cs="Arial"/>
          <w:b/>
          <w:vertAlign w:val="subscript"/>
        </w:rPr>
        <w:t>3</w:t>
      </w:r>
      <w:r w:rsidR="00A203AA" w:rsidRPr="009B3CEF">
        <w:rPr>
          <w:rFonts w:cs="Arial"/>
          <w:b/>
        </w:rPr>
        <w:t xml:space="preserve">, 500 MHz): </w:t>
      </w:r>
      <w:r w:rsidR="00A203AA" w:rsidRPr="009B3CEF">
        <w:rPr>
          <w:rFonts w:cs="Arial"/>
        </w:rPr>
        <w:t xml:space="preserve">δ (ppm) </w:t>
      </w:r>
      <w:r w:rsidR="00975803" w:rsidRPr="009B3CEF">
        <w:rPr>
          <w:rFonts w:cs="Arial"/>
        </w:rPr>
        <w:t>2.21</w:t>
      </w:r>
      <w:r w:rsidR="00A203AA" w:rsidRPr="009B3CEF">
        <w:rPr>
          <w:rFonts w:cs="Arial"/>
        </w:rPr>
        <w:t xml:space="preserve"> (s, 3H)</w:t>
      </w:r>
      <w:r w:rsidR="00975803" w:rsidRPr="009B3CEF">
        <w:rPr>
          <w:rFonts w:cs="Arial"/>
        </w:rPr>
        <w:t xml:space="preserve"> and </w:t>
      </w:r>
      <w:r w:rsidR="000A02BD" w:rsidRPr="009B3CEF">
        <w:rPr>
          <w:rFonts w:cs="Arial"/>
        </w:rPr>
        <w:t xml:space="preserve">4.37-4.39 (dd, </w:t>
      </w:r>
      <w:r w:rsidR="000A02BD" w:rsidRPr="009B3CEF">
        <w:rPr>
          <w:rFonts w:cs="Arial"/>
          <w:i/>
          <w:iCs/>
        </w:rPr>
        <w:t>J</w:t>
      </w:r>
      <w:r w:rsidR="000A02BD" w:rsidRPr="009B3CEF">
        <w:rPr>
          <w:rFonts w:cs="Arial"/>
          <w:i/>
          <w:iCs/>
          <w:vertAlign w:val="subscript"/>
        </w:rPr>
        <w:t>d</w:t>
      </w:r>
      <w:r w:rsidR="000A02BD" w:rsidRPr="009B3CEF">
        <w:rPr>
          <w:rFonts w:cs="Arial"/>
        </w:rPr>
        <w:t xml:space="preserve"> = </w:t>
      </w:r>
      <w:r w:rsidR="004613A2" w:rsidRPr="009B3CEF">
        <w:rPr>
          <w:rFonts w:cs="Arial"/>
        </w:rPr>
        <w:t xml:space="preserve">5.15 Hz, </w:t>
      </w:r>
      <w:r w:rsidR="004613A2" w:rsidRPr="009B3CEF">
        <w:rPr>
          <w:rFonts w:cs="Arial"/>
          <w:i/>
          <w:iCs/>
        </w:rPr>
        <w:t>J</w:t>
      </w:r>
      <w:r w:rsidR="004613A2" w:rsidRPr="009B3CEF">
        <w:rPr>
          <w:rFonts w:cs="Arial"/>
          <w:i/>
          <w:iCs/>
          <w:vertAlign w:val="subscript"/>
        </w:rPr>
        <w:t>d</w:t>
      </w:r>
      <w:r w:rsidR="004613A2" w:rsidRPr="009B3CEF">
        <w:rPr>
          <w:rFonts w:cs="Arial"/>
        </w:rPr>
        <w:t xml:space="preserve"> = 1.6 Hz, 1H)</w:t>
      </w:r>
      <w:r w:rsidR="009B3CEF">
        <w:rPr>
          <w:rFonts w:cs="Arial"/>
        </w:rPr>
        <w:t>. The data is consistent with the literature.</w:t>
      </w:r>
      <w:r w:rsidR="009B3CEF">
        <w:rPr>
          <w:rFonts w:cs="Arial"/>
        </w:rPr>
        <w:fldChar w:fldCharType="begin" w:fldLock="1"/>
      </w:r>
      <w:r w:rsidR="00E81BA1">
        <w:rPr>
          <w:rFonts w:cs="Arial"/>
        </w:rPr>
        <w:instrText>ADDIN CSL_CITATION {"citationItems":[{"id":"ITEM-1","itemData":{"DOI":"10.1002/hlca.200490239","ISSN":"0018019X","abstract":"The latest route to Ambrox® (1) starting from sclareol (2) proceeds through an oxy ketone 4 (Scheme 1). A new practical synthesis of the key intermediate 4 is described; it is equivalent to a partial oxidative degradation of sclareol (2) with peracetic and periodic acids (Scheme 2). The final product of the Baeyer - Villiger oxidation of the oxy ketone 4 with commercial peracetic acid is decisively dependent on the reaction conditions because the expected acetate 9 reacts with any nucleophile, especially the peracid (Scheme 3). Furthermore, this acetate 9 is very prone to eliminative coupling (Scheme 4).","author":[{"dropping-particle":"","family":"Moulines","given":"Jean","non-dropping-particle":"","parse-names":false,"suffix":""},{"dropping-particle":"","family":"Bats","given":"Jean Paul","non-dropping-particle":"","parse-names":false,"suffix":""},{"dropping-particle":"","family":"Lamidey","given":"Anne Marie","non-dropping-particle":"","parse-names":false,"suffix":""},{"dropping-particle":"","family":"Silva","given":"Nicole","non-dropping-particle":"Da","parse-names":false,"suffix":""}],"container-title":"Helvetica Chimica Acta","id":"ITEM-1","issue":"10","issued":{"date-parts":[["2004"]]},"page":"2695-2705","title":"About a practical synthesis of Ambrox® from sclareol: A new preparation of a ketone key intermediate and a close look at its Baeyer-Villiger oxidation","type":"article-journal","volume":"87"},"uris":["http://www.mendeley.com/documents/?uuid=27e16b26-0d15-45b7-bcfb-9075f8de7772"]}],"mendeley":{"formattedCitation":"&lt;sup&gt;15&lt;/sup&gt;","plainTextFormattedCitation":"15","previouslyFormattedCitation":"&lt;sup&gt;14&lt;/sup&gt;"},"properties":{"noteIndex":0},"schema":"https://github.com/citation-style-language/schema/raw/master/csl-citation.json"}</w:instrText>
      </w:r>
      <w:r w:rsidR="009B3CEF">
        <w:rPr>
          <w:rFonts w:cs="Arial"/>
        </w:rPr>
        <w:fldChar w:fldCharType="separate"/>
      </w:r>
      <w:r w:rsidR="00E81BA1" w:rsidRPr="00E81BA1">
        <w:rPr>
          <w:rFonts w:cs="Arial"/>
          <w:noProof/>
          <w:vertAlign w:val="superscript"/>
        </w:rPr>
        <w:t>15</w:t>
      </w:r>
      <w:r w:rsidR="009B3CEF">
        <w:rPr>
          <w:rFonts w:cs="Arial"/>
        </w:rPr>
        <w:fldChar w:fldCharType="end"/>
      </w:r>
    </w:p>
    <w:p w14:paraId="66659D1E" w14:textId="77777777" w:rsidR="00C357FB" w:rsidRPr="00113E9F" w:rsidRDefault="00C357FB" w:rsidP="00162C2B">
      <w:pPr>
        <w:rPr>
          <w:rFonts w:cs="Arial"/>
        </w:rPr>
      </w:pPr>
    </w:p>
    <w:p w14:paraId="59944171" w14:textId="5FB5C24F" w:rsidR="002516AD" w:rsidRPr="007001B0" w:rsidRDefault="002516AD" w:rsidP="002516AD">
      <w:pPr>
        <w:pStyle w:val="Heading2"/>
        <w:rPr>
          <w:lang w:val="en-US"/>
        </w:rPr>
      </w:pPr>
      <w:bookmarkStart w:id="131" w:name="_Toc134623417"/>
      <w:r w:rsidRPr="00E52B07">
        <w:rPr>
          <w:lang w:val="en-US"/>
        </w:rPr>
        <w:t xml:space="preserve">Synthesis of </w:t>
      </w:r>
      <w:r w:rsidR="00CC0F29" w:rsidRPr="00E52B07">
        <w:rPr>
          <w:lang w:val="en-US"/>
        </w:rPr>
        <w:t>trans-tetrahydroactinidiolide</w:t>
      </w:r>
      <w:r w:rsidR="00415F48" w:rsidRPr="00E52B07">
        <w:rPr>
          <w:lang w:val="en-US"/>
        </w:rPr>
        <w:t xml:space="preserve"> (</w:t>
      </w:r>
      <w:r w:rsidR="00E52B07" w:rsidRPr="00E52B07">
        <w:rPr>
          <w:lang w:val="en-US"/>
        </w:rPr>
        <w:t>1</w:t>
      </w:r>
      <w:r w:rsidR="00415F48" w:rsidRPr="00E52B07">
        <w:rPr>
          <w:lang w:val="en-US"/>
        </w:rPr>
        <w:t>)</w:t>
      </w:r>
      <w:r w:rsidR="00CF4C6A">
        <w:rPr>
          <w:lang w:val="en-US"/>
        </w:rPr>
        <w:t xml:space="preserve"> via P-1</w:t>
      </w:r>
      <w:bookmarkEnd w:id="131"/>
    </w:p>
    <w:p w14:paraId="31D60AC4" w14:textId="063D41F9" w:rsidR="00CC0F29" w:rsidRPr="00CC0F29" w:rsidRDefault="00742FB6" w:rsidP="00C357FB">
      <w:pPr>
        <w:jc w:val="center"/>
        <w:rPr>
          <w:lang w:val="de-DE"/>
        </w:rPr>
      </w:pPr>
      <w:r w:rsidRPr="00C357FB">
        <w:object w:dxaOrig="5969" w:dyaOrig="1130" w14:anchorId="737CF70E">
          <v:shape id="_x0000_i1039" type="#_x0000_t75" style="width:303.1pt;height:56.9pt" o:ole="">
            <v:imagedata r:id="rId57" o:title=""/>
          </v:shape>
          <o:OLEObject Type="Embed" ProgID="ChemDraw.Document.6.0" ShapeID="_x0000_i1039" DrawAspect="Content" ObjectID="_1745237627" r:id="rId58"/>
        </w:object>
      </w:r>
    </w:p>
    <w:p w14:paraId="0ED0F878" w14:textId="3F0D2D67" w:rsidR="00B83BFD" w:rsidRPr="00FB4F04" w:rsidRDefault="008A5F58" w:rsidP="00A203AA">
      <w:r>
        <w:t>To a 1 mL gla</w:t>
      </w:r>
      <w:r w:rsidR="00FF7083">
        <w:t>s</w:t>
      </w:r>
      <w:r>
        <w:t xml:space="preserve">s vial were added 500 µL ethyl acetate, </w:t>
      </w:r>
      <w:r w:rsidR="002F29D2">
        <w:t>5</w:t>
      </w:r>
      <w:r w:rsidR="00552DB0">
        <w:t xml:space="preserve">.9 µL P-1 (5.26 mg, 0.025 mmol), </w:t>
      </w:r>
      <w:r w:rsidR="00BF02C5">
        <w:t xml:space="preserve">2.5 mg CALB and </w:t>
      </w:r>
      <w:r w:rsidR="00CF0AD2">
        <w:t>9.</w:t>
      </w:r>
      <w:r w:rsidR="00233D9B">
        <w:t>7 µL of</w:t>
      </w:r>
      <w:r w:rsidR="00BF02C5">
        <w:t xml:space="preserve"> </w:t>
      </w:r>
      <w:r w:rsidR="00233D9B">
        <w:t>30% H</w:t>
      </w:r>
      <w:r w:rsidR="00233D9B" w:rsidRPr="00C46ED9">
        <w:rPr>
          <w:vertAlign w:val="subscript"/>
        </w:rPr>
        <w:t>2</w:t>
      </w:r>
      <w:r w:rsidR="00233D9B">
        <w:t>O</w:t>
      </w:r>
      <w:r w:rsidR="00233D9B" w:rsidRPr="00C46ED9">
        <w:rPr>
          <w:vertAlign w:val="subscript"/>
        </w:rPr>
        <w:t>2</w:t>
      </w:r>
      <w:r w:rsidR="00233D9B">
        <w:rPr>
          <w:vertAlign w:val="subscript"/>
        </w:rPr>
        <w:t xml:space="preserve"> </w:t>
      </w:r>
      <w:r w:rsidR="00233D9B">
        <w:t>in H</w:t>
      </w:r>
      <w:r w:rsidR="00233D9B">
        <w:rPr>
          <w:vertAlign w:val="subscript"/>
        </w:rPr>
        <w:t>2</w:t>
      </w:r>
      <w:r w:rsidR="00233D9B">
        <w:t>O (0.</w:t>
      </w:r>
      <w:r w:rsidR="00796F7E">
        <w:t>13</w:t>
      </w:r>
      <w:r w:rsidR="00233D9B">
        <w:t xml:space="preserve"> mmol</w:t>
      </w:r>
      <w:r w:rsidR="00F66BE3">
        <w:t>, 5 eq.</w:t>
      </w:r>
      <w:r w:rsidR="00233D9B">
        <w:t xml:space="preserve">) </w:t>
      </w:r>
      <w:r w:rsidR="00BF02C5">
        <w:t xml:space="preserve">sequentially </w:t>
      </w:r>
      <w:r w:rsidR="00796F7E">
        <w:t>and t</w:t>
      </w:r>
      <w:r w:rsidR="0067147E">
        <w:t xml:space="preserve">he reaction mixture was shaken for </w:t>
      </w:r>
      <w:r w:rsidR="00807CB9">
        <w:t>30 min</w:t>
      </w:r>
      <w:r w:rsidR="0067147E">
        <w:t xml:space="preserve"> at 50 °C.</w:t>
      </w:r>
      <w:r w:rsidR="00BF02C5">
        <w:t xml:space="preserve"> </w:t>
      </w:r>
      <w:r w:rsidR="00796F7E">
        <w:t>After</w:t>
      </w:r>
      <w:r w:rsidR="00807CB9">
        <w:t>wards</w:t>
      </w:r>
      <w:r w:rsidR="00796F7E">
        <w:t xml:space="preserve"> another 9.7 µL of 30% H</w:t>
      </w:r>
      <w:r w:rsidR="00796F7E" w:rsidRPr="00C46ED9">
        <w:rPr>
          <w:vertAlign w:val="subscript"/>
        </w:rPr>
        <w:t>2</w:t>
      </w:r>
      <w:r w:rsidR="00796F7E">
        <w:t>O</w:t>
      </w:r>
      <w:r w:rsidR="00796F7E" w:rsidRPr="00C46ED9">
        <w:rPr>
          <w:vertAlign w:val="subscript"/>
        </w:rPr>
        <w:t>2</w:t>
      </w:r>
      <w:r w:rsidR="00796F7E">
        <w:rPr>
          <w:vertAlign w:val="subscript"/>
        </w:rPr>
        <w:t xml:space="preserve">  </w:t>
      </w:r>
      <w:r w:rsidR="00796F7E">
        <w:t>were added</w:t>
      </w:r>
      <w:r w:rsidR="00807CB9">
        <w:t xml:space="preserve">. </w:t>
      </w:r>
      <w:r w:rsidR="00807CB9">
        <w:lastRenderedPageBreak/>
        <w:t>After</w:t>
      </w:r>
      <w:r w:rsidR="00E53E32">
        <w:t xml:space="preserve"> reaction completion determined via GC-MS</w:t>
      </w:r>
      <w:r w:rsidR="00807CB9">
        <w:t xml:space="preserve"> </w:t>
      </w:r>
      <w:r w:rsidR="00E53E32">
        <w:t>(</w:t>
      </w:r>
      <w:r w:rsidR="00807CB9">
        <w:t>1 h total reaction time</w:t>
      </w:r>
      <w:r w:rsidR="00E53E32">
        <w:t>), the</w:t>
      </w:r>
      <w:r w:rsidR="00796F7E">
        <w:t xml:space="preserve"> </w:t>
      </w:r>
      <w:r>
        <w:t>reaction was quenched with sat. Na</w:t>
      </w:r>
      <w:r>
        <w:rPr>
          <w:vertAlign w:val="subscript"/>
        </w:rPr>
        <w:t>2</w:t>
      </w:r>
      <w:r>
        <w:t>S</w:t>
      </w:r>
      <w:r>
        <w:rPr>
          <w:vertAlign w:val="subscript"/>
        </w:rPr>
        <w:t>2</w:t>
      </w:r>
      <w:r>
        <w:t>O</w:t>
      </w:r>
      <w:r>
        <w:rPr>
          <w:vertAlign w:val="subscript"/>
        </w:rPr>
        <w:t>3</w:t>
      </w:r>
      <w:r>
        <w:t xml:space="preserve"> and extracted with ethyl acetate. The organic phase was dried over Mg</w:t>
      </w:r>
      <w:r>
        <w:rPr>
          <w:vertAlign w:val="subscript"/>
        </w:rPr>
        <w:t>2</w:t>
      </w:r>
      <w:r>
        <w:t>SO</w:t>
      </w:r>
      <w:r>
        <w:rPr>
          <w:vertAlign w:val="subscript"/>
        </w:rPr>
        <w:t xml:space="preserve">4 </w:t>
      </w:r>
      <w:r>
        <w:t xml:space="preserve">and reduced under vacuo to afford </w:t>
      </w:r>
      <w:r w:rsidR="00DD279F">
        <w:t>trans-tetrahydroactinidiolide as</w:t>
      </w:r>
      <w:r>
        <w:t xml:space="preserve"> a </w:t>
      </w:r>
      <w:r w:rsidR="00DD279F">
        <w:t xml:space="preserve">white solid </w:t>
      </w:r>
      <w:r>
        <w:t>(</w:t>
      </w:r>
      <w:r w:rsidR="00A3215E">
        <w:t>3</w:t>
      </w:r>
      <w:r>
        <w:t>.</w:t>
      </w:r>
      <w:r w:rsidR="00E16049">
        <w:t>2</w:t>
      </w:r>
      <w:r>
        <w:t> mg, 0.0</w:t>
      </w:r>
      <w:r w:rsidR="00E16049">
        <w:t>1</w:t>
      </w:r>
      <w:r w:rsidR="00442C8A">
        <w:t>8</w:t>
      </w:r>
      <w:r>
        <w:t xml:space="preserve"> mol, </w:t>
      </w:r>
      <w:r w:rsidR="00E16049">
        <w:t>70</w:t>
      </w:r>
      <w:r>
        <w:t>%).</w:t>
      </w:r>
      <w:r w:rsidR="008708B9">
        <w:t xml:space="preserve"> Reactions were monitored </w:t>
      </w:r>
      <w:r w:rsidR="00FB4F04">
        <w:t>by taking 10 µL samples that were quenched with 10 µL sat. Na</w:t>
      </w:r>
      <w:r w:rsidR="00FB4F04">
        <w:rPr>
          <w:vertAlign w:val="subscript"/>
        </w:rPr>
        <w:t>2</w:t>
      </w:r>
      <w:r w:rsidR="00FB4F04">
        <w:t>S</w:t>
      </w:r>
      <w:r w:rsidR="00FB4F04">
        <w:rPr>
          <w:vertAlign w:val="subscript"/>
        </w:rPr>
        <w:t>2</w:t>
      </w:r>
      <w:r w:rsidR="00FB4F04">
        <w:t>O</w:t>
      </w:r>
      <w:r w:rsidR="00FB4F04">
        <w:rPr>
          <w:vertAlign w:val="subscript"/>
        </w:rPr>
        <w:t>3</w:t>
      </w:r>
      <w:r w:rsidR="00FB4F04">
        <w:t xml:space="preserve">, extracted with ethyl acetate and </w:t>
      </w:r>
      <w:r w:rsidR="00871A2A">
        <w:t>measured via GC-MS.</w:t>
      </w:r>
    </w:p>
    <w:p w14:paraId="49405739" w14:textId="0C1CF4E8" w:rsidR="00A203AA" w:rsidRDefault="00B84C0B" w:rsidP="00A203AA">
      <w:pPr>
        <w:rPr>
          <w:rFonts w:cs="Arial"/>
        </w:rPr>
      </w:pPr>
      <w:r w:rsidRPr="00DC4CE6">
        <w:t>C</w:t>
      </w:r>
      <w:r w:rsidRPr="00DC4CE6">
        <w:rPr>
          <w:vertAlign w:val="subscript"/>
        </w:rPr>
        <w:t>1</w:t>
      </w:r>
      <w:r>
        <w:rPr>
          <w:vertAlign w:val="subscript"/>
        </w:rPr>
        <w:t>1</w:t>
      </w:r>
      <w:r w:rsidRPr="00DC4CE6">
        <w:t>H</w:t>
      </w:r>
      <w:r>
        <w:rPr>
          <w:vertAlign w:val="subscript"/>
        </w:rPr>
        <w:t>18</w:t>
      </w:r>
      <w:r w:rsidRPr="00DC4CE6">
        <w:t>O</w:t>
      </w:r>
      <w:r w:rsidRPr="00DC4CE6">
        <w:rPr>
          <w:vertAlign w:val="subscript"/>
        </w:rPr>
        <w:t>2</w:t>
      </w:r>
      <w:r>
        <w:rPr>
          <w:vertAlign w:val="subscript"/>
        </w:rPr>
        <w:t xml:space="preserve"> </w:t>
      </w:r>
      <w:r w:rsidR="00A203AA" w:rsidRPr="003C05AE">
        <w:rPr>
          <w:rFonts w:cs="Arial"/>
          <w:b/>
          <w:vertAlign w:val="superscript"/>
        </w:rPr>
        <w:t>1</w:t>
      </w:r>
      <w:r w:rsidR="00A203AA" w:rsidRPr="003C05AE">
        <w:rPr>
          <w:rFonts w:cs="Arial"/>
          <w:b/>
        </w:rPr>
        <w:t>H-NMR (CDCl</w:t>
      </w:r>
      <w:r w:rsidR="00A203AA" w:rsidRPr="003C05AE">
        <w:rPr>
          <w:rFonts w:cs="Arial"/>
          <w:b/>
          <w:vertAlign w:val="subscript"/>
        </w:rPr>
        <w:t>3</w:t>
      </w:r>
      <w:r w:rsidR="00A203AA" w:rsidRPr="003C05AE">
        <w:rPr>
          <w:rFonts w:cs="Arial"/>
          <w:b/>
        </w:rPr>
        <w:t xml:space="preserve">, 500 MHz): </w:t>
      </w:r>
      <w:r w:rsidR="00A203AA" w:rsidRPr="003C05AE">
        <w:rPr>
          <w:rFonts w:cs="Arial"/>
        </w:rPr>
        <w:t>δ (ppm) 0</w:t>
      </w:r>
      <w:r w:rsidR="008A5F58" w:rsidRPr="003C05AE">
        <w:rPr>
          <w:rFonts w:cs="Arial"/>
        </w:rPr>
        <w:t>.93</w:t>
      </w:r>
      <w:r w:rsidR="00A203AA" w:rsidRPr="003C05AE">
        <w:rPr>
          <w:rFonts w:cs="Arial"/>
        </w:rPr>
        <w:t xml:space="preserve"> (s, 3H), 0.9</w:t>
      </w:r>
      <w:r w:rsidR="00442C8A" w:rsidRPr="003C05AE">
        <w:rPr>
          <w:rFonts w:cs="Arial"/>
        </w:rPr>
        <w:t>6</w:t>
      </w:r>
      <w:r w:rsidR="00A203AA" w:rsidRPr="003C05AE">
        <w:rPr>
          <w:rFonts w:cs="Arial"/>
        </w:rPr>
        <w:t xml:space="preserve"> (s, 3H) 1.</w:t>
      </w:r>
      <w:r w:rsidR="0089186E" w:rsidRPr="003C05AE">
        <w:rPr>
          <w:rFonts w:cs="Arial"/>
        </w:rPr>
        <w:t>53</w:t>
      </w:r>
      <w:r w:rsidR="00A203AA" w:rsidRPr="003C05AE">
        <w:rPr>
          <w:rFonts w:cs="Arial"/>
        </w:rPr>
        <w:t xml:space="preserve"> (s, 3H), </w:t>
      </w:r>
      <w:r w:rsidR="0089186E" w:rsidRPr="003C05AE">
        <w:rPr>
          <w:rFonts w:cs="Arial"/>
        </w:rPr>
        <w:t>1.56</w:t>
      </w:r>
      <w:r w:rsidR="00A203AA" w:rsidRPr="003C05AE">
        <w:rPr>
          <w:rFonts w:cs="Arial"/>
        </w:rPr>
        <w:t>-1.</w:t>
      </w:r>
      <w:r w:rsidR="0089186E" w:rsidRPr="003C05AE">
        <w:rPr>
          <w:rFonts w:cs="Arial"/>
        </w:rPr>
        <w:t>59</w:t>
      </w:r>
      <w:r w:rsidR="00A203AA" w:rsidRPr="003C05AE">
        <w:rPr>
          <w:rFonts w:cs="Arial"/>
        </w:rPr>
        <w:t xml:space="preserve"> (m, 1H), 1.</w:t>
      </w:r>
      <w:r w:rsidR="0089186E" w:rsidRPr="003C05AE">
        <w:rPr>
          <w:rFonts w:cs="Arial"/>
        </w:rPr>
        <w:t xml:space="preserve">96-2.08 </w:t>
      </w:r>
      <w:r w:rsidR="00A203AA" w:rsidRPr="003C05AE">
        <w:rPr>
          <w:rFonts w:cs="Arial"/>
        </w:rPr>
        <w:t xml:space="preserve">(m, 5H), </w:t>
      </w:r>
      <w:r w:rsidR="0008083D" w:rsidRPr="003C05AE">
        <w:rPr>
          <w:rFonts w:cs="Arial"/>
        </w:rPr>
        <w:t>2.27-2.55</w:t>
      </w:r>
      <w:r w:rsidR="00A203AA" w:rsidRPr="003C05AE">
        <w:rPr>
          <w:rFonts w:cs="Arial"/>
        </w:rPr>
        <w:t xml:space="preserve"> (</w:t>
      </w:r>
      <w:r w:rsidR="0008083D" w:rsidRPr="003C05AE">
        <w:rPr>
          <w:rFonts w:cs="Arial"/>
        </w:rPr>
        <w:t>m</w:t>
      </w:r>
      <w:r w:rsidR="00A203AA" w:rsidRPr="003C05AE">
        <w:rPr>
          <w:rFonts w:cs="Arial"/>
        </w:rPr>
        <w:t>, 3H)</w:t>
      </w:r>
      <w:r w:rsidR="00A81846" w:rsidRPr="003C05AE">
        <w:rPr>
          <w:rFonts w:cs="Arial"/>
        </w:rPr>
        <w:t>.</w:t>
      </w:r>
      <w:r w:rsidR="00A203AA" w:rsidRPr="003C05AE">
        <w:rPr>
          <w:rFonts w:cs="Arial"/>
        </w:rPr>
        <w:t xml:space="preserve"> </w:t>
      </w:r>
      <w:r w:rsidR="00A203AA" w:rsidRPr="003C05AE">
        <w:rPr>
          <w:rFonts w:cs="Arial"/>
          <w:b/>
          <w:vertAlign w:val="superscript"/>
        </w:rPr>
        <w:t>13</w:t>
      </w:r>
      <w:r w:rsidR="00A203AA" w:rsidRPr="003C05AE">
        <w:rPr>
          <w:rFonts w:cs="Arial"/>
          <w:b/>
        </w:rPr>
        <w:t>C-NMR (CDCl</w:t>
      </w:r>
      <w:r w:rsidR="00A203AA" w:rsidRPr="003C05AE">
        <w:rPr>
          <w:rFonts w:cs="Arial"/>
          <w:b/>
          <w:vertAlign w:val="subscript"/>
        </w:rPr>
        <w:t>3</w:t>
      </w:r>
      <w:r w:rsidR="00A203AA" w:rsidRPr="003C05AE">
        <w:rPr>
          <w:rFonts w:cs="Arial"/>
          <w:b/>
        </w:rPr>
        <w:t xml:space="preserve">, 125 MHz): </w:t>
      </w:r>
      <w:r w:rsidR="00A203AA" w:rsidRPr="003C05AE">
        <w:rPr>
          <w:rFonts w:cs="Arial"/>
        </w:rPr>
        <w:t>δ (ppm) 19.</w:t>
      </w:r>
      <w:r w:rsidR="00914688" w:rsidRPr="003C05AE">
        <w:rPr>
          <w:rFonts w:cs="Arial"/>
        </w:rPr>
        <w:t>94</w:t>
      </w:r>
      <w:r w:rsidR="00A203AA" w:rsidRPr="003C05AE">
        <w:rPr>
          <w:rFonts w:cs="Arial"/>
        </w:rPr>
        <w:t xml:space="preserve"> (1C), 19.</w:t>
      </w:r>
      <w:r w:rsidR="00914688" w:rsidRPr="003C05AE">
        <w:rPr>
          <w:rFonts w:cs="Arial"/>
        </w:rPr>
        <w:t>80</w:t>
      </w:r>
      <w:r w:rsidR="00A203AA" w:rsidRPr="003C05AE">
        <w:rPr>
          <w:rFonts w:cs="Arial"/>
        </w:rPr>
        <w:t xml:space="preserve"> (1C), </w:t>
      </w:r>
      <w:r w:rsidR="00914688" w:rsidRPr="003C05AE">
        <w:rPr>
          <w:rFonts w:cs="Arial"/>
        </w:rPr>
        <w:t xml:space="preserve">20.46 </w:t>
      </w:r>
      <w:r w:rsidR="00A203AA" w:rsidRPr="003C05AE">
        <w:rPr>
          <w:rFonts w:cs="Arial"/>
        </w:rPr>
        <w:t>(1C), 20.</w:t>
      </w:r>
      <w:r w:rsidR="00914688" w:rsidRPr="003C05AE">
        <w:rPr>
          <w:rFonts w:cs="Arial"/>
        </w:rPr>
        <w:t>7</w:t>
      </w:r>
      <w:r w:rsidR="00A203AA" w:rsidRPr="003C05AE">
        <w:rPr>
          <w:rFonts w:cs="Arial"/>
        </w:rPr>
        <w:t xml:space="preserve">1 (1C), </w:t>
      </w:r>
      <w:r w:rsidR="00914688" w:rsidRPr="003C05AE">
        <w:rPr>
          <w:rFonts w:cs="Arial"/>
        </w:rPr>
        <w:t>22.69</w:t>
      </w:r>
      <w:r w:rsidR="00A203AA" w:rsidRPr="003C05AE">
        <w:rPr>
          <w:rFonts w:cs="Arial"/>
        </w:rPr>
        <w:t xml:space="preserve"> (1C) 30.31 (1C), </w:t>
      </w:r>
      <w:r w:rsidR="00914688" w:rsidRPr="003C05AE">
        <w:rPr>
          <w:rFonts w:cs="Arial"/>
        </w:rPr>
        <w:t>24.69</w:t>
      </w:r>
      <w:r w:rsidR="00A203AA" w:rsidRPr="003C05AE">
        <w:rPr>
          <w:rFonts w:cs="Arial"/>
        </w:rPr>
        <w:t xml:space="preserve"> (1C), </w:t>
      </w:r>
      <w:r w:rsidR="00914688" w:rsidRPr="003C05AE">
        <w:rPr>
          <w:rFonts w:cs="Arial"/>
        </w:rPr>
        <w:t>33.77</w:t>
      </w:r>
      <w:r w:rsidR="00A203AA" w:rsidRPr="003C05AE">
        <w:rPr>
          <w:rFonts w:cs="Arial"/>
        </w:rPr>
        <w:t xml:space="preserve"> (1C), </w:t>
      </w:r>
      <w:r w:rsidR="00914688" w:rsidRPr="003C05AE">
        <w:rPr>
          <w:rFonts w:cs="Arial"/>
        </w:rPr>
        <w:t>40.08</w:t>
      </w:r>
      <w:r w:rsidR="00A203AA" w:rsidRPr="003C05AE">
        <w:rPr>
          <w:rFonts w:cs="Arial"/>
        </w:rPr>
        <w:t xml:space="preserve"> (1C), </w:t>
      </w:r>
      <w:r w:rsidR="00914688" w:rsidRPr="003C05AE">
        <w:rPr>
          <w:rFonts w:cs="Arial"/>
        </w:rPr>
        <w:t>55.59</w:t>
      </w:r>
      <w:r w:rsidR="00A203AA" w:rsidRPr="003C05AE">
        <w:rPr>
          <w:rFonts w:cs="Arial"/>
        </w:rPr>
        <w:t xml:space="preserve"> (1C), </w:t>
      </w:r>
      <w:r w:rsidR="003C05AE" w:rsidRPr="003C05AE">
        <w:rPr>
          <w:rFonts w:cs="Arial"/>
        </w:rPr>
        <w:t>86.54</w:t>
      </w:r>
      <w:r w:rsidR="00A203AA" w:rsidRPr="003C05AE">
        <w:rPr>
          <w:rFonts w:cs="Arial"/>
        </w:rPr>
        <w:t xml:space="preserve"> (1C), </w:t>
      </w:r>
      <w:r w:rsidR="003C05AE" w:rsidRPr="003C05AE">
        <w:rPr>
          <w:rFonts w:cs="Arial"/>
        </w:rPr>
        <w:t xml:space="preserve">178.54 </w:t>
      </w:r>
      <w:r w:rsidR="00A203AA" w:rsidRPr="003C05AE">
        <w:rPr>
          <w:rFonts w:cs="Arial"/>
        </w:rPr>
        <w:t>(1C)</w:t>
      </w:r>
      <w:r w:rsidR="003C05AE" w:rsidRPr="003C05AE">
        <w:rPr>
          <w:rFonts w:cs="Arial"/>
        </w:rPr>
        <w:t>.</w:t>
      </w:r>
      <w:r w:rsidR="006E5FB4">
        <w:rPr>
          <w:rFonts w:cs="Arial"/>
        </w:rPr>
        <w:t xml:space="preserve"> </w:t>
      </w:r>
      <w:r w:rsidR="00E53167" w:rsidRPr="006E5FB4">
        <w:rPr>
          <w:rFonts w:cs="Arial"/>
        </w:rPr>
        <w:t>The data is consistent with the literature</w:t>
      </w:r>
      <w:r w:rsidR="00E53167">
        <w:rPr>
          <w:rFonts w:cs="Arial"/>
        </w:rPr>
        <w:t>.</w:t>
      </w:r>
      <w:r w:rsidR="00A5034E">
        <w:rPr>
          <w:rFonts w:cs="Arial"/>
        </w:rPr>
        <w:fldChar w:fldCharType="begin" w:fldLock="1"/>
      </w:r>
      <w:r w:rsidR="00E81BA1">
        <w:rPr>
          <w:rFonts w:cs="Arial"/>
        </w:rPr>
        <w:instrText>ADDIN CSL_CITATION {"citationItems":[{"id":"ITEM-1","itemData":{"DOI":"10.1080/00397919708004111","ISSN":"00397911","abstract":"Cyclization of homoterpenic acid with chlorosulfonic acid leading to cis and trans-γ-lactones is described.","author":[{"dropping-particle":"","family":"Imamura","given":"Paulo M.","non-dropping-particle":"","parse-names":false,"suffix":""},{"dropping-particle":"","family":"Santiago","given":"Gilvandete M.P.","non-dropping-particle":"","parse-names":false,"suffix":""}],"container-title":"Synthetic Communications","id":"ITEM-1","issue":"14","issued":{"date-parts":[["1997"]]},"page":"2479-2485","publisher":"Taylor and Francis Inc.","title":"Chlorosulfonic acid mediated cyclization of homoterpenic acid","type":"article-journal","volume":"27"},"uris":["http://www.mendeley.com/documents/?uuid=22505aeb-e160-3433-91ed-f8132f4a22ec"]}],"mendeley":{"formattedCitation":"&lt;sup&gt;66&lt;/sup&gt;","plainTextFormattedCitation":"66","previouslyFormattedCitation":"&lt;sup&gt;65&lt;/sup&gt;"},"properties":{"noteIndex":0},"schema":"https://github.com/citation-style-language/schema/raw/master/csl-citation.json"}</w:instrText>
      </w:r>
      <w:r w:rsidR="00A5034E">
        <w:rPr>
          <w:rFonts w:cs="Arial"/>
        </w:rPr>
        <w:fldChar w:fldCharType="separate"/>
      </w:r>
      <w:r w:rsidR="00E81BA1" w:rsidRPr="00E81BA1">
        <w:rPr>
          <w:rFonts w:cs="Arial"/>
          <w:noProof/>
          <w:vertAlign w:val="superscript"/>
        </w:rPr>
        <w:t>66</w:t>
      </w:r>
      <w:r w:rsidR="00A5034E">
        <w:rPr>
          <w:rFonts w:cs="Arial"/>
        </w:rPr>
        <w:fldChar w:fldCharType="end"/>
      </w:r>
      <w:r w:rsidR="006E64A9">
        <w:rPr>
          <w:rFonts w:cs="Arial"/>
        </w:rPr>
        <w:br/>
      </w:r>
    </w:p>
    <w:p w14:paraId="72CBC7B4" w14:textId="50F8C606" w:rsidR="00B25397" w:rsidRPr="007001B0" w:rsidRDefault="00B25397" w:rsidP="00B25397">
      <w:pPr>
        <w:pStyle w:val="Heading2"/>
        <w:rPr>
          <w:lang w:val="en-US"/>
        </w:rPr>
      </w:pPr>
      <w:bookmarkStart w:id="132" w:name="_Toc134623418"/>
      <w:r w:rsidRPr="007001B0">
        <w:rPr>
          <w:lang w:val="en-US"/>
        </w:rPr>
        <w:t>Synthesis of sclareolide</w:t>
      </w:r>
      <w:r>
        <w:rPr>
          <w:lang w:val="en-US"/>
        </w:rPr>
        <w:t xml:space="preserve"> (</w:t>
      </w:r>
      <w:r w:rsidR="002D2FA2">
        <w:rPr>
          <w:lang w:val="en-US"/>
        </w:rPr>
        <w:t>26</w:t>
      </w:r>
      <w:r>
        <w:rPr>
          <w:lang w:val="en-US"/>
        </w:rPr>
        <w:t>)</w:t>
      </w:r>
      <w:r w:rsidR="00E814EA">
        <w:rPr>
          <w:lang w:val="en-US"/>
        </w:rPr>
        <w:t xml:space="preserve"> via Lipase/Iodine tandem protocol</w:t>
      </w:r>
      <w:bookmarkEnd w:id="132"/>
    </w:p>
    <w:p w14:paraId="0EB92F18" w14:textId="2CBA7B62" w:rsidR="00B25397" w:rsidRPr="006E5FB4" w:rsidRDefault="00650B4C" w:rsidP="00B25397">
      <w:pPr>
        <w:jc w:val="center"/>
      </w:pPr>
      <w:r w:rsidRPr="00627F66">
        <w:object w:dxaOrig="6144" w:dyaOrig="1524" w14:anchorId="5FF5C678">
          <v:shape id="_x0000_i1040" type="#_x0000_t75" style="width:311.25pt;height:80.15pt" o:ole="">
            <v:imagedata r:id="rId59" o:title=""/>
          </v:shape>
          <o:OLEObject Type="Embed" ProgID="ChemDraw.Document.6.0" ShapeID="_x0000_i1040" DrawAspect="Content" ObjectID="_1745237628" r:id="rId60"/>
        </w:object>
      </w:r>
    </w:p>
    <w:p w14:paraId="71505201" w14:textId="13B94FD5" w:rsidR="00B25397" w:rsidRPr="00FF7083" w:rsidRDefault="00B25397" w:rsidP="00B25397">
      <w:r>
        <w:t>Lugol’s iodine (KI/I</w:t>
      </w:r>
      <w:r>
        <w:rPr>
          <w:vertAlign w:val="subscript"/>
        </w:rPr>
        <w:t>2</w:t>
      </w:r>
      <w:r>
        <w:t>) was prepared by dissolving 1 g of I</w:t>
      </w:r>
      <w:r>
        <w:rPr>
          <w:vertAlign w:val="subscript"/>
        </w:rPr>
        <w:t>2</w:t>
      </w:r>
      <w:r>
        <w:t xml:space="preserve"> and 2 g of KI in 300 mL </w:t>
      </w:r>
      <w:r>
        <w:rPr>
          <w:i/>
          <w:iCs/>
        </w:rPr>
        <w:t>dd</w:t>
      </w:r>
      <w:r>
        <w:t>H</w:t>
      </w:r>
      <w:r>
        <w:rPr>
          <w:vertAlign w:val="subscript"/>
        </w:rPr>
        <w:t>2</w:t>
      </w:r>
      <w:r>
        <w:t xml:space="preserve">O (53 mM of which 47 mM is ‘iodide’ catalyst. </w:t>
      </w:r>
      <w:r w:rsidRPr="00FF7083">
        <w:t xml:space="preserve">To </w:t>
      </w:r>
      <w:r>
        <w:t xml:space="preserve">a 1 mL glass vial was added 500 µL ethyl acetate, </w:t>
      </w:r>
      <w:r w:rsidR="00B2309B">
        <w:t>1.2</w:t>
      </w:r>
      <w:r>
        <w:t xml:space="preserve"> mg Lipase, 10 µL lugol’s iodine (</w:t>
      </w:r>
      <w:r w:rsidR="00A91509">
        <w:t>1</w:t>
      </w:r>
      <w:r>
        <w:t xml:space="preserve"> mol-% iodide) and 6.6 mg sclareoloxide </w:t>
      </w:r>
      <w:r w:rsidR="009F28A3" w:rsidRPr="00A70422">
        <w:rPr>
          <w:b/>
          <w:bCs/>
        </w:rPr>
        <w:t>14</w:t>
      </w:r>
      <w:r>
        <w:t xml:space="preserve"> (0.025 mmol, 50 mM). To this was added 9.7 µL of 30% H</w:t>
      </w:r>
      <w:r w:rsidRPr="00C46ED9">
        <w:rPr>
          <w:vertAlign w:val="subscript"/>
        </w:rPr>
        <w:t>2</w:t>
      </w:r>
      <w:r>
        <w:t>O</w:t>
      </w:r>
      <w:r w:rsidRPr="00C46ED9">
        <w:rPr>
          <w:vertAlign w:val="subscript"/>
        </w:rPr>
        <w:t>2</w:t>
      </w:r>
      <w:r>
        <w:rPr>
          <w:vertAlign w:val="subscript"/>
        </w:rPr>
        <w:t xml:space="preserve"> </w:t>
      </w:r>
      <w:r>
        <w:t>in H</w:t>
      </w:r>
      <w:r>
        <w:rPr>
          <w:vertAlign w:val="subscript"/>
        </w:rPr>
        <w:t>2</w:t>
      </w:r>
      <w:r>
        <w:t>O (0.13 mmol, 5 eq.) and the reaction was shaken at 50 °C for 3 h. After</w:t>
      </w:r>
      <w:r w:rsidR="00A70422">
        <w:t xml:space="preserve"> this time </w:t>
      </w:r>
      <w:r>
        <w:t>another 9.7 µL of 30% H</w:t>
      </w:r>
      <w:r w:rsidRPr="00C46ED9">
        <w:rPr>
          <w:vertAlign w:val="subscript"/>
        </w:rPr>
        <w:t>2</w:t>
      </w:r>
      <w:r>
        <w:t>O</w:t>
      </w:r>
      <w:r w:rsidRPr="00C46ED9">
        <w:rPr>
          <w:vertAlign w:val="subscript"/>
        </w:rPr>
        <w:t>2</w:t>
      </w:r>
      <w:r>
        <w:rPr>
          <w:vertAlign w:val="subscript"/>
        </w:rPr>
        <w:t xml:space="preserve"> </w:t>
      </w:r>
      <w:r>
        <w:t>in H</w:t>
      </w:r>
      <w:r>
        <w:rPr>
          <w:vertAlign w:val="subscript"/>
        </w:rPr>
        <w:t>2</w:t>
      </w:r>
      <w:r>
        <w:t>O (0.13 mmol) and the reaction was shaken at 50 °C for another 2 h. After reaction completion determined via GC-MS (5 h total reaction time), the reaction was quenched with sat.</w:t>
      </w:r>
      <w:r w:rsidRPr="006C6FF6">
        <w:t xml:space="preserve"> </w:t>
      </w:r>
      <w:r>
        <w:t>Na</w:t>
      </w:r>
      <w:r>
        <w:rPr>
          <w:vertAlign w:val="subscript"/>
        </w:rPr>
        <w:t>2</w:t>
      </w:r>
      <w:r>
        <w:t>S</w:t>
      </w:r>
      <w:r>
        <w:rPr>
          <w:vertAlign w:val="subscript"/>
        </w:rPr>
        <w:t>2</w:t>
      </w:r>
      <w:r>
        <w:t>O</w:t>
      </w:r>
      <w:r>
        <w:rPr>
          <w:vertAlign w:val="subscript"/>
        </w:rPr>
        <w:t>3</w:t>
      </w:r>
      <w:r>
        <w:t xml:space="preserve"> and extracted with ethyl acetate. The organic phase was dried over Mg</w:t>
      </w:r>
      <w:r>
        <w:rPr>
          <w:vertAlign w:val="subscript"/>
        </w:rPr>
        <w:t>2</w:t>
      </w:r>
      <w:r>
        <w:t>SO</w:t>
      </w:r>
      <w:r>
        <w:rPr>
          <w:vertAlign w:val="subscript"/>
        </w:rPr>
        <w:t xml:space="preserve">4 </w:t>
      </w:r>
      <w:r>
        <w:t>and reduced under vacuo to afford sclareolide X as a white solid (4 mg, 0.16 mmol, 64%). Reaction time can be shortened to 3 h by adding 50 wt-% CALB.</w:t>
      </w:r>
    </w:p>
    <w:p w14:paraId="3166E999" w14:textId="6D468CB4" w:rsidR="00B25397" w:rsidRDefault="00B25397" w:rsidP="00B25397">
      <w:pPr>
        <w:rPr>
          <w:rFonts w:cs="Arial"/>
        </w:rPr>
      </w:pPr>
      <w:r w:rsidRPr="00DC4CE6">
        <w:t>C</w:t>
      </w:r>
      <w:r w:rsidRPr="00DC4CE6">
        <w:rPr>
          <w:vertAlign w:val="subscript"/>
        </w:rPr>
        <w:t>1</w:t>
      </w:r>
      <w:r>
        <w:rPr>
          <w:vertAlign w:val="subscript"/>
        </w:rPr>
        <w:t>6</w:t>
      </w:r>
      <w:r w:rsidRPr="00DC4CE6">
        <w:t>H</w:t>
      </w:r>
      <w:r>
        <w:rPr>
          <w:vertAlign w:val="subscript"/>
        </w:rPr>
        <w:t>26</w:t>
      </w:r>
      <w:r w:rsidRPr="00DC4CE6">
        <w:t>O</w:t>
      </w:r>
      <w:r w:rsidRPr="00DC4CE6">
        <w:rPr>
          <w:vertAlign w:val="subscript"/>
        </w:rPr>
        <w:t>2</w:t>
      </w:r>
      <w:r>
        <w:rPr>
          <w:vertAlign w:val="subscript"/>
        </w:rPr>
        <w:t xml:space="preserve"> </w:t>
      </w:r>
      <w:r w:rsidRPr="00851DA6">
        <w:rPr>
          <w:rFonts w:cs="Arial"/>
          <w:b/>
          <w:vertAlign w:val="superscript"/>
        </w:rPr>
        <w:t>1</w:t>
      </w:r>
      <w:r w:rsidRPr="00851DA6">
        <w:rPr>
          <w:rFonts w:cs="Arial"/>
          <w:b/>
        </w:rPr>
        <w:t>H-NMR (CDCl</w:t>
      </w:r>
      <w:r w:rsidRPr="00851DA6">
        <w:rPr>
          <w:rFonts w:cs="Arial"/>
          <w:b/>
          <w:vertAlign w:val="subscript"/>
        </w:rPr>
        <w:t>3</w:t>
      </w:r>
      <w:r w:rsidRPr="00851DA6">
        <w:rPr>
          <w:rFonts w:cs="Arial"/>
          <w:b/>
        </w:rPr>
        <w:t xml:space="preserve">, </w:t>
      </w:r>
      <w:r w:rsidR="00A727B0">
        <w:rPr>
          <w:rFonts w:cs="Arial"/>
          <w:b/>
        </w:rPr>
        <w:t>7</w:t>
      </w:r>
      <w:r w:rsidRPr="00851DA6">
        <w:rPr>
          <w:rFonts w:cs="Arial"/>
          <w:b/>
        </w:rPr>
        <w:t xml:space="preserve">00 MHz): </w:t>
      </w:r>
      <w:r w:rsidRPr="00851DA6">
        <w:rPr>
          <w:rFonts w:cs="Arial"/>
        </w:rPr>
        <w:t xml:space="preserve">δ (ppm) 0.84 (s, 3H), 0.88 (s, 3H), 0.91 (s, 3H), 1.05-1.07 (m, 2H), 1.19-1.20 (m, 1H), 1.33 (s, 3H), 1.35-1.45 (m, 4H), 1.64-1.71 (m, 2H), 1.87-1.89 (m, 1H), 1.95-1.98 (dd, </w:t>
      </w:r>
      <w:r w:rsidRPr="00851DA6">
        <w:rPr>
          <w:rFonts w:cs="Arial"/>
          <w:i/>
          <w:iCs/>
        </w:rPr>
        <w:t>J</w:t>
      </w:r>
      <w:r w:rsidRPr="00851DA6">
        <w:rPr>
          <w:rFonts w:cs="Arial"/>
          <w:i/>
          <w:iCs/>
          <w:vertAlign w:val="subscript"/>
        </w:rPr>
        <w:t>d</w:t>
      </w:r>
      <w:r w:rsidRPr="00851DA6">
        <w:rPr>
          <w:rFonts w:cs="Arial"/>
        </w:rPr>
        <w:t xml:space="preserve"> = 7.3 Hz, </w:t>
      </w:r>
      <w:r w:rsidRPr="00851DA6">
        <w:rPr>
          <w:rFonts w:cs="Arial"/>
          <w:i/>
          <w:iCs/>
        </w:rPr>
        <w:t>J</w:t>
      </w:r>
      <w:r w:rsidRPr="00851DA6">
        <w:rPr>
          <w:rFonts w:cs="Arial"/>
          <w:i/>
          <w:iCs/>
          <w:vertAlign w:val="subscript"/>
        </w:rPr>
        <w:t>d</w:t>
      </w:r>
      <w:r w:rsidRPr="00851DA6">
        <w:rPr>
          <w:rFonts w:cs="Arial"/>
        </w:rPr>
        <w:t xml:space="preserve"> = 3.3 Hz, 1H), 2.06-2.09 (m, 1H), 2.22-2.25 (dd, </w:t>
      </w:r>
      <w:r w:rsidRPr="00851DA6">
        <w:rPr>
          <w:rFonts w:cs="Arial"/>
          <w:i/>
          <w:iCs/>
        </w:rPr>
        <w:t>J</w:t>
      </w:r>
      <w:r w:rsidRPr="00851DA6">
        <w:rPr>
          <w:rFonts w:cs="Arial"/>
          <w:i/>
          <w:iCs/>
          <w:vertAlign w:val="subscript"/>
        </w:rPr>
        <w:t>d</w:t>
      </w:r>
      <w:r w:rsidRPr="00851DA6">
        <w:rPr>
          <w:rFonts w:cs="Arial"/>
        </w:rPr>
        <w:t xml:space="preserve"> = 7.5 Hz, </w:t>
      </w:r>
      <w:r w:rsidRPr="00851DA6">
        <w:rPr>
          <w:rFonts w:cs="Arial"/>
          <w:i/>
          <w:iCs/>
        </w:rPr>
        <w:t>J</w:t>
      </w:r>
      <w:r w:rsidRPr="00851DA6">
        <w:rPr>
          <w:rFonts w:cs="Arial"/>
          <w:i/>
          <w:iCs/>
          <w:vertAlign w:val="subscript"/>
        </w:rPr>
        <w:t>d</w:t>
      </w:r>
      <w:r w:rsidRPr="00851DA6">
        <w:rPr>
          <w:rFonts w:cs="Arial"/>
        </w:rPr>
        <w:t xml:space="preserve"> = 3.4 Hz, 1H ), 2.38-2.43 (m, 1H). </w:t>
      </w:r>
      <w:r w:rsidRPr="006C465C">
        <w:rPr>
          <w:rFonts w:cs="Arial"/>
          <w:b/>
          <w:vertAlign w:val="superscript"/>
        </w:rPr>
        <w:t>13</w:t>
      </w:r>
      <w:r w:rsidRPr="006C465C">
        <w:rPr>
          <w:rFonts w:cs="Arial"/>
          <w:b/>
        </w:rPr>
        <w:t>C-NMR (CDCl</w:t>
      </w:r>
      <w:r w:rsidRPr="006C465C">
        <w:rPr>
          <w:rFonts w:cs="Arial"/>
          <w:b/>
          <w:vertAlign w:val="subscript"/>
        </w:rPr>
        <w:t>3</w:t>
      </w:r>
      <w:r w:rsidRPr="006C465C">
        <w:rPr>
          <w:rFonts w:cs="Arial"/>
          <w:b/>
        </w:rPr>
        <w:t>, 1</w:t>
      </w:r>
      <w:r w:rsidR="00A727B0">
        <w:rPr>
          <w:rFonts w:cs="Arial"/>
          <w:b/>
        </w:rPr>
        <w:t>76</w:t>
      </w:r>
      <w:r w:rsidRPr="006C465C">
        <w:rPr>
          <w:rFonts w:cs="Arial"/>
          <w:b/>
        </w:rPr>
        <w:t xml:space="preserve"> MHz): </w:t>
      </w:r>
      <w:r w:rsidRPr="006C465C">
        <w:rPr>
          <w:rFonts w:cs="Arial"/>
        </w:rPr>
        <w:t xml:space="preserve">δ (ppm) 15.07 (1C), 18.08 (1C), 20.55 (1C), 20.92 (1C), 21.57 (1C), 29.71 (1C), 33.17 (1C), 36.05 (1C), 38.69 (1C), 39.49 (1C), 42.16 (1C), 56.64 (1C), 59.11 (1C), 76.48 (1C), 86.42 (1C), 176.94 (1C). </w:t>
      </w:r>
      <w:r w:rsidRPr="006E5FB4">
        <w:rPr>
          <w:rFonts w:cs="Arial"/>
        </w:rPr>
        <w:t>The data is consistent with the literature.</w:t>
      </w:r>
      <w:r w:rsidR="006E5FB4">
        <w:rPr>
          <w:rFonts w:cs="Arial"/>
        </w:rPr>
        <w:fldChar w:fldCharType="begin" w:fldLock="1"/>
      </w:r>
      <w:r w:rsidR="00E81BA1">
        <w:rPr>
          <w:rFonts w:cs="Arial"/>
        </w:rPr>
        <w:instrText>ADDIN CSL_CITATION {"citationItems":[{"id":"ITEM-1","itemData":{"abstract":"Structures of plant furanolabdanoids and synthetic schemes for a series of furanolabdanoids (coronarins A and E, hedychenone, acuminolide and 17-O-acetylacuminolide) from the available diterpenoids sclareol and larixol were reviewed. Attention was focused on transformations of available furanolabdanoids. Data on the biological activity of native metabolites and their synthetic derivatives were presented., tri-, and sesterterpenoids, a structural feature of which is a furan ring or a derivative of it, are interesting as promising compounds for medical application. The furan ring in these natural terpenoids is transformed into a butenolide or dihydrofuran moiety. The transformation of the ring leads to the manifestation of new or enhanced biological activity of the original native terpenoid. Therefore, examples of the modification of furanoterpenoids are becoming more common. Herein we review the structure and biological activity of plant furanolabdanoids and present schemes for the total synthesis of metabolites from terpenoids and chemical modifications of several available metabolites. Plant Furanoditerpenoids. Furanolabdanoids are produced by plants of the families Acanthaceae, Alismaceae, Annonaceae, Apocynaceae, Asteraceae, Caprifoliaceae, Cistaceae, Euphorbiaceae, Lamiaceae, Pinaceae, Potamogetonaceae, Scrophulariacea, and Zingiberaceae. Lambertianic acid (1) was first isolated from oleoresin of Pinus lambertiana Dogl. [1] and occurs in oleoresin of long-needle pines P. sibirica [2], P. koraiensis [3], and P. wallichiana [4]. Cones of P. lambertiana contained significant amounts of 1 (up to 25% of total acids) [5]. Acid 1 and its methyl ester 2 [2] occurred also in needles and needle-less shoots of P. sibirica [6]. Acid 1 has been isolated from other plants, e.g., Gutierrezia dracunculoides [7], Sciadopitys verticillata [8], Platycladus orientalis [9], Biota orientalis [10], Thuja orientalis [11], and Caesalpinia echinata [12]. Investigations of the pharmacological activity of 1 revealed its antidepressant activity with a sedative component [13]. The significant potential of 1 as an allergy treatment agent was noted [11]. Data on its action on allergy mediators, including the inhibition of interleukine-6 (IL-6), prostaglandin D 2 (PGD 2), and leukotriene C 4 (LTC 4) production; cyclooxygenase-2 (COX-2) expression; and E-hexosaminidase degranulation into PMA were obtained. The methyl ester of 1 (2) exhibited stimulating antidepressant properties [14].","author":[{"dropping-particle":"","family":"Shulcts","given":"E E","non-dropping-particle":"","parse-names":false,"suffix":""},{"dropping-particle":"","family":"Mironov","given":"M E","non-dropping-particle":"","parse-names":false,"suffix":""},{"dropping-particle":"V","family":"Kharitonov","given":"Yu","non-dropping-particle":"","parse-names":false,"suffix":""},{"dropping-particle":"","family":"Vorozhtsov","given":"N N","non-dropping-particle":"","parse-names":false,"suffix":""}],"container-title":"Chemistry of Natural Compounds","id":"ITEM-1","issue":"1","issued":{"date-parts":[["2014"]]},"page":"5-22","title":"FURANODITERPENOIDS OF THE LABDANE SERIES: OCCURRENCE IN PLANTS, TOTAL SYNTHESIS, SEVERAL TRANSFORMATIONS, AND BIOLOGICAL ACTIVITY","type":"article-journal","volume":"50"},"uris":["http://www.mendeley.com/documents/?uuid=eda0ced7-2821-3594-bd65-9bc887080cec"]}],"mendeley":{"formattedCitation":"&lt;sup&gt;67&lt;/sup&gt;","plainTextFormattedCitation":"67","previouslyFormattedCitation":"&lt;sup&gt;66&lt;/sup&gt;"},"properties":{"noteIndex":0},"schema":"https://github.com/citation-style-language/schema/raw/master/csl-citation.json"}</w:instrText>
      </w:r>
      <w:r w:rsidR="006E5FB4">
        <w:rPr>
          <w:rFonts w:cs="Arial"/>
        </w:rPr>
        <w:fldChar w:fldCharType="separate"/>
      </w:r>
      <w:r w:rsidR="00E81BA1" w:rsidRPr="00E81BA1">
        <w:rPr>
          <w:rFonts w:cs="Arial"/>
          <w:noProof/>
          <w:vertAlign w:val="superscript"/>
        </w:rPr>
        <w:t>67</w:t>
      </w:r>
      <w:r w:rsidR="006E5FB4">
        <w:rPr>
          <w:rFonts w:cs="Arial"/>
        </w:rPr>
        <w:fldChar w:fldCharType="end"/>
      </w:r>
      <w:r>
        <w:rPr>
          <w:rFonts w:cs="Arial"/>
        </w:rPr>
        <w:t xml:space="preserve"> </w:t>
      </w:r>
    </w:p>
    <w:p w14:paraId="00E4AE0D" w14:textId="77777777" w:rsidR="00B25397" w:rsidRDefault="00B25397" w:rsidP="00A203AA">
      <w:pPr>
        <w:rPr>
          <w:rFonts w:cs="Arial"/>
        </w:rPr>
      </w:pPr>
    </w:p>
    <w:p w14:paraId="2A9604F3" w14:textId="04A016A2" w:rsidR="00873B91" w:rsidRPr="007001B0" w:rsidRDefault="00873B91" w:rsidP="00873B91">
      <w:pPr>
        <w:pStyle w:val="Heading2"/>
        <w:rPr>
          <w:lang w:val="en-US"/>
        </w:rPr>
      </w:pPr>
      <w:bookmarkStart w:id="133" w:name="_Toc134623419"/>
      <w:r w:rsidRPr="007001B0">
        <w:rPr>
          <w:lang w:val="en-US"/>
        </w:rPr>
        <w:lastRenderedPageBreak/>
        <w:t xml:space="preserve">Synthesis of </w:t>
      </w:r>
      <w:r w:rsidRPr="007001B0">
        <w:rPr>
          <w:i/>
          <w:iCs/>
          <w:lang w:val="en-US"/>
        </w:rPr>
        <w:t>cis</w:t>
      </w:r>
      <w:r w:rsidRPr="007001B0">
        <w:rPr>
          <w:lang w:val="en-US"/>
        </w:rPr>
        <w:t>-tetrahydroactinidiolide</w:t>
      </w:r>
      <w:r w:rsidR="00415F48">
        <w:rPr>
          <w:lang w:val="en-US"/>
        </w:rPr>
        <w:t xml:space="preserve"> (</w:t>
      </w:r>
      <w:r w:rsidR="009F28A3">
        <w:rPr>
          <w:lang w:val="en-US"/>
        </w:rPr>
        <w:t>25</w:t>
      </w:r>
      <w:r w:rsidR="00415F48">
        <w:rPr>
          <w:lang w:val="en-US"/>
        </w:rPr>
        <w:t>)</w:t>
      </w:r>
      <w:r w:rsidR="00E814EA">
        <w:rPr>
          <w:lang w:val="en-US"/>
        </w:rPr>
        <w:t xml:space="preserve"> via Lipase/Iodine tandem protocol</w:t>
      </w:r>
      <w:bookmarkEnd w:id="133"/>
    </w:p>
    <w:p w14:paraId="533B4EE6" w14:textId="1D1BB371" w:rsidR="002B5ED3" w:rsidRDefault="00212FC4" w:rsidP="00136129">
      <w:pPr>
        <w:jc w:val="center"/>
      </w:pPr>
      <w:r w:rsidRPr="00EE3BFD">
        <w:object w:dxaOrig="6285" w:dyaOrig="1250" w14:anchorId="0679D41A">
          <v:shape id="_x0000_i1041" type="#_x0000_t75" style="width:318.2pt;height:63.85pt" o:ole="">
            <v:imagedata r:id="rId61" o:title=""/>
          </v:shape>
          <o:OLEObject Type="Embed" ProgID="ChemDraw.Document.6.0" ShapeID="_x0000_i1041" DrawAspect="Content" ObjectID="_1745237629" r:id="rId62"/>
        </w:object>
      </w:r>
    </w:p>
    <w:p w14:paraId="7F72C4F6" w14:textId="65F5D7C0" w:rsidR="003C05AE" w:rsidRPr="003C05AE" w:rsidRDefault="003C05AE" w:rsidP="003C05AE">
      <w:r w:rsidRPr="00650210">
        <w:t>To a 1 mL gla</w:t>
      </w:r>
      <w:r w:rsidR="00FF7083" w:rsidRPr="00650210">
        <w:t>s</w:t>
      </w:r>
      <w:r w:rsidRPr="00650210">
        <w:t>s vial were added 500 µL ethyl acetate,</w:t>
      </w:r>
      <w:r w:rsidR="00825794" w:rsidRPr="00825794">
        <w:t xml:space="preserve"> </w:t>
      </w:r>
      <w:r w:rsidR="00825794">
        <w:t>0.96 mg Lipase, 10 µL lugol’s iodine (1 mol-% iodide) and</w:t>
      </w:r>
      <w:r w:rsidRPr="00650210">
        <w:t xml:space="preserve"> 5.</w:t>
      </w:r>
      <w:r w:rsidR="00967447">
        <w:t>5</w:t>
      </w:r>
      <w:r w:rsidRPr="00650210">
        <w:t xml:space="preserve"> µL</w:t>
      </w:r>
      <w:r w:rsidR="00825794">
        <w:t xml:space="preserve"> cis-hexahydrochromene</w:t>
      </w:r>
      <w:r w:rsidRPr="00650210">
        <w:t xml:space="preserve"> </w:t>
      </w:r>
      <w:r w:rsidR="00967447" w:rsidRPr="00967447">
        <w:rPr>
          <w:b/>
          <w:bCs/>
        </w:rPr>
        <w:t>23</w:t>
      </w:r>
      <w:r w:rsidRPr="00650210">
        <w:t xml:space="preserve"> (0.025 mmol)</w:t>
      </w:r>
      <w:r w:rsidR="00825794">
        <w:t xml:space="preserve">. To this was added </w:t>
      </w:r>
      <w:r w:rsidRPr="00650210">
        <w:t>9.7</w:t>
      </w:r>
      <w:r w:rsidR="00A70422">
        <w:t> </w:t>
      </w:r>
      <w:r w:rsidRPr="00650210">
        <w:t>µL of 30% H</w:t>
      </w:r>
      <w:r w:rsidRPr="00650210">
        <w:rPr>
          <w:vertAlign w:val="subscript"/>
        </w:rPr>
        <w:t>2</w:t>
      </w:r>
      <w:r w:rsidRPr="00650210">
        <w:t>O</w:t>
      </w:r>
      <w:r w:rsidRPr="00650210">
        <w:rPr>
          <w:vertAlign w:val="subscript"/>
        </w:rPr>
        <w:t xml:space="preserve">2 </w:t>
      </w:r>
      <w:r w:rsidRPr="00650210">
        <w:t>in H</w:t>
      </w:r>
      <w:r w:rsidRPr="00650210">
        <w:rPr>
          <w:vertAlign w:val="subscript"/>
        </w:rPr>
        <w:t>2</w:t>
      </w:r>
      <w:r w:rsidRPr="00650210">
        <w:t xml:space="preserve">O (0.13 mmol) and the reaction mixture was shaken for </w:t>
      </w:r>
      <w:r w:rsidR="00A70422">
        <w:t>3 h</w:t>
      </w:r>
      <w:r w:rsidRPr="00650210">
        <w:t xml:space="preserve"> at 50 °C. After</w:t>
      </w:r>
      <w:r w:rsidR="00A70422">
        <w:t xml:space="preserve"> this time</w:t>
      </w:r>
      <w:r w:rsidRPr="00650210">
        <w:t xml:space="preserve"> another 9.7 µL of 30% H</w:t>
      </w:r>
      <w:r w:rsidRPr="00650210">
        <w:rPr>
          <w:vertAlign w:val="subscript"/>
        </w:rPr>
        <w:t>2</w:t>
      </w:r>
      <w:r w:rsidRPr="00650210">
        <w:t>O</w:t>
      </w:r>
      <w:r w:rsidRPr="00650210">
        <w:rPr>
          <w:vertAlign w:val="subscript"/>
        </w:rPr>
        <w:t xml:space="preserve">2 </w:t>
      </w:r>
      <w:r w:rsidR="00A70422">
        <w:t xml:space="preserve">(0.13 mmol) </w:t>
      </w:r>
      <w:r w:rsidRPr="00650210">
        <w:t>were added. After</w:t>
      </w:r>
      <w:r w:rsidR="00E53E32" w:rsidRPr="00650210">
        <w:t xml:space="preserve"> reaction completion determined via GC-MS</w:t>
      </w:r>
      <w:r w:rsidRPr="00650210">
        <w:t xml:space="preserve"> </w:t>
      </w:r>
      <w:r w:rsidR="00E53E32" w:rsidRPr="00650210">
        <w:t>(</w:t>
      </w:r>
      <w:r w:rsidRPr="00650210">
        <w:t>1 h total reaction time</w:t>
      </w:r>
      <w:r w:rsidR="00E53E32" w:rsidRPr="00650210">
        <w:t>), the</w:t>
      </w:r>
      <w:r w:rsidRPr="00650210">
        <w:t xml:space="preserve"> reaction was quenched with sat. Na</w:t>
      </w:r>
      <w:r w:rsidRPr="00650210">
        <w:rPr>
          <w:vertAlign w:val="subscript"/>
        </w:rPr>
        <w:t>2</w:t>
      </w:r>
      <w:r w:rsidRPr="00650210">
        <w:t>S</w:t>
      </w:r>
      <w:r w:rsidRPr="00650210">
        <w:rPr>
          <w:vertAlign w:val="subscript"/>
        </w:rPr>
        <w:t>2</w:t>
      </w:r>
      <w:r w:rsidRPr="00650210">
        <w:t>O</w:t>
      </w:r>
      <w:r w:rsidRPr="00650210">
        <w:rPr>
          <w:vertAlign w:val="subscript"/>
        </w:rPr>
        <w:t>3</w:t>
      </w:r>
      <w:r w:rsidR="0059516D" w:rsidRPr="00650210">
        <w:t>,</w:t>
      </w:r>
      <w:r w:rsidRPr="00650210">
        <w:t xml:space="preserve"> extracted with ethyl acetate</w:t>
      </w:r>
      <w:r w:rsidR="00BC70FA" w:rsidRPr="00650210">
        <w:t xml:space="preserve"> and </w:t>
      </w:r>
      <w:r w:rsidR="00A60016" w:rsidRPr="00650210">
        <w:t>22 µL (0.02</w:t>
      </w:r>
      <w:r w:rsidR="0059516D" w:rsidRPr="00650210">
        <w:t>6 mmol) mesitylene as an internal standard was added to determine the yield</w:t>
      </w:r>
      <w:r w:rsidR="0059516D">
        <w:t>. (0.0</w:t>
      </w:r>
      <w:r w:rsidR="00DC4E27">
        <w:t xml:space="preserve">086 mmol, </w:t>
      </w:r>
      <w:r w:rsidR="00650210">
        <w:t>33%)</w:t>
      </w:r>
    </w:p>
    <w:p w14:paraId="2972B36F" w14:textId="348853A6" w:rsidR="000B6948" w:rsidRPr="00DB73C8" w:rsidRDefault="007516F4" w:rsidP="00DB73C8">
      <w:pPr>
        <w:rPr>
          <w:rFonts w:cs="Arial"/>
          <w:bCs/>
        </w:rPr>
      </w:pPr>
      <w:r w:rsidRPr="00A70422">
        <w:t>C</w:t>
      </w:r>
      <w:r w:rsidRPr="00A70422">
        <w:rPr>
          <w:vertAlign w:val="subscript"/>
        </w:rPr>
        <w:t>11</w:t>
      </w:r>
      <w:r w:rsidRPr="00A70422">
        <w:t>H</w:t>
      </w:r>
      <w:r w:rsidRPr="00A70422">
        <w:rPr>
          <w:vertAlign w:val="subscript"/>
        </w:rPr>
        <w:t>18</w:t>
      </w:r>
      <w:r w:rsidRPr="00A70422">
        <w:t>O</w:t>
      </w:r>
      <w:r w:rsidRPr="00A70422">
        <w:rPr>
          <w:vertAlign w:val="subscript"/>
        </w:rPr>
        <w:t>2</w:t>
      </w:r>
      <w:r w:rsidR="00FD3C51" w:rsidRPr="00A70422">
        <w:rPr>
          <w:vertAlign w:val="subscript"/>
        </w:rPr>
        <w:t xml:space="preserve"> </w:t>
      </w:r>
      <w:r w:rsidR="00A727B0" w:rsidRPr="00A70422">
        <w:rPr>
          <w:rFonts w:cs="Arial"/>
          <w:b/>
          <w:vertAlign w:val="superscript"/>
        </w:rPr>
        <w:t>1</w:t>
      </w:r>
      <w:r w:rsidR="00A727B0" w:rsidRPr="00A70422">
        <w:rPr>
          <w:rFonts w:cs="Arial"/>
          <w:b/>
        </w:rPr>
        <w:t>H-NMR (CDCl</w:t>
      </w:r>
      <w:r w:rsidR="00A727B0" w:rsidRPr="00A70422">
        <w:rPr>
          <w:rFonts w:cs="Arial"/>
          <w:b/>
          <w:vertAlign w:val="subscript"/>
        </w:rPr>
        <w:t>3</w:t>
      </w:r>
      <w:r w:rsidR="00A727B0" w:rsidRPr="00A70422">
        <w:rPr>
          <w:rFonts w:cs="Arial"/>
          <w:b/>
        </w:rPr>
        <w:t xml:space="preserve">, 700 MHz): </w:t>
      </w:r>
      <w:r w:rsidR="00A727B0" w:rsidRPr="00A70422">
        <w:rPr>
          <w:rFonts w:cs="Arial"/>
          <w:bCs/>
        </w:rPr>
        <w:t xml:space="preserve">characteristic </w:t>
      </w:r>
      <w:r w:rsidR="00A70422">
        <w:rPr>
          <w:rFonts w:cs="Arial"/>
          <w:bCs/>
        </w:rPr>
        <w:t>methyl-</w:t>
      </w:r>
      <w:r w:rsidR="00A727B0" w:rsidRPr="00A70422">
        <w:rPr>
          <w:rFonts w:cs="Arial"/>
          <w:bCs/>
        </w:rPr>
        <w:t>signal</w:t>
      </w:r>
      <w:r w:rsidR="003C794C" w:rsidRPr="00A70422">
        <w:rPr>
          <w:rFonts w:cs="Arial"/>
          <w:bCs/>
        </w:rPr>
        <w:t xml:space="preserve"> at </w:t>
      </w:r>
      <w:r w:rsidR="00853B38" w:rsidRPr="00A70422">
        <w:rPr>
          <w:rFonts w:cs="Arial"/>
          <w:bCs/>
        </w:rPr>
        <w:t>0.962</w:t>
      </w:r>
      <w:r w:rsidR="00853B38">
        <w:rPr>
          <w:rFonts w:cs="Arial"/>
          <w:bCs/>
        </w:rPr>
        <w:t xml:space="preserve"> </w:t>
      </w:r>
      <w:r w:rsidR="006E64A9">
        <w:rPr>
          <w:rFonts w:cs="Arial"/>
          <w:bCs/>
        </w:rPr>
        <w:br/>
      </w:r>
    </w:p>
    <w:p w14:paraId="5800EA63" w14:textId="2E65D947" w:rsidR="00243764" w:rsidRPr="007001B0" w:rsidRDefault="00243764" w:rsidP="00243764">
      <w:pPr>
        <w:pStyle w:val="Heading2"/>
        <w:rPr>
          <w:lang w:val="en-US"/>
        </w:rPr>
      </w:pPr>
      <w:bookmarkStart w:id="134" w:name="_Toc134623420"/>
      <w:r w:rsidRPr="007001B0">
        <w:rPr>
          <w:lang w:val="en-US"/>
        </w:rPr>
        <w:t>Synthesis of trans-tetrahydroactinidiolide</w:t>
      </w:r>
      <w:r>
        <w:rPr>
          <w:lang w:val="en-US"/>
        </w:rPr>
        <w:t xml:space="preserve"> </w:t>
      </w:r>
      <w:r w:rsidR="00415F48">
        <w:rPr>
          <w:lang w:val="en-US"/>
        </w:rPr>
        <w:t>(</w:t>
      </w:r>
      <w:r w:rsidR="009F28A3">
        <w:rPr>
          <w:lang w:val="en-US"/>
        </w:rPr>
        <w:t>1</w:t>
      </w:r>
      <w:r w:rsidR="00415F48">
        <w:rPr>
          <w:lang w:val="en-US"/>
        </w:rPr>
        <w:t xml:space="preserve">) </w:t>
      </w:r>
      <w:r>
        <w:rPr>
          <w:lang w:val="en-US"/>
        </w:rPr>
        <w:t>via Lipase</w:t>
      </w:r>
      <w:r w:rsidR="00415F48">
        <w:rPr>
          <w:lang w:val="en-US"/>
        </w:rPr>
        <w:t>/Iodine tandem protocol</w:t>
      </w:r>
      <w:bookmarkEnd w:id="134"/>
    </w:p>
    <w:p w14:paraId="362CB2B4" w14:textId="11C1369D" w:rsidR="00243764" w:rsidRPr="006E5FB4" w:rsidRDefault="00212FC4" w:rsidP="00243764">
      <w:pPr>
        <w:jc w:val="center"/>
      </w:pPr>
      <w:r w:rsidRPr="00C357FB">
        <w:object w:dxaOrig="5748" w:dyaOrig="1370" w14:anchorId="7291A201">
          <v:shape id="_x0000_i1042" type="#_x0000_t75" style="width:4in;height:65.05pt" o:ole="">
            <v:imagedata r:id="rId63" o:title=""/>
          </v:shape>
          <o:OLEObject Type="Embed" ProgID="ChemDraw.Document.6.0" ShapeID="_x0000_i1042" DrawAspect="Content" ObjectID="_1745237630" r:id="rId64"/>
        </w:object>
      </w:r>
    </w:p>
    <w:p w14:paraId="39C803B9" w14:textId="1ACA021A" w:rsidR="00243764" w:rsidRPr="00FF7083" w:rsidRDefault="00243764" w:rsidP="00243764">
      <w:r w:rsidRPr="00FF7083">
        <w:t xml:space="preserve">To </w:t>
      </w:r>
      <w:r>
        <w:t>a 1 mL glass vial was added 500 µL ethyl acetate, 0.</w:t>
      </w:r>
      <w:r w:rsidR="00A76533">
        <w:t>96</w:t>
      </w:r>
      <w:r>
        <w:t xml:space="preserve"> mg Lipase, 10 µL lugol’s iodine (</w:t>
      </w:r>
      <w:r w:rsidR="00A70422">
        <w:t>1 </w:t>
      </w:r>
      <w:r>
        <w:t xml:space="preserve">mol-% iodide) and </w:t>
      </w:r>
      <w:r w:rsidR="00D62CFF">
        <w:t>5.5 µL</w:t>
      </w:r>
      <w:r>
        <w:t xml:space="preserve"> </w:t>
      </w:r>
      <w:r w:rsidR="00D62CFF">
        <w:t>trans-hexahydrochromene</w:t>
      </w:r>
      <w:r>
        <w:t xml:space="preserve"> </w:t>
      </w:r>
      <w:r w:rsidR="00BF1489" w:rsidRPr="00967447">
        <w:rPr>
          <w:b/>
          <w:bCs/>
        </w:rPr>
        <w:t>18</w:t>
      </w:r>
      <w:r>
        <w:t xml:space="preserve"> (</w:t>
      </w:r>
      <w:r w:rsidR="007601BE">
        <w:t>4</w:t>
      </w:r>
      <w:r w:rsidR="00BF1489">
        <w:t>.</w:t>
      </w:r>
      <w:r w:rsidR="007601BE">
        <w:t xml:space="preserve">85 mg, </w:t>
      </w:r>
      <w:r>
        <w:t>0.025 mmol, 50 mM). To this was added 9.7 µL of 30% H</w:t>
      </w:r>
      <w:r w:rsidRPr="00C46ED9">
        <w:rPr>
          <w:vertAlign w:val="subscript"/>
        </w:rPr>
        <w:t>2</w:t>
      </w:r>
      <w:r>
        <w:t>O</w:t>
      </w:r>
      <w:r w:rsidRPr="00C46ED9">
        <w:rPr>
          <w:vertAlign w:val="subscript"/>
        </w:rPr>
        <w:t>2</w:t>
      </w:r>
      <w:r>
        <w:rPr>
          <w:vertAlign w:val="subscript"/>
        </w:rPr>
        <w:t xml:space="preserve"> </w:t>
      </w:r>
      <w:r>
        <w:t>in H</w:t>
      </w:r>
      <w:r>
        <w:rPr>
          <w:vertAlign w:val="subscript"/>
        </w:rPr>
        <w:t>2</w:t>
      </w:r>
      <w:r>
        <w:t>O (0.13 mmol, 5 eq.) and the reaction was shaken at 50 °C for 3 h. Afterwards another 9.7 µL of 30% H</w:t>
      </w:r>
      <w:r w:rsidRPr="00C46ED9">
        <w:rPr>
          <w:vertAlign w:val="subscript"/>
        </w:rPr>
        <w:t>2</w:t>
      </w:r>
      <w:r>
        <w:t>O</w:t>
      </w:r>
      <w:r w:rsidRPr="00C46ED9">
        <w:rPr>
          <w:vertAlign w:val="subscript"/>
        </w:rPr>
        <w:t>2</w:t>
      </w:r>
      <w:r>
        <w:rPr>
          <w:vertAlign w:val="subscript"/>
        </w:rPr>
        <w:t xml:space="preserve"> </w:t>
      </w:r>
      <w:r>
        <w:t>in H</w:t>
      </w:r>
      <w:r>
        <w:rPr>
          <w:vertAlign w:val="subscript"/>
        </w:rPr>
        <w:t>2</w:t>
      </w:r>
      <w:r>
        <w:t>O (0.13 mmol) and the reaction was shaken at 50 °C for another 2 h. After reaction completion determined via GC-MS (5 h total reaction time), the reaction was quenched with sat.</w:t>
      </w:r>
      <w:r w:rsidRPr="006C6FF6">
        <w:t xml:space="preserve"> </w:t>
      </w:r>
      <w:r>
        <w:t>Na</w:t>
      </w:r>
      <w:r>
        <w:rPr>
          <w:vertAlign w:val="subscript"/>
        </w:rPr>
        <w:t>2</w:t>
      </w:r>
      <w:r>
        <w:t>S</w:t>
      </w:r>
      <w:r>
        <w:rPr>
          <w:vertAlign w:val="subscript"/>
        </w:rPr>
        <w:t>2</w:t>
      </w:r>
      <w:r>
        <w:t>O</w:t>
      </w:r>
      <w:r>
        <w:rPr>
          <w:vertAlign w:val="subscript"/>
        </w:rPr>
        <w:t>3</w:t>
      </w:r>
      <w:r>
        <w:t xml:space="preserve"> and extracted with ethyl acetate. The organic phase was dried over Mg</w:t>
      </w:r>
      <w:r w:rsidRPr="003E01C8">
        <w:rPr>
          <w:vertAlign w:val="subscript"/>
        </w:rPr>
        <w:t>2</w:t>
      </w:r>
      <w:r>
        <w:t>SO</w:t>
      </w:r>
      <w:r>
        <w:rPr>
          <w:vertAlign w:val="subscript"/>
        </w:rPr>
        <w:t xml:space="preserve">4 </w:t>
      </w:r>
      <w:r>
        <w:t xml:space="preserve">and reduced under vacuo to afford </w:t>
      </w:r>
      <w:r w:rsidR="00B25397">
        <w:t>trans-tetrahydroactinidiolide</w:t>
      </w:r>
      <w:r>
        <w:t xml:space="preserve"> </w:t>
      </w:r>
      <w:r w:rsidR="002F3F1F" w:rsidRPr="002F3F1F">
        <w:rPr>
          <w:b/>
          <w:bCs/>
        </w:rPr>
        <w:t>1</w:t>
      </w:r>
      <w:r>
        <w:t xml:space="preserve"> as a white solid (</w:t>
      </w:r>
      <w:r w:rsidR="001404F9">
        <w:t>2.</w:t>
      </w:r>
      <w:r w:rsidR="00B25397">
        <w:t>73</w:t>
      </w:r>
      <w:r>
        <w:t xml:space="preserve"> mg, 0.1</w:t>
      </w:r>
      <w:r w:rsidR="00B25397">
        <w:t>5</w:t>
      </w:r>
      <w:r>
        <w:t xml:space="preserve"> mmol, 6</w:t>
      </w:r>
      <w:r w:rsidR="00B25397">
        <w:t>0</w:t>
      </w:r>
      <w:r>
        <w:t xml:space="preserve">%). </w:t>
      </w:r>
      <w:r w:rsidR="00FD3C51">
        <w:t>For NMR data see above.</w:t>
      </w:r>
    </w:p>
    <w:p w14:paraId="4F70F555" w14:textId="2E180BFC" w:rsidR="00E75F6F" w:rsidRPr="007001B0" w:rsidRDefault="00E75F6F" w:rsidP="00E75F6F">
      <w:pPr>
        <w:pStyle w:val="Heading2"/>
        <w:rPr>
          <w:lang w:val="en-US"/>
        </w:rPr>
      </w:pPr>
      <w:bookmarkStart w:id="135" w:name="_Toc134623421"/>
      <w:r w:rsidRPr="007001B0">
        <w:rPr>
          <w:lang w:val="en-US"/>
        </w:rPr>
        <w:t xml:space="preserve">Synthesis of chromanone </w:t>
      </w:r>
      <w:r w:rsidR="00DB73C8">
        <w:rPr>
          <w:lang w:val="en-US"/>
        </w:rPr>
        <w:t>(</w:t>
      </w:r>
      <w:r w:rsidR="002F3F1F">
        <w:rPr>
          <w:lang w:val="en-US"/>
        </w:rPr>
        <w:t>3</w:t>
      </w:r>
      <w:r w:rsidR="00DB73C8">
        <w:rPr>
          <w:lang w:val="en-US"/>
        </w:rPr>
        <w:t>)</w:t>
      </w:r>
      <w:bookmarkEnd w:id="135"/>
      <w:r w:rsidRPr="007001B0">
        <w:rPr>
          <w:lang w:val="en-US"/>
        </w:rPr>
        <w:t xml:space="preserve"> </w:t>
      </w:r>
    </w:p>
    <w:p w14:paraId="26FB3E43" w14:textId="47E58BF9" w:rsidR="00E75F6F" w:rsidRDefault="00536D9B" w:rsidP="004F52B7">
      <w:pPr>
        <w:jc w:val="center"/>
        <w:rPr>
          <w:noProof/>
        </w:rPr>
      </w:pPr>
      <w:r>
        <w:rPr>
          <w:noProof/>
        </w:rPr>
        <w:object w:dxaOrig="7598" w:dyaOrig="1881" w14:anchorId="5E0EAF94">
          <v:shape id="_x0000_i1043" type="#_x0000_t75" style="width:383.25pt;height:94.05pt" o:ole="">
            <v:imagedata r:id="rId65" o:title=""/>
          </v:shape>
          <o:OLEObject Type="Embed" ProgID="ChemDraw.Document.6.0" ShapeID="_x0000_i1043" DrawAspect="Content" ObjectID="_1745237631" r:id="rId66"/>
        </w:object>
      </w:r>
    </w:p>
    <w:p w14:paraId="38C61925" w14:textId="4F1D7762" w:rsidR="0031079D" w:rsidRPr="000753AE" w:rsidRDefault="0031079D" w:rsidP="0031079D">
      <w:r>
        <w:t xml:space="preserve">The reaction was carried out under nitrogen atmosphere. To a solution of </w:t>
      </w:r>
      <w:r w:rsidR="00BF02A0">
        <w:rPr>
          <w:b/>
          <w:bCs/>
        </w:rPr>
        <w:t>24</w:t>
      </w:r>
      <w:r>
        <w:t xml:space="preserve"> (50 mg, 0.2</w:t>
      </w:r>
      <w:r w:rsidR="001F7D92">
        <w:t>6</w:t>
      </w:r>
      <w:r>
        <w:t xml:space="preserve"> mmol) and 2,6-hydroxyacetophenon (39 mg, 0.25 mmol) in dry THF (2 mL) and molecular </w:t>
      </w:r>
      <w:r>
        <w:lastRenderedPageBreak/>
        <w:t>sieves 4Å (400 mg), pyrrolodine</w:t>
      </w:r>
      <w:r w:rsidR="00E606B8">
        <w:t xml:space="preserve"> (6.5 μL, 0.08 mmol) and butanoic acid (</w:t>
      </w:r>
      <w:r w:rsidR="008D0AF2">
        <w:t>11</w:t>
      </w:r>
      <w:r w:rsidR="00436DD0">
        <w:t>.8 µL, 0.13 mmol)</w:t>
      </w:r>
      <w:r>
        <w:t xml:space="preserve"> w</w:t>
      </w:r>
      <w:r w:rsidR="00E606B8">
        <w:t>ere</w:t>
      </w:r>
      <w:r>
        <w:t xml:space="preserve"> added. After stirring at room temperature for 24 h, </w:t>
      </w:r>
      <w:r w:rsidR="00160A8D">
        <w:t>the reaction was extracted with methyl-tert-butyl ether</w:t>
      </w:r>
      <w:r w:rsidR="00D03447">
        <w:t xml:space="preserve"> (MTBE, 3x 5 mL)</w:t>
      </w:r>
      <w:r w:rsidR="00160A8D">
        <w:t>. The organic phase was</w:t>
      </w:r>
      <w:r>
        <w:t xml:space="preserve"> washed with 2N HCl (3x 5 mL) and brine (3x 5 mL), dried over Na</w:t>
      </w:r>
      <w:r w:rsidRPr="002177D0">
        <w:rPr>
          <w:vertAlign w:val="subscript"/>
        </w:rPr>
        <w:t>2</w:t>
      </w:r>
      <w:r>
        <w:t>SO</w:t>
      </w:r>
      <w:r w:rsidRPr="002177D0">
        <w:rPr>
          <w:vertAlign w:val="subscript"/>
        </w:rPr>
        <w:t>4</w:t>
      </w:r>
      <w:r>
        <w:t xml:space="preserve"> and concentrated in vacuo.</w:t>
      </w:r>
      <w:r w:rsidR="000577F2">
        <w:t xml:space="preserve"> </w:t>
      </w:r>
      <w:r>
        <w:t xml:space="preserve">Purification by flash chromatography (cyclohexane: MTBE, 95:5) </w:t>
      </w:r>
      <w:r w:rsidR="00D03447">
        <w:t>afforded</w:t>
      </w:r>
      <w:r>
        <w:t xml:space="preserve"> a</w:t>
      </w:r>
      <w:r w:rsidR="00B25808">
        <w:t xml:space="preserve"> </w:t>
      </w:r>
      <w:r>
        <w:t xml:space="preserve">50:50 diastereomeric mixture of chromanone </w:t>
      </w:r>
      <w:r w:rsidR="00BF02A0">
        <w:rPr>
          <w:b/>
          <w:bCs/>
        </w:rPr>
        <w:t>3</w:t>
      </w:r>
      <w:r w:rsidRPr="007A0089">
        <w:rPr>
          <w:b/>
          <w:bCs/>
        </w:rPr>
        <w:t xml:space="preserve"> </w:t>
      </w:r>
      <w:r>
        <w:t>(74</w:t>
      </w:r>
      <w:r w:rsidR="002959EF">
        <w:t> </w:t>
      </w:r>
      <w:r>
        <w:t>mg, 0.23 mmol, 90%).</w:t>
      </w:r>
    </w:p>
    <w:p w14:paraId="0A4337B3" w14:textId="6CFDD2C1" w:rsidR="00D56D16" w:rsidRPr="0031079D" w:rsidRDefault="00E6755D" w:rsidP="00455A98">
      <w:r w:rsidRPr="00DC4CE6">
        <w:t>C</w:t>
      </w:r>
      <w:r>
        <w:rPr>
          <w:vertAlign w:val="subscript"/>
        </w:rPr>
        <w:t>21</w:t>
      </w:r>
      <w:r w:rsidRPr="00DC4CE6">
        <w:t>H</w:t>
      </w:r>
      <w:r>
        <w:rPr>
          <w:vertAlign w:val="subscript"/>
        </w:rPr>
        <w:t>28</w:t>
      </w:r>
      <w:r w:rsidRPr="00DC4CE6">
        <w:t>O</w:t>
      </w:r>
      <w:r>
        <w:rPr>
          <w:vertAlign w:val="subscript"/>
        </w:rPr>
        <w:t xml:space="preserve">3 </w:t>
      </w:r>
      <w:r w:rsidR="0031079D" w:rsidRPr="004940EB">
        <w:rPr>
          <w:rFonts w:cs="Arial"/>
          <w:b/>
          <w:vertAlign w:val="superscript"/>
        </w:rPr>
        <w:t>1</w:t>
      </w:r>
      <w:r w:rsidR="0031079D" w:rsidRPr="004940EB">
        <w:rPr>
          <w:rFonts w:cs="Arial"/>
          <w:b/>
        </w:rPr>
        <w:t>H-NMR (CDCl</w:t>
      </w:r>
      <w:r w:rsidR="0031079D" w:rsidRPr="004940EB">
        <w:rPr>
          <w:rFonts w:cs="Arial"/>
          <w:b/>
          <w:vertAlign w:val="subscript"/>
        </w:rPr>
        <w:t>3</w:t>
      </w:r>
      <w:r w:rsidR="0031079D" w:rsidRPr="004940EB">
        <w:rPr>
          <w:rFonts w:cs="Arial"/>
          <w:b/>
        </w:rPr>
        <w:t xml:space="preserve">, 500 MHz): </w:t>
      </w:r>
      <w:r w:rsidR="0031079D" w:rsidRPr="004940EB">
        <w:rPr>
          <w:rFonts w:cs="Arial"/>
        </w:rPr>
        <w:t>δ (ppm) 0.83 (s, 3H), 0.91 (s, 3H), 1.19-1.2</w:t>
      </w:r>
      <w:r w:rsidR="00F11E66">
        <w:rPr>
          <w:rFonts w:cs="Arial"/>
        </w:rPr>
        <w:t>9</w:t>
      </w:r>
      <w:r w:rsidR="0031079D" w:rsidRPr="004940EB">
        <w:rPr>
          <w:rFonts w:cs="Arial"/>
        </w:rPr>
        <w:t xml:space="preserve"> (m, 2H), 1.4</w:t>
      </w:r>
      <w:r w:rsidR="00F11E66">
        <w:rPr>
          <w:rFonts w:cs="Arial"/>
        </w:rPr>
        <w:t>1</w:t>
      </w:r>
      <w:r w:rsidR="0031079D" w:rsidRPr="004940EB">
        <w:rPr>
          <w:rFonts w:cs="Arial"/>
        </w:rPr>
        <w:t xml:space="preserve">-1.83 (m, </w:t>
      </w:r>
      <w:r w:rsidR="0028543B">
        <w:rPr>
          <w:rFonts w:cs="Arial"/>
        </w:rPr>
        <w:t>9</w:t>
      </w:r>
      <w:r w:rsidR="0031079D" w:rsidRPr="004940EB">
        <w:rPr>
          <w:rFonts w:cs="Arial"/>
        </w:rPr>
        <w:t>H), 1.89-2.01 (m, 2</w:t>
      </w:r>
      <w:r w:rsidR="0031079D">
        <w:rPr>
          <w:rFonts w:cs="Arial"/>
        </w:rPr>
        <w:t>H</w:t>
      </w:r>
      <w:r w:rsidR="0031079D" w:rsidRPr="004940EB">
        <w:rPr>
          <w:rFonts w:cs="Arial"/>
        </w:rPr>
        <w:t>)</w:t>
      </w:r>
      <w:r w:rsidR="00F11E66">
        <w:rPr>
          <w:rFonts w:cs="Arial"/>
        </w:rPr>
        <w:t>,</w:t>
      </w:r>
      <w:r w:rsidR="0031079D" w:rsidRPr="004940EB">
        <w:rPr>
          <w:rFonts w:cs="Arial"/>
        </w:rPr>
        <w:t xml:space="preserve"> 2.56-2.85 (</w:t>
      </w:r>
      <w:r w:rsidR="00101DC7">
        <w:rPr>
          <w:rFonts w:cs="Arial"/>
        </w:rPr>
        <w:t>m</w:t>
      </w:r>
      <w:r w:rsidR="0031079D" w:rsidRPr="004940EB">
        <w:rPr>
          <w:rFonts w:cs="Arial"/>
        </w:rPr>
        <w:t xml:space="preserve">, </w:t>
      </w:r>
      <w:r w:rsidR="00B16761">
        <w:rPr>
          <w:rFonts w:cs="Arial"/>
        </w:rPr>
        <w:t>2</w:t>
      </w:r>
      <w:r w:rsidR="0031079D" w:rsidRPr="004940EB">
        <w:rPr>
          <w:rFonts w:cs="Arial"/>
        </w:rPr>
        <w:t>H), 4.4 (</w:t>
      </w:r>
      <w:r w:rsidR="00B16761">
        <w:rPr>
          <w:rFonts w:cs="Arial"/>
        </w:rPr>
        <w:t>m</w:t>
      </w:r>
      <w:r w:rsidR="0031079D" w:rsidRPr="004940EB">
        <w:rPr>
          <w:rFonts w:cs="Arial"/>
        </w:rPr>
        <w:t>, 1H), 4.7 (</w:t>
      </w:r>
      <w:r w:rsidR="00327DE0">
        <w:rPr>
          <w:rFonts w:cs="Arial"/>
        </w:rPr>
        <w:t>m</w:t>
      </w:r>
      <w:r w:rsidR="0031079D" w:rsidRPr="004940EB">
        <w:rPr>
          <w:rFonts w:cs="Arial"/>
        </w:rPr>
        <w:t>,</w:t>
      </w:r>
      <w:r w:rsidR="00327DE0">
        <w:rPr>
          <w:rFonts w:cs="Arial"/>
        </w:rPr>
        <w:t xml:space="preserve"> </w:t>
      </w:r>
      <w:r w:rsidR="0031079D" w:rsidRPr="004940EB">
        <w:rPr>
          <w:rFonts w:cs="Arial"/>
        </w:rPr>
        <w:t>1H), 6.4 (d, </w:t>
      </w:r>
      <w:r w:rsidR="0031079D" w:rsidRPr="004940EB">
        <w:rPr>
          <w:rFonts w:cs="Arial"/>
          <w:i/>
          <w:iCs/>
        </w:rPr>
        <w:t>J</w:t>
      </w:r>
      <w:r w:rsidR="0031079D" w:rsidRPr="004940EB">
        <w:rPr>
          <w:rFonts w:cs="Arial"/>
        </w:rPr>
        <w:t> = 1.5 Hz, 1H), 6.45 (d, </w:t>
      </w:r>
      <w:r w:rsidR="0031079D" w:rsidRPr="004940EB">
        <w:rPr>
          <w:rFonts w:cs="Arial"/>
          <w:i/>
          <w:iCs/>
        </w:rPr>
        <w:t>J</w:t>
      </w:r>
      <w:r w:rsidR="0031079D" w:rsidRPr="004940EB">
        <w:rPr>
          <w:rFonts w:cs="Arial"/>
        </w:rPr>
        <w:t xml:space="preserve"> = 1.5 Hz, 1H), 7.33 t, </w:t>
      </w:r>
      <w:r w:rsidR="0031079D" w:rsidRPr="004940EB">
        <w:rPr>
          <w:rFonts w:cs="Arial"/>
          <w:i/>
          <w:iCs/>
        </w:rPr>
        <w:t>J</w:t>
      </w:r>
      <w:r w:rsidR="00327DE0">
        <w:rPr>
          <w:rFonts w:cs="Arial"/>
          <w:i/>
          <w:iCs/>
        </w:rPr>
        <w:t xml:space="preserve"> </w:t>
      </w:r>
      <w:r w:rsidR="0031079D" w:rsidRPr="004940EB">
        <w:rPr>
          <w:rFonts w:cs="Arial"/>
        </w:rPr>
        <w:t>=</w:t>
      </w:r>
      <w:r w:rsidR="00327DE0">
        <w:rPr>
          <w:rFonts w:cs="Arial"/>
        </w:rPr>
        <w:t xml:space="preserve"> </w:t>
      </w:r>
      <w:r w:rsidR="0031079D" w:rsidRPr="004940EB">
        <w:rPr>
          <w:rFonts w:cs="Arial"/>
        </w:rPr>
        <w:t xml:space="preserve">9.0 Hz, 1H). </w:t>
      </w:r>
      <w:r w:rsidR="0031079D" w:rsidRPr="00470DF9">
        <w:rPr>
          <w:rFonts w:cs="Arial"/>
          <w:b/>
          <w:vertAlign w:val="superscript"/>
        </w:rPr>
        <w:t>13</w:t>
      </w:r>
      <w:r w:rsidR="0031079D" w:rsidRPr="00470DF9">
        <w:rPr>
          <w:rFonts w:cs="Arial"/>
          <w:b/>
        </w:rPr>
        <w:t>C-NMR (CDCl</w:t>
      </w:r>
      <w:r w:rsidR="0031079D" w:rsidRPr="00470DF9">
        <w:rPr>
          <w:rFonts w:cs="Arial"/>
          <w:b/>
          <w:vertAlign w:val="subscript"/>
        </w:rPr>
        <w:t>3</w:t>
      </w:r>
      <w:r w:rsidR="0031079D" w:rsidRPr="00470DF9">
        <w:rPr>
          <w:rFonts w:cs="Arial"/>
          <w:b/>
        </w:rPr>
        <w:t xml:space="preserve">, 125 MHz): </w:t>
      </w:r>
      <w:r w:rsidR="0031079D" w:rsidRPr="00470DF9">
        <w:rPr>
          <w:rFonts w:cs="Arial"/>
        </w:rPr>
        <w:t>δ (ppm) 1</w:t>
      </w:r>
      <w:r w:rsidR="00786B9D" w:rsidRPr="00470DF9">
        <w:rPr>
          <w:rFonts w:cs="Arial"/>
        </w:rPr>
        <w:t>8</w:t>
      </w:r>
      <w:r w:rsidR="0031079D" w:rsidRPr="00470DF9">
        <w:rPr>
          <w:rFonts w:cs="Arial"/>
        </w:rPr>
        <w:t>.</w:t>
      </w:r>
      <w:r w:rsidR="00786B9D" w:rsidRPr="00470DF9">
        <w:rPr>
          <w:rFonts w:cs="Arial"/>
        </w:rPr>
        <w:t>87</w:t>
      </w:r>
      <w:r w:rsidR="0031079D" w:rsidRPr="00470DF9">
        <w:rPr>
          <w:rFonts w:cs="Arial"/>
        </w:rPr>
        <w:t xml:space="preserve"> (1C), </w:t>
      </w:r>
      <w:r w:rsidR="00786B9D" w:rsidRPr="00470DF9">
        <w:rPr>
          <w:rFonts w:cs="Arial"/>
        </w:rPr>
        <w:t>22.58</w:t>
      </w:r>
      <w:r w:rsidR="0031079D" w:rsidRPr="00470DF9">
        <w:rPr>
          <w:rFonts w:cs="Arial"/>
        </w:rPr>
        <w:t xml:space="preserve"> (1C), </w:t>
      </w:r>
      <w:r w:rsidR="003B1804" w:rsidRPr="00470DF9">
        <w:rPr>
          <w:rFonts w:cs="Arial"/>
        </w:rPr>
        <w:t>22.85</w:t>
      </w:r>
      <w:r w:rsidR="0031079D" w:rsidRPr="00470DF9">
        <w:rPr>
          <w:rFonts w:cs="Arial"/>
        </w:rPr>
        <w:t xml:space="preserve"> (1C),</w:t>
      </w:r>
      <w:r w:rsidR="00470DF9" w:rsidRPr="00470DF9">
        <w:rPr>
          <w:rFonts w:cs="Arial"/>
        </w:rPr>
        <w:t xml:space="preserve"> 22.93 (1C),</w:t>
      </w:r>
      <w:r w:rsidR="0031079D" w:rsidRPr="00470DF9">
        <w:rPr>
          <w:rFonts w:cs="Arial"/>
        </w:rPr>
        <w:t xml:space="preserve"> 2</w:t>
      </w:r>
      <w:r w:rsidR="003B1804" w:rsidRPr="00470DF9">
        <w:rPr>
          <w:rFonts w:cs="Arial"/>
        </w:rPr>
        <w:t>7</w:t>
      </w:r>
      <w:r w:rsidR="0031079D" w:rsidRPr="00470DF9">
        <w:rPr>
          <w:rFonts w:cs="Arial"/>
        </w:rPr>
        <w:t>.</w:t>
      </w:r>
      <w:r w:rsidR="003B1804" w:rsidRPr="00470DF9">
        <w:rPr>
          <w:rFonts w:cs="Arial"/>
        </w:rPr>
        <w:t>33</w:t>
      </w:r>
      <w:r w:rsidR="0031079D" w:rsidRPr="00470DF9">
        <w:rPr>
          <w:rFonts w:cs="Arial"/>
        </w:rPr>
        <w:t xml:space="preserve"> (1C), </w:t>
      </w:r>
      <w:r w:rsidR="003B1804" w:rsidRPr="00470DF9">
        <w:rPr>
          <w:rFonts w:cs="Arial"/>
        </w:rPr>
        <w:t>33.96</w:t>
      </w:r>
      <w:r w:rsidR="0031079D" w:rsidRPr="00470DF9">
        <w:rPr>
          <w:rFonts w:cs="Arial"/>
        </w:rPr>
        <w:t xml:space="preserve"> (1C</w:t>
      </w:r>
      <w:r w:rsidR="003B1804" w:rsidRPr="00470DF9">
        <w:rPr>
          <w:rFonts w:cs="Arial"/>
        </w:rPr>
        <w:t>), 37.03,</w:t>
      </w:r>
      <w:r w:rsidR="0031079D" w:rsidRPr="00470DF9">
        <w:rPr>
          <w:rFonts w:cs="Arial"/>
        </w:rPr>
        <w:t xml:space="preserve"> (1C), </w:t>
      </w:r>
      <w:r w:rsidR="007D24C1" w:rsidRPr="00470DF9">
        <w:rPr>
          <w:rFonts w:cs="Arial"/>
        </w:rPr>
        <w:t>45.76</w:t>
      </w:r>
      <w:r w:rsidR="0031079D" w:rsidRPr="00470DF9">
        <w:rPr>
          <w:rFonts w:cs="Arial"/>
        </w:rPr>
        <w:t xml:space="preserve"> (1C), </w:t>
      </w:r>
      <w:r w:rsidR="007D24C1" w:rsidRPr="00470DF9">
        <w:rPr>
          <w:rFonts w:cs="Arial"/>
        </w:rPr>
        <w:t xml:space="preserve">46.03 </w:t>
      </w:r>
      <w:r w:rsidR="0031079D" w:rsidRPr="00470DF9">
        <w:rPr>
          <w:rFonts w:cs="Arial"/>
        </w:rPr>
        <w:t xml:space="preserve">(1C), </w:t>
      </w:r>
      <w:r w:rsidR="007D24C1" w:rsidRPr="00470DF9">
        <w:rPr>
          <w:rFonts w:cs="Arial"/>
        </w:rPr>
        <w:t>52.</w:t>
      </w:r>
      <w:r w:rsidR="00EA6893" w:rsidRPr="00470DF9">
        <w:rPr>
          <w:rFonts w:cs="Arial"/>
        </w:rPr>
        <w:t>98</w:t>
      </w:r>
      <w:r w:rsidR="0031079D" w:rsidRPr="00470DF9">
        <w:rPr>
          <w:rFonts w:cs="Arial"/>
        </w:rPr>
        <w:t xml:space="preserve"> (1C), </w:t>
      </w:r>
      <w:r w:rsidR="00EA6893" w:rsidRPr="00470DF9">
        <w:rPr>
          <w:rFonts w:cs="Arial"/>
        </w:rPr>
        <w:t>79.91</w:t>
      </w:r>
      <w:r w:rsidR="0031079D" w:rsidRPr="00470DF9">
        <w:rPr>
          <w:rFonts w:cs="Arial"/>
        </w:rPr>
        <w:t xml:space="preserve"> (1C), </w:t>
      </w:r>
      <w:r w:rsidR="00EA6893" w:rsidRPr="00470DF9">
        <w:rPr>
          <w:rFonts w:cs="Arial"/>
        </w:rPr>
        <w:t xml:space="preserve">106.56 </w:t>
      </w:r>
      <w:r w:rsidR="0031079D" w:rsidRPr="00470DF9">
        <w:rPr>
          <w:rFonts w:cs="Arial"/>
        </w:rPr>
        <w:t xml:space="preserve">(1C), </w:t>
      </w:r>
      <w:r w:rsidR="00EA6893" w:rsidRPr="00470DF9">
        <w:rPr>
          <w:rFonts w:cs="Arial"/>
        </w:rPr>
        <w:t>10</w:t>
      </w:r>
      <w:r w:rsidR="0037777C" w:rsidRPr="00470DF9">
        <w:rPr>
          <w:rFonts w:cs="Arial"/>
        </w:rPr>
        <w:t>6.81</w:t>
      </w:r>
      <w:r w:rsidR="0031079D" w:rsidRPr="00470DF9">
        <w:rPr>
          <w:rFonts w:cs="Arial"/>
        </w:rPr>
        <w:t xml:space="preserve"> (1C), </w:t>
      </w:r>
      <w:r w:rsidR="0037777C" w:rsidRPr="00470DF9">
        <w:rPr>
          <w:rFonts w:cs="Arial"/>
        </w:rPr>
        <w:t>107.51</w:t>
      </w:r>
      <w:r w:rsidR="0031079D" w:rsidRPr="00470DF9">
        <w:rPr>
          <w:rFonts w:cs="Arial"/>
        </w:rPr>
        <w:t xml:space="preserve"> (1C)</w:t>
      </w:r>
      <w:r w:rsidR="0037777C" w:rsidRPr="00470DF9">
        <w:rPr>
          <w:rFonts w:cs="Arial"/>
        </w:rPr>
        <w:t>, 108.31 (1C), 137.21 (1C), 147</w:t>
      </w:r>
      <w:r w:rsidR="00407FE9" w:rsidRPr="00470DF9">
        <w:rPr>
          <w:rFonts w:cs="Arial"/>
        </w:rPr>
        <w:t>.67 (1C),</w:t>
      </w:r>
      <w:r w:rsidR="001745D9" w:rsidRPr="00470DF9">
        <w:rPr>
          <w:rFonts w:cs="Arial"/>
        </w:rPr>
        <w:t xml:space="preserve"> 147.77 (1C),</w:t>
      </w:r>
      <w:r w:rsidR="00407FE9" w:rsidRPr="00470DF9">
        <w:rPr>
          <w:rFonts w:cs="Arial"/>
        </w:rPr>
        <w:t xml:space="preserve"> 158.96 (1C), 160.69 (1C), 197.51 (1C)</w:t>
      </w:r>
      <w:r w:rsidR="0031079D" w:rsidRPr="00470DF9">
        <w:rPr>
          <w:rFonts w:cs="Arial"/>
        </w:rPr>
        <w:t xml:space="preserve">. </w:t>
      </w:r>
      <w:r w:rsidR="006E64A9">
        <w:rPr>
          <w:rFonts w:cs="Arial"/>
        </w:rPr>
        <w:br/>
      </w:r>
    </w:p>
    <w:p w14:paraId="4DBCB065" w14:textId="21DE40E7" w:rsidR="000B6948" w:rsidRPr="00E75F6F" w:rsidRDefault="003E225A" w:rsidP="003E225A">
      <w:pPr>
        <w:pStyle w:val="Heading2"/>
        <w:rPr>
          <w:lang w:val="en-US"/>
        </w:rPr>
      </w:pPr>
      <w:bookmarkStart w:id="136" w:name="_Toc134623422"/>
      <w:r w:rsidRPr="00E75F6F">
        <w:rPr>
          <w:lang w:val="en-US"/>
        </w:rPr>
        <w:t xml:space="preserve">Synthesis of carbonate </w:t>
      </w:r>
      <w:r w:rsidR="00DB73C8">
        <w:rPr>
          <w:lang w:val="en-US"/>
        </w:rPr>
        <w:t>(</w:t>
      </w:r>
      <w:r w:rsidR="00536D9B">
        <w:rPr>
          <w:lang w:val="en-US"/>
        </w:rPr>
        <w:t>2</w:t>
      </w:r>
      <w:r w:rsidR="00DB73C8">
        <w:rPr>
          <w:lang w:val="en-US"/>
        </w:rPr>
        <w:t>)</w:t>
      </w:r>
      <w:bookmarkEnd w:id="136"/>
    </w:p>
    <w:p w14:paraId="7073706F" w14:textId="2471FD8A" w:rsidR="003E225A" w:rsidRDefault="00536D9B" w:rsidP="00846F06">
      <w:pPr>
        <w:jc w:val="center"/>
      </w:pPr>
      <w:r>
        <w:object w:dxaOrig="7790" w:dyaOrig="1790" w14:anchorId="56DB5377">
          <v:shape id="_x0000_i1044" type="#_x0000_t75" style="width:390.2pt;height:87.1pt" o:ole="">
            <v:imagedata r:id="rId67" o:title=""/>
          </v:shape>
          <o:OLEObject Type="Embed" ProgID="ChemDraw.Document.6.0" ShapeID="_x0000_i1044" DrawAspect="Content" ObjectID="_1745237632" r:id="rId68"/>
        </w:object>
      </w:r>
    </w:p>
    <w:p w14:paraId="08D5AC7D" w14:textId="1E8E2B3D" w:rsidR="00B13C01" w:rsidRPr="001E2591" w:rsidRDefault="00391C49" w:rsidP="00391C49">
      <w:r>
        <w:t>The reaction was carried out under nitrogen atmosphere</w:t>
      </w:r>
      <w:r w:rsidR="00CC342F">
        <w:t xml:space="preserve">. </w:t>
      </w:r>
      <w:r w:rsidR="00022C98">
        <w:t xml:space="preserve">To a solution of drimendiol </w:t>
      </w:r>
      <w:r w:rsidR="00BF02A0" w:rsidRPr="00BF02A0">
        <w:rPr>
          <w:b/>
          <w:bCs/>
        </w:rPr>
        <w:t>9</w:t>
      </w:r>
      <w:r w:rsidR="00753ED5" w:rsidRPr="00BF02A0">
        <w:rPr>
          <w:b/>
          <w:bCs/>
        </w:rPr>
        <w:t xml:space="preserve"> </w:t>
      </w:r>
      <w:r w:rsidR="00753ED5">
        <w:t>(30 mg, 0.12</w:t>
      </w:r>
      <w:r w:rsidR="006A13E5">
        <w:t>5</w:t>
      </w:r>
      <w:r w:rsidR="00D27E10">
        <w:t xml:space="preserve"> mmol)</w:t>
      </w:r>
      <w:r w:rsidR="00022C98">
        <w:t xml:space="preserve"> in</w:t>
      </w:r>
      <w:r w:rsidR="00D27E10">
        <w:t xml:space="preserve"> 1 mL</w:t>
      </w:r>
      <w:r w:rsidR="00022C98">
        <w:t xml:space="preserve"> dry THF</w:t>
      </w:r>
      <w:r w:rsidR="0071020E">
        <w:t xml:space="preserve"> was added </w:t>
      </w:r>
      <w:r w:rsidR="00D27E10">
        <w:t>potassium carbonate</w:t>
      </w:r>
      <w:r w:rsidR="00907EDA">
        <w:t xml:space="preserve"> (34.27 mg</w:t>
      </w:r>
      <w:r w:rsidR="00F06344">
        <w:t>, 0.248 mmol, 2 eq.)</w:t>
      </w:r>
      <w:r w:rsidR="009E23C1">
        <w:t xml:space="preserve"> and the reaction mixture was stirred at 0 °C for 10 min. </w:t>
      </w:r>
      <w:r w:rsidR="00F73CDA">
        <w:t>Next</w:t>
      </w:r>
      <w:r w:rsidR="002F6005">
        <w:t>,</w:t>
      </w:r>
      <w:r w:rsidR="009E23C1">
        <w:t xml:space="preserve"> </w:t>
      </w:r>
      <w:r w:rsidR="002F6005">
        <w:t>carbonyl diimidazole</w:t>
      </w:r>
      <w:r w:rsidR="009E23C1">
        <w:t xml:space="preserve"> (</w:t>
      </w:r>
      <w:r w:rsidR="004D0E50">
        <w:t>40</w:t>
      </w:r>
      <w:r w:rsidR="0022631F">
        <w:t>.21</w:t>
      </w:r>
      <w:r w:rsidR="00F73CDA">
        <w:t> </w:t>
      </w:r>
      <w:r w:rsidR="0022631F">
        <w:t xml:space="preserve">mg, </w:t>
      </w:r>
      <w:r w:rsidR="00F73CDA">
        <w:t>2 eq.) was added an</w:t>
      </w:r>
      <w:r w:rsidR="002F6005">
        <w:t>d</w:t>
      </w:r>
      <w:r w:rsidR="00F73CDA">
        <w:t xml:space="preserve"> the reaction was stirred for another 8 h at 0 °C.</w:t>
      </w:r>
      <w:r w:rsidR="002F6005">
        <w:t xml:space="preserve"> Upon completion</w:t>
      </w:r>
      <w:r w:rsidR="001E2591">
        <w:t xml:space="preserve"> (determined by GC-MS),</w:t>
      </w:r>
      <w:r w:rsidR="00F73CDA">
        <w:t xml:space="preserve"> </w:t>
      </w:r>
      <w:r w:rsidR="008460F9">
        <w:t>the</w:t>
      </w:r>
      <w:r w:rsidR="001E2591">
        <w:t xml:space="preserve"> reaction was extracted </w:t>
      </w:r>
      <w:r w:rsidR="00D079A8">
        <w:t xml:space="preserve">with </w:t>
      </w:r>
      <w:r w:rsidR="008460F9">
        <w:t>ethyl acetate</w:t>
      </w:r>
      <w:r w:rsidR="00D079A8">
        <w:t>,</w:t>
      </w:r>
      <w:r w:rsidR="008460F9">
        <w:t xml:space="preserve"> </w:t>
      </w:r>
      <w:r w:rsidR="00D079A8">
        <w:t>t</w:t>
      </w:r>
      <w:r w:rsidR="008460F9">
        <w:t>he</w:t>
      </w:r>
      <w:r w:rsidR="001E2591">
        <w:t xml:space="preserve"> organic phase was dried over MgSO</w:t>
      </w:r>
      <w:r w:rsidR="001E2591">
        <w:rPr>
          <w:vertAlign w:val="subscript"/>
        </w:rPr>
        <w:t>4</w:t>
      </w:r>
      <w:r w:rsidR="00D079A8">
        <w:t xml:space="preserve"> and </w:t>
      </w:r>
      <w:r w:rsidR="00C95AFA">
        <w:t>concentrated under vacuo. Purification by flash chromatography (</w:t>
      </w:r>
      <w:r w:rsidR="00E112CE">
        <w:t>20:1, cyclohexane:ethyl acetate)</w:t>
      </w:r>
      <w:r w:rsidR="00C95AFA">
        <w:t xml:space="preserve"> afforded</w:t>
      </w:r>
      <w:r w:rsidR="00421025">
        <w:t xml:space="preserve"> </w:t>
      </w:r>
      <w:r w:rsidR="00B960AA" w:rsidRPr="00B960AA">
        <w:rPr>
          <w:b/>
          <w:bCs/>
        </w:rPr>
        <w:t>2</w:t>
      </w:r>
      <w:r w:rsidR="00E112CE">
        <w:t xml:space="preserve"> </w:t>
      </w:r>
      <w:r w:rsidR="002C1244">
        <w:t>mixed</w:t>
      </w:r>
      <w:r w:rsidR="0028163D">
        <w:t xml:space="preserve"> 50:50</w:t>
      </w:r>
      <w:r w:rsidR="002C1244">
        <w:t xml:space="preserve"> with acetate</w:t>
      </w:r>
      <w:r w:rsidR="00E112CE">
        <w:t xml:space="preserve"> </w:t>
      </w:r>
      <w:r w:rsidR="00E112CE" w:rsidRPr="00B960AA">
        <w:rPr>
          <w:b/>
          <w:bCs/>
        </w:rPr>
        <w:t>S</w:t>
      </w:r>
      <w:r w:rsidR="00B960AA" w:rsidRPr="00B960AA">
        <w:rPr>
          <w:b/>
          <w:bCs/>
        </w:rPr>
        <w:t>1</w:t>
      </w:r>
      <w:r w:rsidR="00E112CE" w:rsidRPr="00B960AA">
        <w:rPr>
          <w:b/>
          <w:bCs/>
        </w:rPr>
        <w:t>-</w:t>
      </w:r>
      <w:r w:rsidR="00B960AA" w:rsidRPr="00B960AA">
        <w:rPr>
          <w:b/>
          <w:bCs/>
        </w:rPr>
        <w:t>2</w:t>
      </w:r>
      <w:r w:rsidR="002C1244">
        <w:t xml:space="preserve"> as a white solid</w:t>
      </w:r>
      <w:r w:rsidR="00F13055">
        <w:t xml:space="preserve"> (</w:t>
      </w:r>
      <w:r w:rsidR="00E713F0">
        <w:t>2</w:t>
      </w:r>
      <w:r w:rsidR="00133A7C">
        <w:t xml:space="preserve">3 mg, </w:t>
      </w:r>
      <w:r w:rsidR="004B7F2A">
        <w:t xml:space="preserve">0.08 mmol, </w:t>
      </w:r>
      <w:r w:rsidR="00133A7C">
        <w:t>66%</w:t>
      </w:r>
      <w:r w:rsidR="004B7F2A">
        <w:t>)</w:t>
      </w:r>
      <w:r w:rsidR="002C1244">
        <w:t xml:space="preserve">. </w:t>
      </w:r>
      <w:r w:rsidR="008D76EA">
        <w:t>The acetate is presumably generated by</w:t>
      </w:r>
      <w:r w:rsidR="00622118">
        <w:t xml:space="preserve"> unreacted</w:t>
      </w:r>
      <w:r w:rsidR="008D76EA">
        <w:t xml:space="preserve"> </w:t>
      </w:r>
      <w:r w:rsidR="00622118">
        <w:t>carbonylmonoimidazole</w:t>
      </w:r>
      <w:r w:rsidR="00E04245">
        <w:t>-</w:t>
      </w:r>
      <w:r w:rsidR="00622118">
        <w:t>drimenol adduct that reacts with ethyl acetate during quenching, which could</w:t>
      </w:r>
      <w:r w:rsidR="00E04245">
        <w:t xml:space="preserve"> potentially</w:t>
      </w:r>
      <w:r w:rsidR="00622118">
        <w:t xml:space="preserve"> be circumvented by longer reaction time</w:t>
      </w:r>
      <w:r w:rsidR="00B960AA">
        <w:t>s</w:t>
      </w:r>
      <w:r w:rsidR="00622118">
        <w:t>.</w:t>
      </w:r>
    </w:p>
    <w:p w14:paraId="20D83686" w14:textId="7C2124D0" w:rsidR="00B13C01" w:rsidRDefault="00E722C4" w:rsidP="00B13C01">
      <w:pPr>
        <w:rPr>
          <w:rFonts w:cs="Arial"/>
        </w:rPr>
      </w:pPr>
      <w:r>
        <w:t>Dioxanone</w:t>
      </w:r>
      <w:r w:rsidR="00237D1E">
        <w:t xml:space="preserve"> </w:t>
      </w:r>
      <w:r w:rsidR="00B960AA" w:rsidRPr="00B960AA">
        <w:rPr>
          <w:b/>
          <w:bCs/>
        </w:rPr>
        <w:t>2</w:t>
      </w:r>
      <w:r>
        <w:t xml:space="preserve"> </w:t>
      </w:r>
      <w:r w:rsidR="001A580E" w:rsidRPr="00DC4CE6">
        <w:t>C</w:t>
      </w:r>
      <w:r w:rsidR="001A580E">
        <w:rPr>
          <w:vertAlign w:val="subscript"/>
        </w:rPr>
        <w:t>16</w:t>
      </w:r>
      <w:r w:rsidR="001A580E" w:rsidRPr="00DC4CE6">
        <w:t>H</w:t>
      </w:r>
      <w:r w:rsidR="001A580E">
        <w:rPr>
          <w:vertAlign w:val="subscript"/>
        </w:rPr>
        <w:t>26</w:t>
      </w:r>
      <w:r w:rsidR="001A580E" w:rsidRPr="00DC4CE6">
        <w:t>O</w:t>
      </w:r>
      <w:r w:rsidR="001A580E">
        <w:rPr>
          <w:vertAlign w:val="subscript"/>
        </w:rPr>
        <w:t xml:space="preserve">3 </w:t>
      </w:r>
      <w:r w:rsidR="003554C4" w:rsidRPr="004A0410">
        <w:rPr>
          <w:b/>
          <w:bCs/>
          <w:vertAlign w:val="superscript"/>
        </w:rPr>
        <w:t>1</w:t>
      </w:r>
      <w:r w:rsidR="00B13C01" w:rsidRPr="004A0410">
        <w:rPr>
          <w:rFonts w:cs="Arial"/>
          <w:b/>
        </w:rPr>
        <w:t>H-NMR (CDCl</w:t>
      </w:r>
      <w:r w:rsidR="00B13C01" w:rsidRPr="004A0410">
        <w:rPr>
          <w:rFonts w:cs="Arial"/>
          <w:b/>
          <w:vertAlign w:val="subscript"/>
        </w:rPr>
        <w:t>3</w:t>
      </w:r>
      <w:r w:rsidR="00B13C01" w:rsidRPr="004A0410">
        <w:rPr>
          <w:rFonts w:cs="Arial"/>
          <w:b/>
        </w:rPr>
        <w:t xml:space="preserve">, 500 MHz): </w:t>
      </w:r>
      <w:r w:rsidR="00B13C01" w:rsidRPr="004A0410">
        <w:rPr>
          <w:rFonts w:cs="Arial"/>
        </w:rPr>
        <w:t>δ (ppm) 0.8</w:t>
      </w:r>
      <w:r w:rsidR="0006195F" w:rsidRPr="004A0410">
        <w:rPr>
          <w:rFonts w:cs="Arial"/>
        </w:rPr>
        <w:t>3</w:t>
      </w:r>
      <w:r w:rsidR="00B13C01" w:rsidRPr="004A0410">
        <w:rPr>
          <w:rFonts w:cs="Arial"/>
        </w:rPr>
        <w:t xml:space="preserve"> (s, 3H), 0.</w:t>
      </w:r>
      <w:r w:rsidR="0006195F" w:rsidRPr="004A0410">
        <w:rPr>
          <w:rFonts w:cs="Arial"/>
        </w:rPr>
        <w:t>89</w:t>
      </w:r>
      <w:r w:rsidR="00B13C01" w:rsidRPr="004A0410">
        <w:rPr>
          <w:rFonts w:cs="Arial"/>
        </w:rPr>
        <w:t xml:space="preserve"> (s, 3H), 0.</w:t>
      </w:r>
      <w:r w:rsidR="0006195F" w:rsidRPr="004A0410">
        <w:rPr>
          <w:rFonts w:cs="Arial"/>
        </w:rPr>
        <w:t>91</w:t>
      </w:r>
      <w:r w:rsidR="00B13C01" w:rsidRPr="004A0410">
        <w:rPr>
          <w:rFonts w:cs="Arial"/>
        </w:rPr>
        <w:t xml:space="preserve"> (s, 3H), 1.31-1.51 (m, </w:t>
      </w:r>
      <w:r w:rsidR="004A0410" w:rsidRPr="004A0410">
        <w:rPr>
          <w:rFonts w:cs="Arial"/>
        </w:rPr>
        <w:t>6</w:t>
      </w:r>
      <w:r w:rsidR="00B13C01" w:rsidRPr="004A0410">
        <w:rPr>
          <w:rFonts w:cs="Arial"/>
        </w:rPr>
        <w:t>H), 1.</w:t>
      </w:r>
      <w:r w:rsidR="00255146" w:rsidRPr="004A0410">
        <w:rPr>
          <w:rFonts w:cs="Arial"/>
        </w:rPr>
        <w:t>48</w:t>
      </w:r>
      <w:r w:rsidR="00B13C01" w:rsidRPr="004A0410">
        <w:rPr>
          <w:rFonts w:cs="Arial"/>
        </w:rPr>
        <w:t xml:space="preserve"> (s, 3H), 1.63-1.74 (m, 6H), 2.05 (m, 2H), </w:t>
      </w:r>
      <w:r w:rsidR="00DB0415" w:rsidRPr="004A0410">
        <w:rPr>
          <w:rFonts w:cs="Arial"/>
        </w:rPr>
        <w:t>4.33-4.42</w:t>
      </w:r>
      <w:r w:rsidR="00B13C01" w:rsidRPr="004A0410">
        <w:rPr>
          <w:rFonts w:cs="Arial"/>
        </w:rPr>
        <w:t xml:space="preserve"> (</w:t>
      </w:r>
      <w:r w:rsidR="00DB0415" w:rsidRPr="004A0410">
        <w:rPr>
          <w:rFonts w:cs="Arial"/>
        </w:rPr>
        <w:t>m</w:t>
      </w:r>
      <w:r w:rsidR="00B13C01" w:rsidRPr="004A0410">
        <w:rPr>
          <w:rFonts w:cs="Arial"/>
        </w:rPr>
        <w:t xml:space="preserve">, </w:t>
      </w:r>
      <w:r w:rsidR="00D03733" w:rsidRPr="004A0410">
        <w:rPr>
          <w:rFonts w:cs="Arial"/>
        </w:rPr>
        <w:t>2</w:t>
      </w:r>
      <w:r w:rsidR="00B13C01" w:rsidRPr="004A0410">
        <w:rPr>
          <w:rFonts w:cs="Arial"/>
        </w:rPr>
        <w:t>H).</w:t>
      </w:r>
      <w:r w:rsidR="00B13C01" w:rsidRPr="004A0410">
        <w:rPr>
          <w:rFonts w:cs="Arial"/>
          <w:b/>
          <w:vertAlign w:val="superscript"/>
        </w:rPr>
        <w:t xml:space="preserve"> </w:t>
      </w:r>
      <w:r w:rsidR="00B13C01" w:rsidRPr="008B08AE">
        <w:rPr>
          <w:rFonts w:cs="Arial"/>
          <w:b/>
          <w:vertAlign w:val="superscript"/>
        </w:rPr>
        <w:t>13</w:t>
      </w:r>
      <w:r w:rsidR="00B13C01" w:rsidRPr="008B08AE">
        <w:rPr>
          <w:rFonts w:cs="Arial"/>
          <w:b/>
        </w:rPr>
        <w:t>C-NMR (CDCl</w:t>
      </w:r>
      <w:r w:rsidR="00B13C01" w:rsidRPr="008B08AE">
        <w:rPr>
          <w:rFonts w:cs="Arial"/>
          <w:b/>
          <w:vertAlign w:val="subscript"/>
        </w:rPr>
        <w:t>3</w:t>
      </w:r>
      <w:r w:rsidR="00B13C01" w:rsidRPr="008B08AE">
        <w:rPr>
          <w:rFonts w:cs="Arial"/>
          <w:b/>
        </w:rPr>
        <w:t xml:space="preserve">, 125 MHz): </w:t>
      </w:r>
      <w:r w:rsidR="00B13C01" w:rsidRPr="008B08AE">
        <w:rPr>
          <w:rFonts w:cs="Arial"/>
        </w:rPr>
        <w:t xml:space="preserve">δ (ppm) </w:t>
      </w:r>
      <w:r w:rsidR="00FE1E85" w:rsidRPr="008B08AE">
        <w:rPr>
          <w:rFonts w:cs="Arial"/>
        </w:rPr>
        <w:t>15.44</w:t>
      </w:r>
      <w:r w:rsidR="00B13C01" w:rsidRPr="008B08AE">
        <w:rPr>
          <w:rFonts w:cs="Arial"/>
        </w:rPr>
        <w:t xml:space="preserve"> (1C), 1</w:t>
      </w:r>
      <w:r w:rsidR="00FE1E85" w:rsidRPr="008B08AE">
        <w:rPr>
          <w:rFonts w:cs="Arial"/>
        </w:rPr>
        <w:t>8</w:t>
      </w:r>
      <w:r w:rsidR="00B13C01" w:rsidRPr="008B08AE">
        <w:rPr>
          <w:rFonts w:cs="Arial"/>
        </w:rPr>
        <w:t>.</w:t>
      </w:r>
      <w:r w:rsidR="00FE1E85" w:rsidRPr="008B08AE">
        <w:rPr>
          <w:rFonts w:cs="Arial"/>
        </w:rPr>
        <w:t>12</w:t>
      </w:r>
      <w:r w:rsidR="00B13C01" w:rsidRPr="008B08AE">
        <w:rPr>
          <w:rFonts w:cs="Arial"/>
        </w:rPr>
        <w:t xml:space="preserve"> (1C), 19.</w:t>
      </w:r>
      <w:r w:rsidR="0020793B" w:rsidRPr="008B08AE">
        <w:rPr>
          <w:rFonts w:cs="Arial"/>
        </w:rPr>
        <w:t>5</w:t>
      </w:r>
      <w:r w:rsidR="00B13C01" w:rsidRPr="008B08AE">
        <w:rPr>
          <w:rFonts w:cs="Arial"/>
        </w:rPr>
        <w:t>2 (1C),</w:t>
      </w:r>
      <w:r w:rsidR="00CF0C86" w:rsidRPr="008B08AE">
        <w:rPr>
          <w:rFonts w:cs="Arial"/>
        </w:rPr>
        <w:t xml:space="preserve"> 21.37 (1C), 21.72 (1C),</w:t>
      </w:r>
      <w:r w:rsidR="00B13C01" w:rsidRPr="008B08AE">
        <w:rPr>
          <w:rFonts w:cs="Arial"/>
        </w:rPr>
        <w:t xml:space="preserve"> </w:t>
      </w:r>
      <w:r w:rsidR="008B08AE" w:rsidRPr="008B08AE">
        <w:rPr>
          <w:rFonts w:cs="Arial"/>
        </w:rPr>
        <w:t xml:space="preserve">33.08 (1C), 33.31 (1C), </w:t>
      </w:r>
      <w:r w:rsidR="0020793B" w:rsidRPr="008B08AE">
        <w:rPr>
          <w:rFonts w:cs="Arial"/>
        </w:rPr>
        <w:t>36.33</w:t>
      </w:r>
      <w:r w:rsidR="00B13C01" w:rsidRPr="008B08AE">
        <w:rPr>
          <w:rFonts w:cs="Arial"/>
        </w:rPr>
        <w:t xml:space="preserve"> (1C), </w:t>
      </w:r>
      <w:r w:rsidR="0020793B" w:rsidRPr="008B08AE">
        <w:rPr>
          <w:rFonts w:cs="Arial"/>
        </w:rPr>
        <w:t>39.00</w:t>
      </w:r>
      <w:r w:rsidR="00B13C01" w:rsidRPr="008B08AE">
        <w:rPr>
          <w:rFonts w:cs="Arial"/>
        </w:rPr>
        <w:t xml:space="preserve"> (1C) </w:t>
      </w:r>
      <w:r w:rsidR="0020793B" w:rsidRPr="008B08AE">
        <w:rPr>
          <w:rFonts w:cs="Arial"/>
        </w:rPr>
        <w:t>39.88</w:t>
      </w:r>
      <w:r w:rsidR="00B13C01" w:rsidRPr="008B08AE">
        <w:rPr>
          <w:rFonts w:cs="Arial"/>
        </w:rPr>
        <w:t xml:space="preserve"> (1C), </w:t>
      </w:r>
      <w:r w:rsidR="0020793B" w:rsidRPr="008B08AE">
        <w:rPr>
          <w:rFonts w:cs="Arial"/>
        </w:rPr>
        <w:t>41.53</w:t>
      </w:r>
      <w:r w:rsidR="00B13C01" w:rsidRPr="008B08AE">
        <w:rPr>
          <w:rFonts w:cs="Arial"/>
        </w:rPr>
        <w:t xml:space="preserve"> (1C), </w:t>
      </w:r>
      <w:r w:rsidR="0020793B" w:rsidRPr="008B08AE">
        <w:rPr>
          <w:rFonts w:cs="Arial"/>
        </w:rPr>
        <w:t>51.31</w:t>
      </w:r>
      <w:r w:rsidR="00B13C01" w:rsidRPr="008B08AE">
        <w:rPr>
          <w:rFonts w:cs="Arial"/>
        </w:rPr>
        <w:t xml:space="preserve"> (1C), </w:t>
      </w:r>
      <w:r w:rsidR="0020793B" w:rsidRPr="008B08AE">
        <w:rPr>
          <w:rFonts w:cs="Arial"/>
        </w:rPr>
        <w:t>55.8</w:t>
      </w:r>
      <w:r w:rsidR="00945617" w:rsidRPr="008B08AE">
        <w:rPr>
          <w:rFonts w:cs="Arial"/>
        </w:rPr>
        <w:t>1</w:t>
      </w:r>
      <w:r w:rsidR="00B13C01" w:rsidRPr="008B08AE">
        <w:rPr>
          <w:rFonts w:cs="Arial"/>
        </w:rPr>
        <w:t xml:space="preserve"> (1C), </w:t>
      </w:r>
      <w:r w:rsidR="00945617" w:rsidRPr="008B08AE">
        <w:rPr>
          <w:rFonts w:cs="Arial"/>
        </w:rPr>
        <w:t>66.87</w:t>
      </w:r>
      <w:r w:rsidR="00B13C01" w:rsidRPr="008B08AE">
        <w:rPr>
          <w:rFonts w:cs="Arial"/>
        </w:rPr>
        <w:t xml:space="preserve"> (1C), </w:t>
      </w:r>
      <w:r w:rsidR="00945617" w:rsidRPr="008B08AE">
        <w:rPr>
          <w:rFonts w:cs="Arial"/>
        </w:rPr>
        <w:t>82.17</w:t>
      </w:r>
      <w:r w:rsidR="00B13C01" w:rsidRPr="008B08AE">
        <w:rPr>
          <w:rFonts w:cs="Arial"/>
        </w:rPr>
        <w:t xml:space="preserve"> (1C), </w:t>
      </w:r>
      <w:r w:rsidR="00945617" w:rsidRPr="008B08AE">
        <w:rPr>
          <w:rFonts w:cs="Arial"/>
        </w:rPr>
        <w:t>149.15</w:t>
      </w:r>
      <w:r w:rsidR="00B13C01" w:rsidRPr="008B08AE">
        <w:rPr>
          <w:rFonts w:cs="Arial"/>
        </w:rPr>
        <w:t xml:space="preserve"> (1C)</w:t>
      </w:r>
      <w:r w:rsidR="00945617" w:rsidRPr="008B08AE">
        <w:rPr>
          <w:rFonts w:cs="Arial"/>
        </w:rPr>
        <w:t>.</w:t>
      </w:r>
      <w:r w:rsidR="00B13C01" w:rsidRPr="008B08AE">
        <w:rPr>
          <w:rFonts w:cs="Arial"/>
        </w:rPr>
        <w:t xml:space="preserve"> </w:t>
      </w:r>
    </w:p>
    <w:p w14:paraId="303FBC0B" w14:textId="608B32F1" w:rsidR="00846F06" w:rsidRPr="00E75F6F" w:rsidRDefault="00E722C4" w:rsidP="00CA73AA">
      <w:r>
        <w:lastRenderedPageBreak/>
        <w:t>Drimenol acetate</w:t>
      </w:r>
      <w:r w:rsidR="00237D1E">
        <w:t xml:space="preserve"> </w:t>
      </w:r>
      <w:r w:rsidR="00237D1E" w:rsidRPr="00B960AA">
        <w:rPr>
          <w:b/>
          <w:bCs/>
        </w:rPr>
        <w:t>S</w:t>
      </w:r>
      <w:r w:rsidR="00B960AA" w:rsidRPr="00B960AA">
        <w:rPr>
          <w:b/>
          <w:bCs/>
        </w:rPr>
        <w:t>1</w:t>
      </w:r>
      <w:r w:rsidR="00237D1E" w:rsidRPr="00B960AA">
        <w:rPr>
          <w:b/>
          <w:bCs/>
        </w:rPr>
        <w:t>-</w:t>
      </w:r>
      <w:r w:rsidR="00B960AA" w:rsidRPr="00B960AA">
        <w:rPr>
          <w:b/>
          <w:bCs/>
        </w:rPr>
        <w:t>2</w:t>
      </w:r>
      <w:r>
        <w:t xml:space="preserve"> </w:t>
      </w:r>
      <w:r w:rsidRPr="00DC4CE6">
        <w:t>C</w:t>
      </w:r>
      <w:r>
        <w:rPr>
          <w:vertAlign w:val="subscript"/>
        </w:rPr>
        <w:t>17</w:t>
      </w:r>
      <w:r w:rsidRPr="00DC4CE6">
        <w:t>H</w:t>
      </w:r>
      <w:r>
        <w:rPr>
          <w:vertAlign w:val="subscript"/>
        </w:rPr>
        <w:t>30</w:t>
      </w:r>
      <w:r w:rsidRPr="00DC4CE6">
        <w:t>O</w:t>
      </w:r>
      <w:r>
        <w:rPr>
          <w:vertAlign w:val="subscript"/>
        </w:rPr>
        <w:t>3</w:t>
      </w:r>
      <w:r w:rsidR="00BE5AAB">
        <w:rPr>
          <w:vertAlign w:val="subscript"/>
        </w:rPr>
        <w:t xml:space="preserve"> </w:t>
      </w:r>
      <w:r w:rsidR="003554C4" w:rsidRPr="00CA73AA">
        <w:rPr>
          <w:b/>
          <w:bCs/>
          <w:vertAlign w:val="superscript"/>
        </w:rPr>
        <w:t>1</w:t>
      </w:r>
      <w:r w:rsidR="00BE5AAB" w:rsidRPr="00CA73AA">
        <w:rPr>
          <w:rFonts w:cs="Arial"/>
          <w:b/>
        </w:rPr>
        <w:t>H-NMR (CDCl</w:t>
      </w:r>
      <w:r w:rsidR="00BE5AAB" w:rsidRPr="00CA73AA">
        <w:rPr>
          <w:rFonts w:cs="Arial"/>
          <w:b/>
          <w:vertAlign w:val="subscript"/>
        </w:rPr>
        <w:t>3</w:t>
      </w:r>
      <w:r w:rsidR="00BE5AAB" w:rsidRPr="00CA73AA">
        <w:rPr>
          <w:rFonts w:cs="Arial"/>
          <w:b/>
        </w:rPr>
        <w:t xml:space="preserve">, 500 MHz): </w:t>
      </w:r>
      <w:r w:rsidR="00BE5AAB" w:rsidRPr="00CA73AA">
        <w:rPr>
          <w:rFonts w:cs="Arial"/>
        </w:rPr>
        <w:t>δ (ppm) 0.8</w:t>
      </w:r>
      <w:r w:rsidR="00E42366" w:rsidRPr="00CA73AA">
        <w:rPr>
          <w:rFonts w:cs="Arial"/>
        </w:rPr>
        <w:t>1</w:t>
      </w:r>
      <w:r w:rsidR="00BE5AAB" w:rsidRPr="00CA73AA">
        <w:rPr>
          <w:rFonts w:cs="Arial"/>
        </w:rPr>
        <w:t xml:space="preserve"> (s, 3H), 0.</w:t>
      </w:r>
      <w:r w:rsidR="00E42366" w:rsidRPr="00CA73AA">
        <w:rPr>
          <w:rFonts w:cs="Arial"/>
        </w:rPr>
        <w:t>86</w:t>
      </w:r>
      <w:r w:rsidR="00BE5AAB" w:rsidRPr="00CA73AA">
        <w:rPr>
          <w:rFonts w:cs="Arial"/>
        </w:rPr>
        <w:t xml:space="preserve"> (s, 3H), 0.88 (s, 3H), </w:t>
      </w:r>
      <w:r w:rsidR="00186718" w:rsidRPr="00CA73AA">
        <w:rPr>
          <w:rFonts w:cs="Arial"/>
        </w:rPr>
        <w:t>0.93-0.97</w:t>
      </w:r>
      <w:r w:rsidR="00E42366" w:rsidRPr="00CA73AA">
        <w:rPr>
          <w:rFonts w:cs="Arial"/>
        </w:rPr>
        <w:t xml:space="preserve"> </w:t>
      </w:r>
      <w:r w:rsidR="00BE5AAB" w:rsidRPr="00CA73AA">
        <w:rPr>
          <w:rFonts w:cs="Arial"/>
        </w:rPr>
        <w:t>(</w:t>
      </w:r>
      <w:r w:rsidR="00186718" w:rsidRPr="00CA73AA">
        <w:rPr>
          <w:rFonts w:cs="Arial"/>
        </w:rPr>
        <w:t>m</w:t>
      </w:r>
      <w:r w:rsidR="00BE5AAB" w:rsidRPr="00CA73AA">
        <w:rPr>
          <w:rFonts w:cs="Arial"/>
        </w:rPr>
        <w:t xml:space="preserve">, </w:t>
      </w:r>
      <w:r w:rsidR="007300A2" w:rsidRPr="00CA73AA">
        <w:rPr>
          <w:rFonts w:cs="Arial"/>
        </w:rPr>
        <w:t>1</w:t>
      </w:r>
      <w:r w:rsidR="00BE5AAB" w:rsidRPr="00CA73AA">
        <w:rPr>
          <w:rFonts w:cs="Arial"/>
        </w:rPr>
        <w:t>H), 1.</w:t>
      </w:r>
      <w:r w:rsidR="004F508B" w:rsidRPr="00CA73AA">
        <w:rPr>
          <w:rFonts w:cs="Arial"/>
        </w:rPr>
        <w:t>18</w:t>
      </w:r>
      <w:r w:rsidR="00BE5AAB" w:rsidRPr="00CA73AA">
        <w:rPr>
          <w:rFonts w:cs="Arial"/>
        </w:rPr>
        <w:t xml:space="preserve"> (s, 3H), 1.</w:t>
      </w:r>
      <w:r w:rsidR="009B3876" w:rsidRPr="00CA73AA">
        <w:rPr>
          <w:rFonts w:cs="Arial"/>
        </w:rPr>
        <w:t>29</w:t>
      </w:r>
      <w:r w:rsidR="00BE5AAB" w:rsidRPr="00CA73AA">
        <w:rPr>
          <w:rFonts w:cs="Arial"/>
        </w:rPr>
        <w:t>-1.</w:t>
      </w:r>
      <w:r w:rsidR="009B3876" w:rsidRPr="00CA73AA">
        <w:rPr>
          <w:rFonts w:cs="Arial"/>
        </w:rPr>
        <w:t>63</w:t>
      </w:r>
      <w:r w:rsidR="00BE5AAB" w:rsidRPr="00CA73AA">
        <w:rPr>
          <w:rFonts w:cs="Arial"/>
        </w:rPr>
        <w:t xml:space="preserve"> (m, </w:t>
      </w:r>
      <w:r w:rsidR="00EB4AFF" w:rsidRPr="00CA73AA">
        <w:rPr>
          <w:rFonts w:cs="Arial"/>
        </w:rPr>
        <w:t>9</w:t>
      </w:r>
      <w:r w:rsidR="00BE5AAB" w:rsidRPr="00CA73AA">
        <w:rPr>
          <w:rFonts w:cs="Arial"/>
        </w:rPr>
        <w:t>H),</w:t>
      </w:r>
      <w:r w:rsidR="009B3876" w:rsidRPr="00CA73AA">
        <w:rPr>
          <w:rFonts w:cs="Arial"/>
        </w:rPr>
        <w:t xml:space="preserve"> 1.62-1.69 (m, 2H)</w:t>
      </w:r>
      <w:r w:rsidR="00144538" w:rsidRPr="00CA73AA">
        <w:rPr>
          <w:rFonts w:cs="Arial"/>
        </w:rPr>
        <w:t xml:space="preserve">, 1.87-1.91 (dt, </w:t>
      </w:r>
      <w:r w:rsidR="00144538" w:rsidRPr="00CA73AA">
        <w:rPr>
          <w:rFonts w:cs="Arial"/>
          <w:i/>
          <w:iCs/>
        </w:rPr>
        <w:t>J</w:t>
      </w:r>
      <w:r w:rsidR="00144538" w:rsidRPr="00CA73AA">
        <w:rPr>
          <w:rFonts w:cs="Arial"/>
          <w:i/>
          <w:iCs/>
          <w:vertAlign w:val="subscript"/>
        </w:rPr>
        <w:t>d</w:t>
      </w:r>
      <w:r w:rsidR="00144538" w:rsidRPr="00CA73AA">
        <w:rPr>
          <w:rFonts w:cs="Arial"/>
        </w:rPr>
        <w:t xml:space="preserve"> = </w:t>
      </w:r>
      <w:r w:rsidR="00514E8C" w:rsidRPr="00CA73AA">
        <w:rPr>
          <w:rFonts w:cs="Arial"/>
        </w:rPr>
        <w:t xml:space="preserve">6.4 Hz, </w:t>
      </w:r>
      <w:r w:rsidR="00514E8C" w:rsidRPr="00CA73AA">
        <w:rPr>
          <w:rFonts w:cs="Arial"/>
          <w:i/>
          <w:iCs/>
        </w:rPr>
        <w:t>J</w:t>
      </w:r>
      <w:r w:rsidR="00514E8C" w:rsidRPr="00CA73AA">
        <w:rPr>
          <w:rFonts w:cs="Arial"/>
          <w:i/>
          <w:iCs/>
          <w:vertAlign w:val="subscript"/>
        </w:rPr>
        <w:t>t</w:t>
      </w:r>
      <w:r w:rsidR="00514E8C" w:rsidRPr="00CA73AA">
        <w:rPr>
          <w:rFonts w:cs="Arial"/>
          <w:vertAlign w:val="subscript"/>
        </w:rPr>
        <w:t xml:space="preserve"> </w:t>
      </w:r>
      <w:r w:rsidR="00514E8C" w:rsidRPr="00CA73AA">
        <w:rPr>
          <w:rFonts w:cs="Arial"/>
        </w:rPr>
        <w:t>= 3.1 Hz, 1H),</w:t>
      </w:r>
      <w:r w:rsidR="00BE5AAB" w:rsidRPr="00CA73AA">
        <w:rPr>
          <w:rFonts w:cs="Arial"/>
        </w:rPr>
        <w:t xml:space="preserve"> 2.05 (</w:t>
      </w:r>
      <w:r w:rsidR="00E42366" w:rsidRPr="00CA73AA">
        <w:rPr>
          <w:rFonts w:cs="Arial"/>
        </w:rPr>
        <w:t>s</w:t>
      </w:r>
      <w:r w:rsidR="00BE5AAB" w:rsidRPr="00CA73AA">
        <w:rPr>
          <w:rFonts w:cs="Arial"/>
        </w:rPr>
        <w:t xml:space="preserve">, </w:t>
      </w:r>
      <w:r w:rsidR="00E42366" w:rsidRPr="00CA73AA">
        <w:rPr>
          <w:rFonts w:cs="Arial"/>
        </w:rPr>
        <w:t>3</w:t>
      </w:r>
      <w:r w:rsidR="00BE5AAB" w:rsidRPr="00CA73AA">
        <w:rPr>
          <w:rFonts w:cs="Arial"/>
        </w:rPr>
        <w:t xml:space="preserve">H), </w:t>
      </w:r>
      <w:r w:rsidR="00D32352" w:rsidRPr="00CA73AA">
        <w:rPr>
          <w:rFonts w:cs="Arial"/>
        </w:rPr>
        <w:t>4.23-4.37 (</w:t>
      </w:r>
      <w:r w:rsidR="00C92780" w:rsidRPr="00CA73AA">
        <w:rPr>
          <w:rFonts w:cs="Arial"/>
        </w:rPr>
        <w:t xml:space="preserve">qd, </w:t>
      </w:r>
      <w:r w:rsidR="00C92780" w:rsidRPr="00CA73AA">
        <w:rPr>
          <w:rFonts w:cs="Arial"/>
          <w:i/>
          <w:iCs/>
        </w:rPr>
        <w:t>J</w:t>
      </w:r>
      <w:r w:rsidR="00C92780" w:rsidRPr="00CA73AA">
        <w:rPr>
          <w:rFonts w:cs="Arial"/>
          <w:i/>
          <w:iCs/>
          <w:vertAlign w:val="subscript"/>
        </w:rPr>
        <w:t>q</w:t>
      </w:r>
      <w:r w:rsidR="00C92780" w:rsidRPr="00CA73AA">
        <w:rPr>
          <w:rFonts w:cs="Arial"/>
          <w:i/>
          <w:iCs/>
        </w:rPr>
        <w:t xml:space="preserve"> </w:t>
      </w:r>
      <w:r w:rsidR="00C92780" w:rsidRPr="00CA73AA">
        <w:rPr>
          <w:rFonts w:cs="Arial"/>
        </w:rPr>
        <w:t>= 27.3</w:t>
      </w:r>
      <w:r w:rsidR="00122614" w:rsidRPr="00CA73AA">
        <w:rPr>
          <w:rFonts w:cs="Arial"/>
        </w:rPr>
        <w:t xml:space="preserve"> Hz</w:t>
      </w:r>
      <w:r w:rsidR="00C92780" w:rsidRPr="00CA73AA">
        <w:rPr>
          <w:rFonts w:cs="Arial"/>
        </w:rPr>
        <w:t xml:space="preserve">, </w:t>
      </w:r>
      <w:r w:rsidR="00C92780" w:rsidRPr="00CA73AA">
        <w:rPr>
          <w:rFonts w:cs="Arial"/>
          <w:i/>
          <w:iCs/>
        </w:rPr>
        <w:t>J</w:t>
      </w:r>
      <w:r w:rsidR="00C92780" w:rsidRPr="00CA73AA">
        <w:rPr>
          <w:rFonts w:cs="Arial"/>
          <w:i/>
          <w:iCs/>
          <w:vertAlign w:val="subscript"/>
        </w:rPr>
        <w:t>d</w:t>
      </w:r>
      <w:r w:rsidR="00C92780" w:rsidRPr="00CA73AA">
        <w:rPr>
          <w:rFonts w:cs="Arial"/>
        </w:rPr>
        <w:t xml:space="preserve"> = </w:t>
      </w:r>
      <w:r w:rsidR="00122614" w:rsidRPr="00CA73AA">
        <w:rPr>
          <w:rFonts w:cs="Arial"/>
        </w:rPr>
        <w:t>2.4 Hz, 2H</w:t>
      </w:r>
      <w:r w:rsidR="00BE5AAB" w:rsidRPr="00CA73AA">
        <w:rPr>
          <w:rFonts w:cs="Arial"/>
        </w:rPr>
        <w:t>).</w:t>
      </w:r>
      <w:r w:rsidR="00BE5AAB" w:rsidRPr="00CA73AA">
        <w:rPr>
          <w:rFonts w:cs="Arial"/>
          <w:b/>
          <w:vertAlign w:val="superscript"/>
        </w:rPr>
        <w:t xml:space="preserve"> 13</w:t>
      </w:r>
      <w:r w:rsidR="00BE5AAB" w:rsidRPr="00CA73AA">
        <w:rPr>
          <w:rFonts w:cs="Arial"/>
          <w:b/>
        </w:rPr>
        <w:t>C-NMR (CDCl</w:t>
      </w:r>
      <w:r w:rsidR="00BE5AAB" w:rsidRPr="00CA73AA">
        <w:rPr>
          <w:rFonts w:cs="Arial"/>
          <w:b/>
          <w:vertAlign w:val="subscript"/>
        </w:rPr>
        <w:t>3</w:t>
      </w:r>
      <w:r w:rsidR="00BE5AAB" w:rsidRPr="00CA73AA">
        <w:rPr>
          <w:rFonts w:cs="Arial"/>
          <w:b/>
        </w:rPr>
        <w:t xml:space="preserve">, 125 MHz): </w:t>
      </w:r>
      <w:r w:rsidR="00BE5AAB" w:rsidRPr="00CA73AA">
        <w:rPr>
          <w:rFonts w:cs="Arial"/>
        </w:rPr>
        <w:t xml:space="preserve">δ (ppm) </w:t>
      </w:r>
      <w:r w:rsidR="0021055F" w:rsidRPr="00CA73AA">
        <w:rPr>
          <w:rFonts w:cs="Arial"/>
        </w:rPr>
        <w:t xml:space="preserve">15.81 (1C), </w:t>
      </w:r>
      <w:r w:rsidR="00043597" w:rsidRPr="00CA73AA">
        <w:rPr>
          <w:rFonts w:cs="Arial"/>
        </w:rPr>
        <w:t xml:space="preserve">18.4 (1C), 20.3 (1C), 21.31 (1C), 21.50 (1C), </w:t>
      </w:r>
      <w:r w:rsidR="002A4E42" w:rsidRPr="00CA73AA">
        <w:rPr>
          <w:rFonts w:cs="Arial"/>
        </w:rPr>
        <w:t xml:space="preserve">24.58 (1C), 33.19 (1C), 33.45 (1C), </w:t>
      </w:r>
      <w:r w:rsidR="007D0408" w:rsidRPr="00CA73AA">
        <w:rPr>
          <w:rFonts w:cs="Arial"/>
        </w:rPr>
        <w:t>38.08 (1C), 39.70</w:t>
      </w:r>
      <w:r w:rsidR="00BE5AAB" w:rsidRPr="00CA73AA">
        <w:rPr>
          <w:rFonts w:cs="Arial"/>
        </w:rPr>
        <w:t xml:space="preserve"> (1C),</w:t>
      </w:r>
      <w:r w:rsidR="007D0408" w:rsidRPr="00CA73AA">
        <w:rPr>
          <w:rFonts w:cs="Arial"/>
        </w:rPr>
        <w:t xml:space="preserve"> 41.71</w:t>
      </w:r>
      <w:r w:rsidR="00BE5AAB" w:rsidRPr="00CA73AA">
        <w:rPr>
          <w:rFonts w:cs="Arial"/>
        </w:rPr>
        <w:t xml:space="preserve"> (1C), </w:t>
      </w:r>
      <w:r w:rsidR="00CA73AA" w:rsidRPr="00CA73AA">
        <w:rPr>
          <w:rFonts w:cs="Arial"/>
        </w:rPr>
        <w:t xml:space="preserve">43.94 </w:t>
      </w:r>
      <w:r w:rsidR="00BE5AAB" w:rsidRPr="00CA73AA">
        <w:rPr>
          <w:rFonts w:cs="Arial"/>
        </w:rPr>
        <w:t xml:space="preserve">(1C), </w:t>
      </w:r>
      <w:r w:rsidR="00CA73AA" w:rsidRPr="00CA73AA">
        <w:rPr>
          <w:rFonts w:cs="Arial"/>
        </w:rPr>
        <w:t>55.70</w:t>
      </w:r>
      <w:r w:rsidR="00BE5AAB" w:rsidRPr="00CA73AA">
        <w:rPr>
          <w:rFonts w:cs="Arial"/>
        </w:rPr>
        <w:t xml:space="preserve"> (1C), </w:t>
      </w:r>
      <w:r w:rsidR="00CA73AA" w:rsidRPr="00CA73AA">
        <w:rPr>
          <w:rFonts w:cs="Arial"/>
        </w:rPr>
        <w:t xml:space="preserve">59.95 </w:t>
      </w:r>
      <w:r w:rsidR="00BE5AAB" w:rsidRPr="00CA73AA">
        <w:rPr>
          <w:rFonts w:cs="Arial"/>
        </w:rPr>
        <w:t xml:space="preserve">(1C) </w:t>
      </w:r>
      <w:r w:rsidR="00CA73AA" w:rsidRPr="00CA73AA">
        <w:rPr>
          <w:rFonts w:cs="Arial"/>
        </w:rPr>
        <w:t>62.57</w:t>
      </w:r>
      <w:r w:rsidR="00BE5AAB" w:rsidRPr="00CA73AA">
        <w:rPr>
          <w:rFonts w:cs="Arial"/>
        </w:rPr>
        <w:t xml:space="preserve"> (1C), </w:t>
      </w:r>
      <w:r w:rsidR="00CA73AA" w:rsidRPr="00CA73AA">
        <w:rPr>
          <w:rFonts w:cs="Arial"/>
        </w:rPr>
        <w:t xml:space="preserve">72.59 </w:t>
      </w:r>
      <w:r w:rsidR="00BE5AAB" w:rsidRPr="00CA73AA">
        <w:rPr>
          <w:rFonts w:cs="Arial"/>
        </w:rPr>
        <w:t xml:space="preserve">(1C), </w:t>
      </w:r>
      <w:r w:rsidR="00CA73AA" w:rsidRPr="00CA73AA">
        <w:rPr>
          <w:rFonts w:cs="Arial"/>
        </w:rPr>
        <w:t>171.34.</w:t>
      </w:r>
      <w:r w:rsidR="006E64A9">
        <w:rPr>
          <w:rFonts w:cs="Arial"/>
        </w:rPr>
        <w:br/>
      </w:r>
    </w:p>
    <w:p w14:paraId="5FD2B3C9" w14:textId="178FF77B" w:rsidR="00CC0546" w:rsidRDefault="00CC0546" w:rsidP="00CC0546">
      <w:pPr>
        <w:pStyle w:val="Heading2"/>
        <w:rPr>
          <w:lang w:val="en-US"/>
        </w:rPr>
      </w:pPr>
      <w:bookmarkStart w:id="137" w:name="_Toc134623423"/>
      <w:r w:rsidRPr="00E33D08">
        <w:rPr>
          <w:lang w:val="en-US"/>
        </w:rPr>
        <w:t xml:space="preserve">Synthesis of </w:t>
      </w:r>
      <w:bookmarkEnd w:id="125"/>
      <w:bookmarkEnd w:id="126"/>
      <w:bookmarkEnd w:id="127"/>
      <w:r w:rsidR="00E33D08">
        <w:rPr>
          <w:rFonts w:ascii="Open Sans" w:hAnsi="Open Sans" w:cs="Open Sans"/>
        </w:rPr>
        <w:t>α</w:t>
      </w:r>
      <w:r w:rsidR="00E33D08" w:rsidRPr="00E33D08">
        <w:rPr>
          <w:lang w:val="en-US"/>
        </w:rPr>
        <w:t>-pyrone m</w:t>
      </w:r>
      <w:r w:rsidR="00E33D08">
        <w:rPr>
          <w:lang w:val="en-US"/>
        </w:rPr>
        <w:t xml:space="preserve">eroterpenes </w:t>
      </w:r>
      <w:r w:rsidR="00DB73C8">
        <w:rPr>
          <w:lang w:val="en-US"/>
        </w:rPr>
        <w:t>(</w:t>
      </w:r>
      <w:r w:rsidR="00492F92">
        <w:rPr>
          <w:lang w:val="en-US"/>
        </w:rPr>
        <w:t>28</w:t>
      </w:r>
      <w:r w:rsidR="00DB73C8">
        <w:rPr>
          <w:lang w:val="en-US"/>
        </w:rPr>
        <w:t>)</w:t>
      </w:r>
      <w:r w:rsidR="00492F92">
        <w:rPr>
          <w:lang w:val="en-US"/>
        </w:rPr>
        <w:t xml:space="preserve"> and </w:t>
      </w:r>
      <w:r w:rsidR="00DB73C8">
        <w:rPr>
          <w:lang w:val="en-US"/>
        </w:rPr>
        <w:t>(</w:t>
      </w:r>
      <w:r w:rsidR="00492F92">
        <w:rPr>
          <w:lang w:val="en-US"/>
        </w:rPr>
        <w:t>29</w:t>
      </w:r>
      <w:r w:rsidR="00DB73C8">
        <w:rPr>
          <w:lang w:val="en-US"/>
        </w:rPr>
        <w:t>)</w:t>
      </w:r>
      <w:bookmarkEnd w:id="137"/>
    </w:p>
    <w:p w14:paraId="7586EB3C" w14:textId="3BFCB8C4" w:rsidR="006C12BE" w:rsidRPr="006C12BE" w:rsidRDefault="007E1A6D" w:rsidP="006C12BE">
      <w:pPr>
        <w:jc w:val="center"/>
      </w:pPr>
      <w:r>
        <w:rPr>
          <w:noProof/>
        </w:rPr>
        <w:object w:dxaOrig="8527" w:dyaOrig="2231" w14:anchorId="53FB4698">
          <v:shape id="_x0000_i1045" type="#_x0000_t75" alt="" style="width:423.85pt;height:113.8pt" o:ole="">
            <v:imagedata r:id="rId69" o:title=""/>
          </v:shape>
          <o:OLEObject Type="Embed" ProgID="ChemDraw.Document.6.0" ShapeID="_x0000_i1045" DrawAspect="Content" ObjectID="_1745237633" r:id="rId70"/>
        </w:object>
      </w:r>
    </w:p>
    <w:p w14:paraId="6B9B338D" w14:textId="6808D088" w:rsidR="00B960AA" w:rsidRPr="003C05AE" w:rsidRDefault="00FB76B7" w:rsidP="00B960AA">
      <w:r w:rsidRPr="00F869FC">
        <w:t xml:space="preserve">The reaction is carried out under nitrogen atmosphere. </w:t>
      </w:r>
      <w:r w:rsidRPr="008E7B51">
        <w:t>A solution</w:t>
      </w:r>
      <w:r>
        <w:t xml:space="preserve"> of</w:t>
      </w:r>
      <w:r w:rsidRPr="008E7B51">
        <w:t xml:space="preserve"> LiHMDS (</w:t>
      </w:r>
      <w:r>
        <w:t>83.5 mg, 0.5 mmol</w:t>
      </w:r>
      <w:r w:rsidRPr="008E7B51">
        <w:t xml:space="preserve">) in THF </w:t>
      </w:r>
      <w:r>
        <w:t xml:space="preserve">(1 mL) </w:t>
      </w:r>
      <w:r w:rsidRPr="008E7B51">
        <w:t xml:space="preserve">was stirred at </w:t>
      </w:r>
      <w:r>
        <w:t>–</w:t>
      </w:r>
      <w:r w:rsidRPr="008E7B51">
        <w:t xml:space="preserve">78°C. To this was added a solution of </w:t>
      </w:r>
      <w:r>
        <w:t>a</w:t>
      </w:r>
      <w:r w:rsidRPr="008E7B51">
        <w:t xml:space="preserve">,ß-unsaturated ester </w:t>
      </w:r>
      <w:r w:rsidR="007E1A6D">
        <w:rPr>
          <w:b/>
          <w:bCs/>
        </w:rPr>
        <w:t>16</w:t>
      </w:r>
      <w:r w:rsidRPr="008E7B51">
        <w:t xml:space="preserve"> (</w:t>
      </w:r>
      <w:r>
        <w:t>4</w:t>
      </w:r>
      <w:r w:rsidRPr="008E7B51">
        <w:t>0 mg, 0.1</w:t>
      </w:r>
      <w:r>
        <w:t>25</w:t>
      </w:r>
      <w:r w:rsidRPr="008E7B51">
        <w:t xml:space="preserve"> mmol) in 3 mL of </w:t>
      </w:r>
      <w:r w:rsidR="00B634D3">
        <w:t xml:space="preserve">dry </w:t>
      </w:r>
      <w:r w:rsidRPr="008E7B51">
        <w:t>THF. The mixture was stirred for 25 min and then treated with</w:t>
      </w:r>
      <w:r w:rsidR="00EA20B0">
        <w:t xml:space="preserve"> </w:t>
      </w:r>
      <w:r w:rsidR="007D2A0D">
        <w:t xml:space="preserve">nicotinoate </w:t>
      </w:r>
      <w:r w:rsidRPr="008E7B51">
        <w:t>(5</w:t>
      </w:r>
      <w:r w:rsidR="008B6C68">
        <w:t>7</w:t>
      </w:r>
      <w:r>
        <w:t xml:space="preserve"> </w:t>
      </w:r>
      <w:r w:rsidR="008B6C68">
        <w:t>mg</w:t>
      </w:r>
      <w:r w:rsidRPr="008E7B51">
        <w:t>, 0.</w:t>
      </w:r>
      <w:r>
        <w:t>375</w:t>
      </w:r>
      <w:r w:rsidRPr="008E7B51">
        <w:t xml:space="preserve"> mmol)</w:t>
      </w:r>
      <w:r w:rsidR="00B634D3">
        <w:t xml:space="preserve"> or benzoate</w:t>
      </w:r>
      <w:r w:rsidR="001C69DE">
        <w:t xml:space="preserve"> (</w:t>
      </w:r>
      <w:r w:rsidR="002825AC">
        <w:t>53.6 µL, 0.375 mmol)</w:t>
      </w:r>
      <w:r w:rsidRPr="008E7B51">
        <w:t xml:space="preserve">. </w:t>
      </w:r>
      <w:r w:rsidR="00EF090C" w:rsidRPr="00EF090C">
        <w:t>During the reaction</w:t>
      </w:r>
      <w:r w:rsidR="00096C1C">
        <w:t>,</w:t>
      </w:r>
      <w:r w:rsidR="00EF090C" w:rsidRPr="00EF090C">
        <w:t xml:space="preserve"> the mixture was allowed to warm up to room temperature</w:t>
      </w:r>
      <w:r w:rsidR="00096C1C">
        <w:t xml:space="preserve"> to facilitat</w:t>
      </w:r>
      <w:r w:rsidR="00C75140">
        <w:t>e the intramolecular Aldol condensation</w:t>
      </w:r>
      <w:r w:rsidR="00EF090C">
        <w:t xml:space="preserve">. </w:t>
      </w:r>
      <w:r w:rsidRPr="008E7B51">
        <w:t>After 2 h the reaction mixture was quenched with H</w:t>
      </w:r>
      <w:r w:rsidRPr="00A17475">
        <w:rPr>
          <w:vertAlign w:val="subscript"/>
        </w:rPr>
        <w:t>2</w:t>
      </w:r>
      <w:r w:rsidRPr="008E7B51">
        <w:t>O (15 mL) and extracted with EtOAc (3</w:t>
      </w:r>
      <w:r>
        <w:t xml:space="preserve"> </w:t>
      </w:r>
      <w:r w:rsidRPr="008E7B51">
        <w:t>x</w:t>
      </w:r>
      <w:r>
        <w:t xml:space="preserve"> </w:t>
      </w:r>
      <w:r w:rsidRPr="008E7B51">
        <w:t>20 mL)</w:t>
      </w:r>
      <w:r>
        <w:t>.</w:t>
      </w:r>
      <w:r w:rsidRPr="008E7B51">
        <w:t xml:space="preserve"> </w:t>
      </w:r>
      <w:r>
        <w:t>T</w:t>
      </w:r>
      <w:r w:rsidRPr="008E7B51">
        <w:t>he combined organic layers were washed with brine (10 mL)</w:t>
      </w:r>
      <w:r>
        <w:t>,</w:t>
      </w:r>
      <w:r w:rsidRPr="008E7B51">
        <w:t xml:space="preserve"> dried </w:t>
      </w:r>
      <w:r>
        <w:t>over Mg</w:t>
      </w:r>
      <w:r w:rsidRPr="008E7B51">
        <w:t>SO</w:t>
      </w:r>
      <w:r>
        <w:rPr>
          <w:vertAlign w:val="subscript"/>
        </w:rPr>
        <w:t>4</w:t>
      </w:r>
      <w:r w:rsidRPr="008E7B51">
        <w:t xml:space="preserve"> and </w:t>
      </w:r>
      <w:r>
        <w:t>purified by flash chromatography (</w:t>
      </w:r>
      <w:r>
        <w:rPr>
          <w:rFonts w:cs="Arial"/>
        </w:rPr>
        <w:t>CH:EtOAc</w:t>
      </w:r>
      <w:r>
        <w:t>, 20:1)</w:t>
      </w:r>
      <w:r w:rsidR="00834F67">
        <w:t xml:space="preserve"> to afford </w:t>
      </w:r>
      <w:r w:rsidR="006A6C71">
        <w:t xml:space="preserve">bright yellow </w:t>
      </w:r>
      <w:r w:rsidR="007E1A6D" w:rsidRPr="00B960AA">
        <w:rPr>
          <w:b/>
          <w:bCs/>
        </w:rPr>
        <w:t>28</w:t>
      </w:r>
      <w:r w:rsidR="006A6C71">
        <w:t xml:space="preserve"> (31 mg, 0.08 mmol, 64%).</w:t>
      </w:r>
      <w:r w:rsidR="009F0CFA">
        <w:t xml:space="preserve"> </w:t>
      </w:r>
      <w:r w:rsidR="00B960AA">
        <w:t xml:space="preserve">For product </w:t>
      </w:r>
      <w:r w:rsidR="007E1A6D" w:rsidRPr="00B960AA">
        <w:rPr>
          <w:b/>
          <w:bCs/>
        </w:rPr>
        <w:t>29</w:t>
      </w:r>
      <w:r w:rsidR="004B6F89" w:rsidRPr="004B6F89">
        <w:t>,</w:t>
      </w:r>
      <w:r w:rsidR="00E16C8B">
        <w:t xml:space="preserve"> </w:t>
      </w:r>
      <w:r w:rsidR="00AB6DCB">
        <w:t xml:space="preserve">108 </w:t>
      </w:r>
      <w:r w:rsidR="00B960AA" w:rsidRPr="00650210">
        <w:t>µL (0.</w:t>
      </w:r>
      <w:r w:rsidR="00E16C8B">
        <w:t>125</w:t>
      </w:r>
      <w:r w:rsidR="00B960AA" w:rsidRPr="00650210">
        <w:t xml:space="preserve"> mmol) mesitylene as an internal standard was added to determine the yield</w:t>
      </w:r>
      <w:r w:rsidR="00B960AA">
        <w:t xml:space="preserve">. (0.0086 mmol, </w:t>
      </w:r>
      <w:r w:rsidR="007B79D2">
        <w:t>28</w:t>
      </w:r>
      <w:r w:rsidR="00B960AA">
        <w:t>%)</w:t>
      </w:r>
    </w:p>
    <w:p w14:paraId="60B9D733" w14:textId="5CB58696" w:rsidR="00F6510F" w:rsidRDefault="00735390" w:rsidP="00F6510F">
      <w:pPr>
        <w:rPr>
          <w:rFonts w:cs="Arial"/>
        </w:rPr>
      </w:pPr>
      <w:r w:rsidRPr="00E468EE">
        <w:t>C</w:t>
      </w:r>
      <w:r w:rsidR="00E468EE" w:rsidRPr="00E468EE">
        <w:rPr>
          <w:vertAlign w:val="subscript"/>
        </w:rPr>
        <w:t>25</w:t>
      </w:r>
      <w:r w:rsidRPr="00E468EE">
        <w:t>H</w:t>
      </w:r>
      <w:r w:rsidRPr="00E468EE">
        <w:rPr>
          <w:vertAlign w:val="subscript"/>
        </w:rPr>
        <w:t>3</w:t>
      </w:r>
      <w:r w:rsidR="00E468EE" w:rsidRPr="00E468EE">
        <w:rPr>
          <w:vertAlign w:val="subscript"/>
        </w:rPr>
        <w:t>1</w:t>
      </w:r>
      <w:r w:rsidR="00E468EE">
        <w:t>N</w:t>
      </w:r>
      <w:r w:rsidRPr="00E468EE">
        <w:t>O</w:t>
      </w:r>
      <w:r w:rsidRPr="00E468EE">
        <w:rPr>
          <w:vertAlign w:val="subscript"/>
        </w:rPr>
        <w:t xml:space="preserve">3 </w:t>
      </w:r>
      <w:r w:rsidR="00FB76B7" w:rsidRPr="00015F74">
        <w:rPr>
          <w:rFonts w:cs="Arial"/>
          <w:b/>
          <w:vertAlign w:val="superscript"/>
        </w:rPr>
        <w:t>1</w:t>
      </w:r>
      <w:r w:rsidR="00FB76B7" w:rsidRPr="00015F74">
        <w:rPr>
          <w:rFonts w:cs="Arial"/>
          <w:b/>
        </w:rPr>
        <w:t>H-NMR (CDCl</w:t>
      </w:r>
      <w:r w:rsidR="00FB76B7" w:rsidRPr="00015F74">
        <w:rPr>
          <w:rFonts w:cs="Arial"/>
          <w:b/>
          <w:vertAlign w:val="subscript"/>
        </w:rPr>
        <w:t>3</w:t>
      </w:r>
      <w:r w:rsidR="00FB76B7" w:rsidRPr="00015F74">
        <w:rPr>
          <w:rFonts w:cs="Arial"/>
          <w:b/>
        </w:rPr>
        <w:t xml:space="preserve">, 500 MHz): </w:t>
      </w:r>
      <w:r w:rsidR="00FB76B7" w:rsidRPr="0002201C">
        <w:rPr>
          <w:rFonts w:cs="Arial"/>
        </w:rPr>
        <w:t>δ (ppm) 0.85 (s, 3H), 0.9</w:t>
      </w:r>
      <w:r w:rsidR="0038389B">
        <w:rPr>
          <w:rFonts w:cs="Arial"/>
        </w:rPr>
        <w:t>0</w:t>
      </w:r>
      <w:r w:rsidR="00FB76B7" w:rsidRPr="0002201C">
        <w:rPr>
          <w:rFonts w:cs="Arial"/>
        </w:rPr>
        <w:t xml:space="preserve"> (s, 3H),</w:t>
      </w:r>
      <w:r w:rsidR="0038389B">
        <w:rPr>
          <w:rFonts w:cs="Arial"/>
        </w:rPr>
        <w:t xml:space="preserve"> 0.91 (s, 3H),</w:t>
      </w:r>
      <w:r w:rsidR="00FB76B7" w:rsidRPr="0002201C">
        <w:rPr>
          <w:rFonts w:cs="Arial"/>
        </w:rPr>
        <w:t xml:space="preserve"> </w:t>
      </w:r>
      <w:r w:rsidR="00857B12">
        <w:rPr>
          <w:rFonts w:cs="Arial"/>
        </w:rPr>
        <w:t xml:space="preserve">1.26 (s, 3H), </w:t>
      </w:r>
      <w:r w:rsidR="00FB76B7" w:rsidRPr="0002201C">
        <w:rPr>
          <w:rFonts w:cs="Arial"/>
        </w:rPr>
        <w:t>1.31-1.5</w:t>
      </w:r>
      <w:r w:rsidR="002233A4">
        <w:rPr>
          <w:rFonts w:cs="Arial"/>
        </w:rPr>
        <w:t>4</w:t>
      </w:r>
      <w:r w:rsidR="00FB76B7" w:rsidRPr="0002201C">
        <w:rPr>
          <w:rFonts w:cs="Arial"/>
        </w:rPr>
        <w:t xml:space="preserve"> (m, </w:t>
      </w:r>
      <w:r w:rsidR="002233A4">
        <w:rPr>
          <w:rFonts w:cs="Arial"/>
        </w:rPr>
        <w:t>5</w:t>
      </w:r>
      <w:r w:rsidR="00FB76B7" w:rsidRPr="0002201C">
        <w:rPr>
          <w:rFonts w:cs="Arial"/>
        </w:rPr>
        <w:t>H), 1.63-1.</w:t>
      </w:r>
      <w:r w:rsidR="0060101B">
        <w:rPr>
          <w:rFonts w:cs="Arial"/>
        </w:rPr>
        <w:t>83</w:t>
      </w:r>
      <w:r w:rsidR="00FB76B7" w:rsidRPr="0002201C">
        <w:rPr>
          <w:rFonts w:cs="Arial"/>
        </w:rPr>
        <w:t xml:space="preserve"> (m, 6H), </w:t>
      </w:r>
      <w:r w:rsidR="00263299">
        <w:rPr>
          <w:rFonts w:cs="Arial"/>
        </w:rPr>
        <w:t xml:space="preserve">2.10-2.14 </w:t>
      </w:r>
      <w:r w:rsidR="00FB76B7" w:rsidRPr="0002201C">
        <w:rPr>
          <w:rFonts w:cs="Arial"/>
        </w:rPr>
        <w:t>(</w:t>
      </w:r>
      <w:r w:rsidR="00263299">
        <w:rPr>
          <w:rFonts w:cs="Arial"/>
        </w:rPr>
        <w:t>dt</w:t>
      </w:r>
      <w:r w:rsidR="00FB76B7" w:rsidRPr="0002201C">
        <w:rPr>
          <w:rFonts w:cs="Arial"/>
        </w:rPr>
        <w:t>,</w:t>
      </w:r>
      <w:r w:rsidR="00263299">
        <w:rPr>
          <w:rFonts w:cs="Arial"/>
        </w:rPr>
        <w:t xml:space="preserve"> </w:t>
      </w:r>
      <w:r w:rsidR="00263299" w:rsidRPr="00F46C8B">
        <w:rPr>
          <w:rFonts w:cs="Arial"/>
          <w:i/>
          <w:iCs/>
        </w:rPr>
        <w:t>J</w:t>
      </w:r>
      <w:r w:rsidR="00263299" w:rsidRPr="00F46C8B">
        <w:rPr>
          <w:rFonts w:cs="Arial"/>
          <w:i/>
          <w:iCs/>
          <w:vertAlign w:val="subscript"/>
        </w:rPr>
        <w:t xml:space="preserve">d </w:t>
      </w:r>
      <w:r w:rsidR="00263299">
        <w:rPr>
          <w:rFonts w:cs="Arial"/>
        </w:rPr>
        <w:t>=</w:t>
      </w:r>
      <w:r w:rsidR="00FB76B7" w:rsidRPr="0002201C">
        <w:rPr>
          <w:rFonts w:cs="Arial"/>
        </w:rPr>
        <w:t xml:space="preserve"> </w:t>
      </w:r>
      <w:r w:rsidR="002B556F">
        <w:rPr>
          <w:rFonts w:cs="Arial"/>
        </w:rPr>
        <w:t>8.5</w:t>
      </w:r>
      <w:r w:rsidR="007044E4">
        <w:rPr>
          <w:rFonts w:cs="Arial"/>
        </w:rPr>
        <w:t xml:space="preserve"> Hz, </w:t>
      </w:r>
      <w:r w:rsidR="007044E4" w:rsidRPr="00F46C8B">
        <w:rPr>
          <w:rFonts w:cs="Arial"/>
          <w:i/>
          <w:iCs/>
        </w:rPr>
        <w:t>J</w:t>
      </w:r>
      <w:r w:rsidR="002B556F" w:rsidRPr="002B556F">
        <w:rPr>
          <w:rFonts w:cs="Arial"/>
          <w:i/>
          <w:iCs/>
          <w:vertAlign w:val="subscript"/>
        </w:rPr>
        <w:t>d</w:t>
      </w:r>
      <w:r w:rsidR="007044E4" w:rsidRPr="00F46C8B">
        <w:rPr>
          <w:rFonts w:cs="Arial"/>
          <w:i/>
          <w:iCs/>
        </w:rPr>
        <w:t xml:space="preserve"> </w:t>
      </w:r>
      <w:r w:rsidR="007044E4">
        <w:rPr>
          <w:rFonts w:cs="Arial"/>
        </w:rPr>
        <w:t xml:space="preserve">= </w:t>
      </w:r>
      <w:r w:rsidR="002B556F">
        <w:rPr>
          <w:rFonts w:cs="Arial"/>
        </w:rPr>
        <w:t>2</w:t>
      </w:r>
      <w:r w:rsidR="00145ED1">
        <w:rPr>
          <w:rFonts w:cs="Arial"/>
        </w:rPr>
        <w:t>.4 Hz, 1</w:t>
      </w:r>
      <w:r w:rsidR="00FB76B7" w:rsidRPr="0002201C">
        <w:rPr>
          <w:rFonts w:cs="Arial"/>
        </w:rPr>
        <w:t>H),</w:t>
      </w:r>
      <w:r w:rsidR="00145ED1">
        <w:rPr>
          <w:rFonts w:cs="Arial"/>
        </w:rPr>
        <w:t xml:space="preserve"> 2.18-2.27 (m, </w:t>
      </w:r>
      <w:r w:rsidR="00F46C8B">
        <w:rPr>
          <w:rFonts w:cs="Arial"/>
        </w:rPr>
        <w:t xml:space="preserve">1H), 2.5-2.57 (dd, </w:t>
      </w:r>
      <w:r w:rsidR="00F46C8B" w:rsidRPr="00F46C8B">
        <w:rPr>
          <w:rFonts w:cs="Arial"/>
          <w:i/>
          <w:iCs/>
        </w:rPr>
        <w:t>J</w:t>
      </w:r>
      <w:r w:rsidR="00F46C8B" w:rsidRPr="00F46C8B">
        <w:rPr>
          <w:rFonts w:cs="Arial"/>
          <w:i/>
          <w:iCs/>
          <w:vertAlign w:val="subscript"/>
        </w:rPr>
        <w:t xml:space="preserve">d </w:t>
      </w:r>
      <w:r w:rsidR="00F46C8B">
        <w:rPr>
          <w:rFonts w:cs="Arial"/>
        </w:rPr>
        <w:t>=</w:t>
      </w:r>
      <w:r w:rsidR="00F46C8B" w:rsidRPr="0002201C">
        <w:rPr>
          <w:rFonts w:cs="Arial"/>
        </w:rPr>
        <w:t xml:space="preserve"> </w:t>
      </w:r>
      <w:r w:rsidR="00F46C8B">
        <w:rPr>
          <w:rFonts w:cs="Arial"/>
        </w:rPr>
        <w:t xml:space="preserve">6.2 Hz, </w:t>
      </w:r>
      <w:r w:rsidR="00F46C8B" w:rsidRPr="00F46C8B">
        <w:rPr>
          <w:rFonts w:cs="Arial"/>
          <w:i/>
          <w:iCs/>
        </w:rPr>
        <w:t>J</w:t>
      </w:r>
      <w:r w:rsidR="00F46C8B" w:rsidRPr="00F46C8B">
        <w:rPr>
          <w:rFonts w:cs="Arial"/>
          <w:i/>
          <w:iCs/>
          <w:vertAlign w:val="subscript"/>
        </w:rPr>
        <w:t>t</w:t>
      </w:r>
      <w:r w:rsidR="00F46C8B" w:rsidRPr="00F46C8B">
        <w:rPr>
          <w:rFonts w:cs="Arial"/>
          <w:i/>
          <w:iCs/>
        </w:rPr>
        <w:t xml:space="preserve"> </w:t>
      </w:r>
      <w:r w:rsidR="00F46C8B">
        <w:rPr>
          <w:rFonts w:cs="Arial"/>
        </w:rPr>
        <w:t>= 3.4 Hz</w:t>
      </w:r>
      <w:r w:rsidR="001646FD">
        <w:rPr>
          <w:rFonts w:cs="Arial"/>
        </w:rPr>
        <w:t>, 1H)</w:t>
      </w:r>
      <w:r w:rsidR="00FB76B7" w:rsidRPr="0002201C">
        <w:rPr>
          <w:rFonts w:cs="Arial"/>
        </w:rPr>
        <w:t>, 6.43 (s, 1H), 7.3</w:t>
      </w:r>
      <w:r w:rsidR="001646FD">
        <w:rPr>
          <w:rFonts w:cs="Arial"/>
        </w:rPr>
        <w:t xml:space="preserve">6-7.31 </w:t>
      </w:r>
      <w:r w:rsidR="00FB76B7" w:rsidRPr="0002201C">
        <w:rPr>
          <w:rFonts w:cs="Arial"/>
        </w:rPr>
        <w:t>(m, 1H), 8.1 (d</w:t>
      </w:r>
      <w:r w:rsidR="00CF3539">
        <w:rPr>
          <w:rFonts w:cs="Arial"/>
        </w:rPr>
        <w:t>t</w:t>
      </w:r>
      <w:r w:rsidR="00FB76B7" w:rsidRPr="0002201C">
        <w:rPr>
          <w:rFonts w:cs="Arial"/>
        </w:rPr>
        <w:t xml:space="preserve">, </w:t>
      </w:r>
      <w:r w:rsidR="00FB76B7" w:rsidRPr="0002201C">
        <w:rPr>
          <w:rFonts w:cs="Arial"/>
          <w:i/>
          <w:iCs/>
        </w:rPr>
        <w:t>J</w:t>
      </w:r>
      <w:r w:rsidR="00CF3539" w:rsidRPr="004B78A5">
        <w:rPr>
          <w:rFonts w:cs="Arial"/>
          <w:i/>
          <w:iCs/>
          <w:vertAlign w:val="subscript"/>
        </w:rPr>
        <w:t>d</w:t>
      </w:r>
      <w:r w:rsidR="00FB76B7" w:rsidRPr="0002201C">
        <w:rPr>
          <w:rFonts w:cs="Arial"/>
          <w:i/>
          <w:iCs/>
        </w:rPr>
        <w:t xml:space="preserve"> </w:t>
      </w:r>
      <w:r w:rsidR="00FB76B7" w:rsidRPr="0002201C">
        <w:rPr>
          <w:rFonts w:cs="Arial"/>
        </w:rPr>
        <w:t xml:space="preserve">= </w:t>
      </w:r>
      <w:r w:rsidR="009C2F35">
        <w:rPr>
          <w:rFonts w:cs="Arial"/>
        </w:rPr>
        <w:t>4</w:t>
      </w:r>
      <w:r w:rsidR="00FB76B7" w:rsidRPr="0002201C">
        <w:rPr>
          <w:rFonts w:cs="Arial"/>
        </w:rPr>
        <w:t>.4 Hz,</w:t>
      </w:r>
      <w:r w:rsidR="009C2F35">
        <w:rPr>
          <w:rFonts w:cs="Arial"/>
        </w:rPr>
        <w:t xml:space="preserve"> </w:t>
      </w:r>
      <w:r w:rsidR="009C2F35" w:rsidRPr="004B78A5">
        <w:rPr>
          <w:rFonts w:cs="Arial"/>
          <w:i/>
          <w:iCs/>
        </w:rPr>
        <w:t>J</w:t>
      </w:r>
      <w:r w:rsidR="009C2F35" w:rsidRPr="004B78A5">
        <w:rPr>
          <w:rFonts w:cs="Arial"/>
          <w:i/>
          <w:iCs/>
          <w:vertAlign w:val="subscript"/>
        </w:rPr>
        <w:t>t</w:t>
      </w:r>
      <w:r w:rsidR="009C2F35">
        <w:rPr>
          <w:rFonts w:cs="Arial"/>
        </w:rPr>
        <w:t xml:space="preserve"> = 1.8 Hz,</w:t>
      </w:r>
      <w:r w:rsidR="00FB76B7" w:rsidRPr="0002201C">
        <w:rPr>
          <w:rFonts w:cs="Arial"/>
        </w:rPr>
        <w:t xml:space="preserve"> 1H), 8.65 (d</w:t>
      </w:r>
      <w:r w:rsidR="004B78A5">
        <w:rPr>
          <w:rFonts w:cs="Arial"/>
        </w:rPr>
        <w:t>d</w:t>
      </w:r>
      <w:r w:rsidR="00FB76B7" w:rsidRPr="0002201C">
        <w:rPr>
          <w:rFonts w:cs="Arial"/>
        </w:rPr>
        <w:t xml:space="preserve">, </w:t>
      </w:r>
      <w:r w:rsidR="004B78A5" w:rsidRPr="0002201C">
        <w:rPr>
          <w:rFonts w:cs="Arial"/>
          <w:i/>
          <w:iCs/>
        </w:rPr>
        <w:t>J</w:t>
      </w:r>
      <w:r w:rsidR="004B78A5" w:rsidRPr="004B78A5">
        <w:rPr>
          <w:rFonts w:cs="Arial"/>
          <w:i/>
          <w:iCs/>
          <w:vertAlign w:val="subscript"/>
        </w:rPr>
        <w:t>d</w:t>
      </w:r>
      <w:r w:rsidR="004B78A5" w:rsidRPr="0002201C">
        <w:rPr>
          <w:rFonts w:cs="Arial"/>
          <w:i/>
          <w:iCs/>
        </w:rPr>
        <w:t xml:space="preserve"> </w:t>
      </w:r>
      <w:r w:rsidR="004B78A5" w:rsidRPr="0002201C">
        <w:rPr>
          <w:rFonts w:cs="Arial"/>
        </w:rPr>
        <w:t xml:space="preserve">= </w:t>
      </w:r>
      <w:r w:rsidR="00B71EDB">
        <w:rPr>
          <w:rFonts w:cs="Arial"/>
        </w:rPr>
        <w:t>2.3</w:t>
      </w:r>
      <w:r w:rsidR="004B78A5" w:rsidRPr="0002201C">
        <w:rPr>
          <w:rFonts w:cs="Arial"/>
        </w:rPr>
        <w:t xml:space="preserve"> Hz,</w:t>
      </w:r>
      <w:r w:rsidR="004B78A5">
        <w:rPr>
          <w:rFonts w:cs="Arial"/>
        </w:rPr>
        <w:t xml:space="preserve"> </w:t>
      </w:r>
      <w:r w:rsidR="004B78A5" w:rsidRPr="004B78A5">
        <w:rPr>
          <w:rFonts w:cs="Arial"/>
          <w:i/>
          <w:iCs/>
        </w:rPr>
        <w:t>J</w:t>
      </w:r>
      <w:r w:rsidR="00B71EDB">
        <w:rPr>
          <w:rFonts w:cs="Arial"/>
          <w:i/>
          <w:iCs/>
          <w:vertAlign w:val="subscript"/>
        </w:rPr>
        <w:t>d</w:t>
      </w:r>
      <w:r w:rsidR="004B78A5">
        <w:rPr>
          <w:rFonts w:cs="Arial"/>
        </w:rPr>
        <w:t xml:space="preserve"> = </w:t>
      </w:r>
      <w:r w:rsidR="00B71EDB">
        <w:rPr>
          <w:rFonts w:cs="Arial"/>
        </w:rPr>
        <w:t>0.7</w:t>
      </w:r>
      <w:r w:rsidR="004B78A5">
        <w:rPr>
          <w:rFonts w:cs="Arial"/>
        </w:rPr>
        <w:t xml:space="preserve"> Hz,</w:t>
      </w:r>
      <w:r w:rsidR="004B78A5" w:rsidRPr="0002201C">
        <w:rPr>
          <w:rFonts w:cs="Arial"/>
        </w:rPr>
        <w:t xml:space="preserve"> 1H</w:t>
      </w:r>
      <w:r w:rsidR="00FB76B7" w:rsidRPr="0002201C">
        <w:rPr>
          <w:rFonts w:cs="Arial"/>
        </w:rPr>
        <w:t>), 9.0 (</w:t>
      </w:r>
      <w:r w:rsidR="00746022">
        <w:rPr>
          <w:rFonts w:cs="Arial"/>
        </w:rPr>
        <w:t>d</w:t>
      </w:r>
      <w:r w:rsidR="00FB76B7" w:rsidRPr="0002201C">
        <w:rPr>
          <w:rFonts w:cs="Arial"/>
        </w:rPr>
        <w:t>,</w:t>
      </w:r>
      <w:r w:rsidR="00746022">
        <w:rPr>
          <w:rFonts w:cs="Arial"/>
        </w:rPr>
        <w:t xml:space="preserve"> </w:t>
      </w:r>
      <w:r w:rsidR="00746022" w:rsidRPr="00746022">
        <w:rPr>
          <w:rFonts w:cs="Arial"/>
          <w:i/>
          <w:iCs/>
        </w:rPr>
        <w:t>J</w:t>
      </w:r>
      <w:r w:rsidR="00746022">
        <w:rPr>
          <w:rFonts w:cs="Arial"/>
        </w:rPr>
        <w:t xml:space="preserve"> =</w:t>
      </w:r>
      <w:r w:rsidR="00FB76B7" w:rsidRPr="0002201C">
        <w:rPr>
          <w:rFonts w:cs="Arial"/>
        </w:rPr>
        <w:t xml:space="preserve"> </w:t>
      </w:r>
      <w:r w:rsidR="00746022">
        <w:rPr>
          <w:rFonts w:cs="Arial"/>
        </w:rPr>
        <w:t xml:space="preserve">1 Hz, </w:t>
      </w:r>
      <w:r w:rsidR="00FB76B7" w:rsidRPr="0002201C">
        <w:rPr>
          <w:rFonts w:cs="Arial"/>
        </w:rPr>
        <w:t>1H).</w:t>
      </w:r>
      <w:r w:rsidR="0031079D" w:rsidRPr="001D7E96">
        <w:rPr>
          <w:rFonts w:cs="Arial"/>
          <w:b/>
          <w:vertAlign w:val="superscript"/>
        </w:rPr>
        <w:t xml:space="preserve"> 13</w:t>
      </w:r>
      <w:r w:rsidR="0031079D" w:rsidRPr="001D7E96">
        <w:rPr>
          <w:rFonts w:cs="Arial"/>
          <w:b/>
        </w:rPr>
        <w:t>C-NMR (CDCl</w:t>
      </w:r>
      <w:r w:rsidR="0031079D" w:rsidRPr="001D7E96">
        <w:rPr>
          <w:rFonts w:cs="Arial"/>
          <w:b/>
          <w:vertAlign w:val="subscript"/>
        </w:rPr>
        <w:t>3</w:t>
      </w:r>
      <w:r w:rsidR="0031079D" w:rsidRPr="001D7E96">
        <w:rPr>
          <w:rFonts w:cs="Arial"/>
          <w:b/>
        </w:rPr>
        <w:t xml:space="preserve">, 125 MHz): </w:t>
      </w:r>
      <w:r w:rsidR="0031079D" w:rsidRPr="001D7E96">
        <w:rPr>
          <w:rFonts w:cs="Arial"/>
        </w:rPr>
        <w:t>δ (ppm) 1</w:t>
      </w:r>
      <w:r w:rsidR="00A65786" w:rsidRPr="001D7E96">
        <w:rPr>
          <w:rFonts w:cs="Arial"/>
        </w:rPr>
        <w:t>5</w:t>
      </w:r>
      <w:r w:rsidR="0031079D" w:rsidRPr="001D7E96">
        <w:rPr>
          <w:rFonts w:cs="Arial"/>
        </w:rPr>
        <w:t>.0</w:t>
      </w:r>
      <w:r w:rsidR="003F1CA8" w:rsidRPr="001D7E96">
        <w:rPr>
          <w:rFonts w:cs="Arial"/>
        </w:rPr>
        <w:t>5</w:t>
      </w:r>
      <w:r w:rsidR="0031079D" w:rsidRPr="001D7E96">
        <w:rPr>
          <w:rFonts w:cs="Arial"/>
        </w:rPr>
        <w:t xml:space="preserve"> (1C), 1</w:t>
      </w:r>
      <w:r w:rsidR="003F1CA8" w:rsidRPr="001D7E96">
        <w:rPr>
          <w:rFonts w:cs="Arial"/>
        </w:rPr>
        <w:t>7</w:t>
      </w:r>
      <w:r w:rsidR="0031079D" w:rsidRPr="001D7E96">
        <w:rPr>
          <w:rFonts w:cs="Arial"/>
        </w:rPr>
        <w:t>.2</w:t>
      </w:r>
      <w:r w:rsidR="003F1CA8" w:rsidRPr="001D7E96">
        <w:rPr>
          <w:rFonts w:cs="Arial"/>
        </w:rPr>
        <w:t>2</w:t>
      </w:r>
      <w:r w:rsidR="0031079D" w:rsidRPr="001D7E96">
        <w:rPr>
          <w:rFonts w:cs="Arial"/>
        </w:rPr>
        <w:t xml:space="preserve"> (1C), 1</w:t>
      </w:r>
      <w:r w:rsidR="003F1CA8" w:rsidRPr="001D7E96">
        <w:rPr>
          <w:rFonts w:cs="Arial"/>
        </w:rPr>
        <w:t>8</w:t>
      </w:r>
      <w:r w:rsidR="0031079D" w:rsidRPr="001D7E96">
        <w:rPr>
          <w:rFonts w:cs="Arial"/>
        </w:rPr>
        <w:t>.</w:t>
      </w:r>
      <w:r w:rsidR="003F1CA8" w:rsidRPr="001D7E96">
        <w:rPr>
          <w:rFonts w:cs="Arial"/>
        </w:rPr>
        <w:t>43</w:t>
      </w:r>
      <w:r w:rsidR="0031079D" w:rsidRPr="001D7E96">
        <w:rPr>
          <w:rFonts w:cs="Arial"/>
        </w:rPr>
        <w:t xml:space="preserve"> (1C), </w:t>
      </w:r>
      <w:r w:rsidR="003F1CA8" w:rsidRPr="001D7E96">
        <w:rPr>
          <w:rFonts w:cs="Arial"/>
        </w:rPr>
        <w:t xml:space="preserve">19.67 (1C), </w:t>
      </w:r>
      <w:r w:rsidR="0031079D" w:rsidRPr="001D7E96">
        <w:rPr>
          <w:rFonts w:cs="Arial"/>
        </w:rPr>
        <w:t>20.</w:t>
      </w:r>
      <w:r w:rsidR="003F1CA8" w:rsidRPr="001D7E96">
        <w:rPr>
          <w:rFonts w:cs="Arial"/>
        </w:rPr>
        <w:t>78</w:t>
      </w:r>
      <w:r w:rsidR="0031079D" w:rsidRPr="001D7E96">
        <w:rPr>
          <w:rFonts w:cs="Arial"/>
        </w:rPr>
        <w:t xml:space="preserve"> (1C), </w:t>
      </w:r>
      <w:r w:rsidR="003F1CA8" w:rsidRPr="001D7E96">
        <w:rPr>
          <w:rFonts w:cs="Arial"/>
        </w:rPr>
        <w:t>21.</w:t>
      </w:r>
      <w:r w:rsidR="00B10731" w:rsidRPr="001D7E96">
        <w:rPr>
          <w:rFonts w:cs="Arial"/>
        </w:rPr>
        <w:t>51</w:t>
      </w:r>
      <w:r w:rsidR="0031079D" w:rsidRPr="001D7E96">
        <w:rPr>
          <w:rFonts w:cs="Arial"/>
        </w:rPr>
        <w:t xml:space="preserve"> (1C) 3</w:t>
      </w:r>
      <w:r w:rsidR="00B10731" w:rsidRPr="001D7E96">
        <w:rPr>
          <w:rFonts w:cs="Arial"/>
        </w:rPr>
        <w:t>3</w:t>
      </w:r>
      <w:r w:rsidR="0031079D" w:rsidRPr="001D7E96">
        <w:rPr>
          <w:rFonts w:cs="Arial"/>
        </w:rPr>
        <w:t>.</w:t>
      </w:r>
      <w:r w:rsidR="00B10731" w:rsidRPr="001D7E96">
        <w:rPr>
          <w:rFonts w:cs="Arial"/>
        </w:rPr>
        <w:t>20</w:t>
      </w:r>
      <w:r w:rsidR="0031079D" w:rsidRPr="001D7E96">
        <w:rPr>
          <w:rFonts w:cs="Arial"/>
        </w:rPr>
        <w:t xml:space="preserve"> (1C), 3</w:t>
      </w:r>
      <w:r w:rsidR="00B10731" w:rsidRPr="001D7E96">
        <w:rPr>
          <w:rFonts w:cs="Arial"/>
        </w:rPr>
        <w:t>3</w:t>
      </w:r>
      <w:r w:rsidR="0031079D" w:rsidRPr="001D7E96">
        <w:rPr>
          <w:rFonts w:cs="Arial"/>
        </w:rPr>
        <w:t>.</w:t>
      </w:r>
      <w:r w:rsidR="00B10731" w:rsidRPr="001D7E96">
        <w:rPr>
          <w:rFonts w:cs="Arial"/>
        </w:rPr>
        <w:t>37</w:t>
      </w:r>
      <w:r w:rsidR="0031079D" w:rsidRPr="001D7E96">
        <w:rPr>
          <w:rFonts w:cs="Arial"/>
        </w:rPr>
        <w:t xml:space="preserve"> (1C),</w:t>
      </w:r>
      <w:r w:rsidR="00B10731" w:rsidRPr="001D7E96">
        <w:rPr>
          <w:rFonts w:cs="Arial"/>
        </w:rPr>
        <w:t xml:space="preserve"> 37.13 (1C),</w:t>
      </w:r>
      <w:r w:rsidR="0031079D" w:rsidRPr="001D7E96">
        <w:rPr>
          <w:rFonts w:cs="Arial"/>
        </w:rPr>
        <w:t xml:space="preserve"> 39.</w:t>
      </w:r>
      <w:r w:rsidR="00B10731" w:rsidRPr="001D7E96">
        <w:rPr>
          <w:rFonts w:cs="Arial"/>
        </w:rPr>
        <w:t>20</w:t>
      </w:r>
      <w:r w:rsidR="0031079D" w:rsidRPr="001D7E96">
        <w:rPr>
          <w:rFonts w:cs="Arial"/>
        </w:rPr>
        <w:t xml:space="preserve"> (1C),</w:t>
      </w:r>
      <w:r w:rsidR="00506A45" w:rsidRPr="001D7E96">
        <w:rPr>
          <w:rFonts w:cs="Arial"/>
        </w:rPr>
        <w:t xml:space="preserve"> 40.38 (1C),</w:t>
      </w:r>
      <w:r w:rsidR="0031079D" w:rsidRPr="001D7E96">
        <w:rPr>
          <w:rFonts w:cs="Arial"/>
        </w:rPr>
        <w:t xml:space="preserve"> 41.</w:t>
      </w:r>
      <w:r w:rsidR="00506A45" w:rsidRPr="001D7E96">
        <w:rPr>
          <w:rFonts w:cs="Arial"/>
        </w:rPr>
        <w:t>71</w:t>
      </w:r>
      <w:r w:rsidR="0031079D" w:rsidRPr="001D7E96">
        <w:rPr>
          <w:rFonts w:cs="Arial"/>
        </w:rPr>
        <w:t xml:space="preserve"> (1C), </w:t>
      </w:r>
      <w:r w:rsidR="00506A45" w:rsidRPr="001D7E96">
        <w:rPr>
          <w:rFonts w:cs="Arial"/>
        </w:rPr>
        <w:t>51</w:t>
      </w:r>
      <w:r w:rsidR="0031079D" w:rsidRPr="001D7E96">
        <w:rPr>
          <w:rFonts w:cs="Arial"/>
        </w:rPr>
        <w:t>.</w:t>
      </w:r>
      <w:r w:rsidR="00506A45" w:rsidRPr="001D7E96">
        <w:rPr>
          <w:rFonts w:cs="Arial"/>
        </w:rPr>
        <w:t>6</w:t>
      </w:r>
      <w:r w:rsidR="0031079D" w:rsidRPr="001D7E96">
        <w:rPr>
          <w:rFonts w:cs="Arial"/>
        </w:rPr>
        <w:t>7 (1C),</w:t>
      </w:r>
      <w:r w:rsidR="00393C31" w:rsidRPr="001D7E96">
        <w:rPr>
          <w:rFonts w:cs="Arial"/>
        </w:rPr>
        <w:t xml:space="preserve"> 56.04 (1C), 81.33</w:t>
      </w:r>
      <w:r w:rsidR="0031079D" w:rsidRPr="001D7E96">
        <w:rPr>
          <w:rFonts w:cs="Arial"/>
        </w:rPr>
        <w:t xml:space="preserve"> (1C), </w:t>
      </w:r>
      <w:r w:rsidR="00393C31" w:rsidRPr="001D7E96">
        <w:rPr>
          <w:rFonts w:cs="Arial"/>
        </w:rPr>
        <w:t>99.47</w:t>
      </w:r>
      <w:r w:rsidR="0031079D" w:rsidRPr="001D7E96">
        <w:rPr>
          <w:rFonts w:cs="Arial"/>
        </w:rPr>
        <w:t xml:space="preserve"> (1C), </w:t>
      </w:r>
      <w:r w:rsidR="005D753D" w:rsidRPr="001D7E96">
        <w:rPr>
          <w:rFonts w:cs="Arial"/>
        </w:rPr>
        <w:t xml:space="preserve">100.55 (1C), 123.59 (1C) , 127.67 (1C), 132.78 (1C), </w:t>
      </w:r>
      <w:r w:rsidR="007B7D46" w:rsidRPr="001D7E96">
        <w:rPr>
          <w:rFonts w:cs="Arial"/>
        </w:rPr>
        <w:t xml:space="preserve">146.61 (1C), 150.99 (1C), </w:t>
      </w:r>
      <w:r w:rsidR="001D7E96" w:rsidRPr="001D7E96">
        <w:rPr>
          <w:rFonts w:cs="Arial"/>
        </w:rPr>
        <w:t>155.49 (1C), 162</w:t>
      </w:r>
      <w:r w:rsidR="0031079D" w:rsidRPr="001D7E96">
        <w:rPr>
          <w:rFonts w:cs="Arial"/>
        </w:rPr>
        <w:t>.</w:t>
      </w:r>
      <w:r w:rsidR="001D7E96" w:rsidRPr="001D7E96">
        <w:rPr>
          <w:rFonts w:cs="Arial"/>
        </w:rPr>
        <w:t>88</w:t>
      </w:r>
      <w:r w:rsidR="0031079D" w:rsidRPr="001D7E96">
        <w:rPr>
          <w:rFonts w:cs="Arial"/>
        </w:rPr>
        <w:t xml:space="preserve"> (1C)</w:t>
      </w:r>
      <w:r w:rsidR="001D7E96" w:rsidRPr="001D7E96">
        <w:rPr>
          <w:rFonts w:cs="Arial"/>
        </w:rPr>
        <w:t>, 164.17 (1C)</w:t>
      </w:r>
      <w:r w:rsidR="0031079D" w:rsidRPr="001D7E96">
        <w:rPr>
          <w:rFonts w:cs="Arial"/>
        </w:rPr>
        <w:t xml:space="preserve">. </w:t>
      </w:r>
      <w:bookmarkStart w:id="138" w:name="_Toc94268570"/>
      <w:bookmarkStart w:id="139" w:name="_Toc99475506"/>
      <w:bookmarkStart w:id="140" w:name="_Toc102735773"/>
    </w:p>
    <w:p w14:paraId="0414B1A5" w14:textId="77777777" w:rsidR="006E3762" w:rsidRDefault="006E3762" w:rsidP="00F6510F">
      <w:pPr>
        <w:rPr>
          <w:rFonts w:cs="Arial"/>
        </w:rPr>
      </w:pPr>
    </w:p>
    <w:p w14:paraId="757303EF" w14:textId="12299806" w:rsidR="00F6510F" w:rsidRPr="007001B0" w:rsidRDefault="00F6510F" w:rsidP="00F6510F">
      <w:pPr>
        <w:pStyle w:val="Heading2"/>
        <w:rPr>
          <w:lang w:val="en-US"/>
        </w:rPr>
      </w:pPr>
      <w:bookmarkStart w:id="141" w:name="_Toc134623424"/>
      <w:r w:rsidRPr="007001B0">
        <w:rPr>
          <w:lang w:val="en-US"/>
        </w:rPr>
        <w:lastRenderedPageBreak/>
        <w:t>Chlorosulfonic acid catalyzed cyclizations of terpenes</w:t>
      </w:r>
      <w:bookmarkEnd w:id="138"/>
      <w:bookmarkEnd w:id="139"/>
      <w:r w:rsidRPr="007001B0">
        <w:rPr>
          <w:lang w:val="en-US"/>
        </w:rPr>
        <w:t xml:space="preserve"> as racemic standards</w:t>
      </w:r>
      <w:bookmarkEnd w:id="140"/>
      <w:bookmarkEnd w:id="141"/>
    </w:p>
    <w:p w14:paraId="370B775B" w14:textId="05D363BB" w:rsidR="00EB5CC1" w:rsidRDefault="00D73371" w:rsidP="00EB5CC1">
      <w:pPr>
        <w:jc w:val="center"/>
        <w:rPr>
          <w:noProof/>
        </w:rPr>
      </w:pPr>
      <w:r>
        <w:rPr>
          <w:noProof/>
        </w:rPr>
        <w:object w:dxaOrig="8350" w:dyaOrig="1499" w14:anchorId="09153F73">
          <v:shape id="_x0000_i1046" type="#_x0000_t75" alt="" style="width:351.85pt;height:63.85pt" o:ole="">
            <v:imagedata r:id="rId71" o:title=""/>
          </v:shape>
          <o:OLEObject Type="Embed" ProgID="ChemDraw.Document.6.0" ShapeID="_x0000_i1046" DrawAspect="Content" ObjectID="_1745237634" r:id="rId72"/>
        </w:object>
      </w:r>
    </w:p>
    <w:p w14:paraId="3609FE95" w14:textId="572E3911" w:rsidR="005743FC" w:rsidRPr="00571AA1" w:rsidRDefault="005743FC" w:rsidP="005743FC">
      <w:r w:rsidRPr="00F869FC">
        <w:t>The reaction</w:t>
      </w:r>
      <w:r>
        <w:t>s</w:t>
      </w:r>
      <w:r w:rsidRPr="00F869FC">
        <w:t xml:space="preserve"> </w:t>
      </w:r>
      <w:r>
        <w:t>were</w:t>
      </w:r>
      <w:r w:rsidRPr="00F869FC">
        <w:t xml:space="preserve"> carried out under nitrogen atmosphere. To a solution of </w:t>
      </w:r>
      <w:r>
        <w:t>5</w:t>
      </w:r>
      <w:r w:rsidRPr="00F869FC">
        <w:t xml:space="preserve"> Eq. (2.5</w:t>
      </w:r>
      <w:r>
        <w:t xml:space="preserve"> </w:t>
      </w:r>
      <w:r w:rsidRPr="00F869FC">
        <w:t>mmol, 160µl</w:t>
      </w:r>
      <w:r>
        <w:t>L</w:t>
      </w:r>
      <w:r w:rsidRPr="00F869FC">
        <w:t>) of chlorosulfonic acid in 2-nitropropane (3</w:t>
      </w:r>
      <w:r>
        <w:t xml:space="preserve"> </w:t>
      </w:r>
      <w:r w:rsidRPr="00F869FC">
        <w:t>m</w:t>
      </w:r>
      <w:r>
        <w:t>L</w:t>
      </w:r>
      <w:r w:rsidRPr="00F869FC">
        <w:t xml:space="preserve">) was added a solution of terpene (0.5 mmol, 1 </w:t>
      </w:r>
      <w:r>
        <w:t>e</w:t>
      </w:r>
      <w:r w:rsidRPr="00F869FC">
        <w:t>q.) in 2-</w:t>
      </w:r>
      <w:r>
        <w:t>n</w:t>
      </w:r>
      <w:r w:rsidRPr="00F869FC">
        <w:t>itropropane (6</w:t>
      </w:r>
      <w:r>
        <w:t xml:space="preserve"> </w:t>
      </w:r>
      <w:r w:rsidRPr="00F869FC">
        <w:t>m</w:t>
      </w:r>
      <w:r>
        <w:t>L</w:t>
      </w:r>
      <w:r w:rsidRPr="00F869FC">
        <w:t>) at</w:t>
      </w:r>
      <w:r>
        <w:t xml:space="preserve"> </w:t>
      </w:r>
      <w:r w:rsidRPr="00F869FC">
        <w:t>–78 °C</w:t>
      </w:r>
      <w:r>
        <w:t xml:space="preserve"> and was stirred for</w:t>
      </w:r>
      <w:r w:rsidRPr="00F869FC">
        <w:t xml:space="preserve"> 10</w:t>
      </w:r>
      <w:r>
        <w:t xml:space="preserve"> </w:t>
      </w:r>
      <w:r w:rsidRPr="00F869FC">
        <w:t xml:space="preserve">min. </w:t>
      </w:r>
      <w:r>
        <w:t xml:space="preserve">The reaction was quenched by adding </w:t>
      </w:r>
      <w:r w:rsidRPr="00F869FC">
        <w:t>saturated aq. NaHCO</w:t>
      </w:r>
      <w:r w:rsidRPr="003B603B">
        <w:rPr>
          <w:vertAlign w:val="subscript"/>
        </w:rPr>
        <w:t>3</w:t>
      </w:r>
      <w:r w:rsidRPr="00F869FC">
        <w:t xml:space="preserve"> solution (10</w:t>
      </w:r>
      <w:r>
        <w:t xml:space="preserve"> </w:t>
      </w:r>
      <w:r w:rsidRPr="00F869FC">
        <w:t>ml) and then further portions of solid NaHCO</w:t>
      </w:r>
      <w:r w:rsidRPr="003B603B">
        <w:rPr>
          <w:vertAlign w:val="subscript"/>
        </w:rPr>
        <w:t>3</w:t>
      </w:r>
      <w:r w:rsidRPr="00F869FC">
        <w:t xml:space="preserve"> were added to obtain basic pH. </w:t>
      </w:r>
      <w:r>
        <w:t>The reaction mixture was extracted with</w:t>
      </w:r>
      <w:r w:rsidRPr="00F869FC">
        <w:t xml:space="preserve"> Et</w:t>
      </w:r>
      <w:r w:rsidRPr="0010369C">
        <w:rPr>
          <w:vertAlign w:val="subscript"/>
        </w:rPr>
        <w:t>2</w:t>
      </w:r>
      <w:r w:rsidRPr="00F869FC">
        <w:t>O (</w:t>
      </w:r>
      <w:r>
        <w:t xml:space="preserve">3x </w:t>
      </w:r>
      <w:r w:rsidRPr="00F869FC">
        <w:t>15</w:t>
      </w:r>
      <w:r>
        <w:t xml:space="preserve"> </w:t>
      </w:r>
      <w:r w:rsidRPr="00F869FC">
        <w:t>m</w:t>
      </w:r>
      <w:r>
        <w:t>L</w:t>
      </w:r>
      <w:r w:rsidRPr="00F869FC">
        <w:t>)</w:t>
      </w:r>
      <w:r>
        <w:t>, dried over MgSO</w:t>
      </w:r>
      <w:r>
        <w:rPr>
          <w:vertAlign w:val="subscript"/>
        </w:rPr>
        <w:t>4</w:t>
      </w:r>
      <w:r>
        <w:t xml:space="preserve"> and the resulting crude product was used for chiral GC analysis. For</w:t>
      </w:r>
      <w:r w:rsidR="00D73371">
        <w:t xml:space="preserve"> </w:t>
      </w:r>
      <w:r>
        <w:t xml:space="preserve">chromatograms see </w:t>
      </w:r>
      <w:r w:rsidR="00D73371">
        <w:t>G</w:t>
      </w:r>
      <w:r>
        <w:t>.</w:t>
      </w:r>
      <w:r w:rsidR="006E64A9">
        <w:br/>
      </w:r>
    </w:p>
    <w:p w14:paraId="3B456FA8" w14:textId="4BC68D19" w:rsidR="006A34D7" w:rsidRDefault="006A34D7" w:rsidP="006A34D7">
      <w:pPr>
        <w:pStyle w:val="Heading1"/>
        <w:numPr>
          <w:ilvl w:val="0"/>
          <w:numId w:val="6"/>
        </w:numPr>
        <w:rPr>
          <w:sz w:val="22"/>
          <w:szCs w:val="36"/>
        </w:rPr>
      </w:pPr>
      <w:bookmarkStart w:id="142" w:name="_Toc134623425"/>
      <w:r w:rsidRPr="00D73371">
        <w:rPr>
          <w:sz w:val="22"/>
          <w:szCs w:val="36"/>
        </w:rPr>
        <w:t>Supporting chromatograms</w:t>
      </w:r>
      <w:bookmarkEnd w:id="142"/>
    </w:p>
    <w:p w14:paraId="2D0A7053" w14:textId="7B6233C0" w:rsidR="000B7051" w:rsidRPr="000B7051" w:rsidRDefault="000B7051" w:rsidP="000B7051">
      <w:r>
        <w:t xml:space="preserve">The following </w:t>
      </w:r>
      <w:r w:rsidR="008803F5">
        <w:t xml:space="preserve">GC </w:t>
      </w:r>
      <w:r>
        <w:t>chromatograms show the chlorosulfonic acid-catalyzed cyclization</w:t>
      </w:r>
      <w:r w:rsidR="0068060D">
        <w:t xml:space="preserve"> of the substrate in the scheme</w:t>
      </w:r>
      <w:r>
        <w:t xml:space="preserve"> in (a) and the </w:t>
      </w:r>
      <w:r w:rsidR="00BE468A">
        <w:t xml:space="preserve">enzyme-catalyzed reaction in (b) </w:t>
      </w:r>
      <w:r w:rsidR="0068060D">
        <w:t>and</w:t>
      </w:r>
      <w:r w:rsidR="00BE468A">
        <w:t xml:space="preserve"> (c). Chiral chromatograms </w:t>
      </w:r>
      <w:r w:rsidR="008803F5">
        <w:t>are shown in the enzyme-catalyzed reaction</w:t>
      </w:r>
      <w:r w:rsidR="009A7094">
        <w:t>. For (–)-</w:t>
      </w:r>
      <w:r w:rsidR="009A7094">
        <w:rPr>
          <w:rFonts w:cs="Arial"/>
        </w:rPr>
        <w:t>γ</w:t>
      </w:r>
      <w:r w:rsidR="009A7094">
        <w:t xml:space="preserve">-dihydroionone stereochemistry please see ref. </w:t>
      </w:r>
      <w:r w:rsidR="009A7094" w:rsidRPr="0074125A">
        <w:fldChar w:fldCharType="begin" w:fldLock="1"/>
      </w:r>
      <w:r w:rsidR="00E81BA1">
        <w:instrText>ADDIN CSL_CITATION {"citationItems":[{"id":"ITEM-1","itemData":{"DOI":"10.1002/anie.202101228","ISSN":"15213773","PMID":"33769659","abstract":"Cascade reactions appeared as a cutting-edge strategy to streamline the assembly of complex structural scaffolds from naturally available precursors in an atom-, as well as time, labor- and cost-efficient way. We herein report a strategy to control cationic cyclization cascades by exploiting the ability of anchoring dynamic substrates in the active site of terpene cyclases via designed hydrogen bonding. Thereby, it is possible to induce “directed” cyclizations in contrast to established “non-stop” cyclizations (99:1) and predestinate cascade termination at otherwise catalytically barely accessible intermediates. As a result, we are able to provide efficient access to naturally widely occurring apocarotenoids, value-added flavors and fragrances in gram-scale by replacing multi-stage synthetic routes to a single step with unprecedented selectivity (&gt;99.5 % ee) and high yields (up to 89 %).","author":[{"dropping-particle":"","family":"Schneider","given":"Andreas","non-dropping-particle":"","parse-names":false,"suffix":""},{"dropping-particle":"","family":"Jegl","given":"Philipp","non-dropping-particle":"","parse-names":false,"suffix":""},{"dropping-particle":"","family":"Hauer","given":"Bernhard","non-dropping-particle":"","parse-names":false,"suffix":""}],"container-title":"Angewandte Chemie - International Edition","id":"ITEM-1","issue":"24","issued":{"date-parts":[["2021","6","7"]]},"page":"13251-13256","publisher":"John Wiley and Sons Inc","title":"Stereoselective Directed Cationic Cascades Enabled by Molecular Anchoring in Terpene Cyclases","type":"article-journal","volume":"60"},"uris":["http://www.mendeley.com/documents/?uuid=3b0947be-3de3-30e1-ae4f-52f6910ee5d4"]}],"mendeley":{"formattedCitation":"&lt;sup&gt;7&lt;/sup&gt;","plainTextFormattedCitation":"7","previouslyFormattedCitation":"&lt;sup&gt;6&lt;/sup&gt;"},"properties":{"noteIndex":0},"schema":"https://github.com/citation-style-language/schema/raw/master/csl-citation.json"}</w:instrText>
      </w:r>
      <w:r w:rsidR="009A7094" w:rsidRPr="0074125A">
        <w:fldChar w:fldCharType="separate"/>
      </w:r>
      <w:r w:rsidR="00E81BA1" w:rsidRPr="00E81BA1">
        <w:rPr>
          <w:noProof/>
          <w:vertAlign w:val="superscript"/>
        </w:rPr>
        <w:t>7</w:t>
      </w:r>
      <w:r w:rsidR="009A7094" w:rsidRPr="0074125A">
        <w:fldChar w:fldCharType="end"/>
      </w:r>
      <w:r w:rsidR="009A7094">
        <w:t>.</w:t>
      </w:r>
      <w:r w:rsidR="008803F5">
        <w:t xml:space="preserve"> </w:t>
      </w:r>
    </w:p>
    <w:p w14:paraId="095AB831" w14:textId="77777777" w:rsidR="00524B1E" w:rsidRDefault="001C5059" w:rsidP="00524B1E">
      <w:pPr>
        <w:keepNext/>
      </w:pPr>
      <w:r>
        <w:rPr>
          <w:noProof/>
        </w:rPr>
        <w:drawing>
          <wp:inline distT="0" distB="0" distL="0" distR="0" wp14:anchorId="6281CAE2" wp14:editId="285132BE">
            <wp:extent cx="5224247" cy="2973070"/>
            <wp:effectExtent l="0" t="0" r="0" b="0"/>
            <wp:docPr id="84" name="Picture 8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Diagram, schematic&#10;&#10;Description automatically generated"/>
                    <pic:cNvPicPr/>
                  </pic:nvPicPr>
                  <pic:blipFill rotWithShape="1">
                    <a:blip r:embed="rId73"/>
                    <a:srcRect l="9294" t="16756" b="41614"/>
                    <a:stretch/>
                  </pic:blipFill>
                  <pic:spPr bwMode="auto">
                    <a:xfrm>
                      <a:off x="0" y="0"/>
                      <a:ext cx="5225349" cy="2973697"/>
                    </a:xfrm>
                    <a:prstGeom prst="rect">
                      <a:avLst/>
                    </a:prstGeom>
                    <a:ln>
                      <a:noFill/>
                    </a:ln>
                    <a:extLst>
                      <a:ext uri="{53640926-AAD7-44D8-BBD7-CCE9431645EC}">
                        <a14:shadowObscured xmlns:a14="http://schemas.microsoft.com/office/drawing/2010/main"/>
                      </a:ext>
                    </a:extLst>
                  </pic:spPr>
                </pic:pic>
              </a:graphicData>
            </a:graphic>
          </wp:inline>
        </w:drawing>
      </w:r>
    </w:p>
    <w:p w14:paraId="5A3EB568" w14:textId="476676A7" w:rsidR="001C5059" w:rsidRPr="00216A39" w:rsidRDefault="00524B1E" w:rsidP="00524B1E">
      <w:pPr>
        <w:pStyle w:val="Caption"/>
        <w:rPr>
          <w:i w:val="0"/>
          <w:iCs w:val="0"/>
          <w:color w:val="auto"/>
        </w:rPr>
      </w:pPr>
      <w:r w:rsidRPr="00216A39">
        <w:rPr>
          <w:b/>
          <w:bCs/>
          <w:i w:val="0"/>
          <w:iCs w:val="0"/>
          <w:color w:val="auto"/>
        </w:rPr>
        <w:t xml:space="preserve">Chromatogram </w:t>
      </w:r>
      <w:r w:rsidRPr="00216A39">
        <w:rPr>
          <w:b/>
          <w:bCs/>
          <w:i w:val="0"/>
          <w:iCs w:val="0"/>
          <w:color w:val="auto"/>
        </w:rPr>
        <w:fldChar w:fldCharType="begin"/>
      </w:r>
      <w:r w:rsidRPr="00216A39">
        <w:rPr>
          <w:b/>
          <w:bCs/>
          <w:i w:val="0"/>
          <w:iCs w:val="0"/>
          <w:color w:val="auto"/>
        </w:rPr>
        <w:instrText xml:space="preserve"> SEQ Chromatogram \* ARABIC </w:instrText>
      </w:r>
      <w:r w:rsidRPr="00216A39">
        <w:rPr>
          <w:b/>
          <w:bCs/>
          <w:i w:val="0"/>
          <w:iCs w:val="0"/>
          <w:color w:val="auto"/>
        </w:rPr>
        <w:fldChar w:fldCharType="separate"/>
      </w:r>
      <w:r w:rsidR="00AA5E09">
        <w:rPr>
          <w:b/>
          <w:bCs/>
          <w:i w:val="0"/>
          <w:iCs w:val="0"/>
          <w:noProof/>
          <w:color w:val="auto"/>
        </w:rPr>
        <w:t>1</w:t>
      </w:r>
      <w:r w:rsidRPr="00216A39">
        <w:rPr>
          <w:b/>
          <w:bCs/>
          <w:i w:val="0"/>
          <w:iCs w:val="0"/>
          <w:color w:val="auto"/>
        </w:rPr>
        <w:fldChar w:fldCharType="end"/>
      </w:r>
      <w:r w:rsidRPr="00216A39">
        <w:rPr>
          <w:i w:val="0"/>
          <w:iCs w:val="0"/>
          <w:color w:val="auto"/>
        </w:rPr>
        <w:t xml:space="preserve">: </w:t>
      </w:r>
      <w:r w:rsidR="00216A39" w:rsidRPr="00216A39">
        <w:rPr>
          <w:i w:val="0"/>
          <w:iCs w:val="0"/>
          <w:color w:val="auto"/>
        </w:rPr>
        <w:t>Gernayl acetate 6 cyclization</w:t>
      </w:r>
      <w:r w:rsidR="00216A39">
        <w:rPr>
          <w:i w:val="0"/>
          <w:iCs w:val="0"/>
          <w:color w:val="auto"/>
        </w:rPr>
        <w:t xml:space="preserve"> (a) using chlorosulfonic acid and </w:t>
      </w:r>
      <w:r w:rsidR="00874F6A">
        <w:rPr>
          <w:i w:val="0"/>
          <w:iCs w:val="0"/>
          <w:color w:val="auto"/>
        </w:rPr>
        <w:t>(b) AacSHC G600R including the chiral chromatogram.</w:t>
      </w:r>
    </w:p>
    <w:p w14:paraId="165C3FED" w14:textId="77777777" w:rsidR="00216A39" w:rsidRDefault="0004303A" w:rsidP="00216A39">
      <w:pPr>
        <w:keepNext/>
      </w:pPr>
      <w:r>
        <w:rPr>
          <w:noProof/>
        </w:rPr>
        <w:lastRenderedPageBreak/>
        <w:drawing>
          <wp:inline distT="0" distB="0" distL="0" distR="0" wp14:anchorId="2BBB7C47" wp14:editId="46244A6E">
            <wp:extent cx="5261932" cy="4237355"/>
            <wp:effectExtent l="0" t="0" r="0" b="0"/>
            <wp:docPr id="83" name="Picture 8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Diagram, engineering drawing&#10;&#10;Description automatically generated"/>
                    <pic:cNvPicPr/>
                  </pic:nvPicPr>
                  <pic:blipFill rotWithShape="1">
                    <a:blip r:embed="rId74"/>
                    <a:srcRect l="8647" t="32263" b="8409"/>
                    <a:stretch/>
                  </pic:blipFill>
                  <pic:spPr bwMode="auto">
                    <a:xfrm>
                      <a:off x="0" y="0"/>
                      <a:ext cx="5262572" cy="4237870"/>
                    </a:xfrm>
                    <a:prstGeom prst="rect">
                      <a:avLst/>
                    </a:prstGeom>
                    <a:ln>
                      <a:noFill/>
                    </a:ln>
                    <a:extLst>
                      <a:ext uri="{53640926-AAD7-44D8-BBD7-CCE9431645EC}">
                        <a14:shadowObscured xmlns:a14="http://schemas.microsoft.com/office/drawing/2010/main"/>
                      </a:ext>
                    </a:extLst>
                  </pic:spPr>
                </pic:pic>
              </a:graphicData>
            </a:graphic>
          </wp:inline>
        </w:drawing>
      </w:r>
    </w:p>
    <w:p w14:paraId="2A5EA90F" w14:textId="6C73DD3E" w:rsidR="0004303A" w:rsidRPr="00874F6A" w:rsidRDefault="00216A39" w:rsidP="00216A39">
      <w:pPr>
        <w:pStyle w:val="Caption"/>
        <w:rPr>
          <w:i w:val="0"/>
          <w:iCs w:val="0"/>
          <w:color w:val="auto"/>
        </w:rPr>
      </w:pPr>
      <w:r w:rsidRPr="00874F6A">
        <w:rPr>
          <w:b/>
          <w:bCs/>
          <w:i w:val="0"/>
          <w:iCs w:val="0"/>
          <w:color w:val="auto"/>
        </w:rPr>
        <w:t xml:space="preserve">Chromatogram </w:t>
      </w:r>
      <w:r w:rsidRPr="00874F6A">
        <w:rPr>
          <w:b/>
          <w:bCs/>
          <w:i w:val="0"/>
          <w:iCs w:val="0"/>
          <w:color w:val="auto"/>
        </w:rPr>
        <w:fldChar w:fldCharType="begin"/>
      </w:r>
      <w:r w:rsidRPr="00874F6A">
        <w:rPr>
          <w:b/>
          <w:bCs/>
          <w:i w:val="0"/>
          <w:iCs w:val="0"/>
          <w:color w:val="auto"/>
        </w:rPr>
        <w:instrText xml:space="preserve"> SEQ Chromatogram \* ARABIC </w:instrText>
      </w:r>
      <w:r w:rsidRPr="00874F6A">
        <w:rPr>
          <w:b/>
          <w:bCs/>
          <w:i w:val="0"/>
          <w:iCs w:val="0"/>
          <w:color w:val="auto"/>
        </w:rPr>
        <w:fldChar w:fldCharType="separate"/>
      </w:r>
      <w:r w:rsidR="00AA5E09">
        <w:rPr>
          <w:b/>
          <w:bCs/>
          <w:i w:val="0"/>
          <w:iCs w:val="0"/>
          <w:noProof/>
          <w:color w:val="auto"/>
        </w:rPr>
        <w:t>2</w:t>
      </w:r>
      <w:r w:rsidRPr="00874F6A">
        <w:rPr>
          <w:b/>
          <w:bCs/>
          <w:i w:val="0"/>
          <w:iCs w:val="0"/>
          <w:color w:val="auto"/>
        </w:rPr>
        <w:fldChar w:fldCharType="end"/>
      </w:r>
      <w:r w:rsidR="00874F6A" w:rsidRPr="00874F6A">
        <w:rPr>
          <w:i w:val="0"/>
          <w:iCs w:val="0"/>
          <w:color w:val="auto"/>
        </w:rPr>
        <w:t xml:space="preserve">: Geranyl acetone 17 and neryl acetone cyclization Z-17 using </w:t>
      </w:r>
      <w:r w:rsidR="00874F6A">
        <w:rPr>
          <w:i w:val="0"/>
          <w:iCs w:val="0"/>
          <w:color w:val="auto"/>
        </w:rPr>
        <w:t xml:space="preserve">(a) </w:t>
      </w:r>
      <w:r w:rsidR="00874F6A" w:rsidRPr="00874F6A">
        <w:rPr>
          <w:i w:val="0"/>
          <w:iCs w:val="0"/>
          <w:color w:val="auto"/>
        </w:rPr>
        <w:t>chlorosulfonic acid and (b) and (c) AacSHC G600M including the chiral chromatograms.</w:t>
      </w:r>
    </w:p>
    <w:p w14:paraId="3842D584" w14:textId="77777777" w:rsidR="00874F6A" w:rsidRDefault="001C5059" w:rsidP="00874F6A">
      <w:pPr>
        <w:keepNext/>
      </w:pPr>
      <w:r>
        <w:rPr>
          <w:noProof/>
        </w:rPr>
        <w:drawing>
          <wp:inline distT="0" distB="0" distL="0" distR="0" wp14:anchorId="587C9EC4" wp14:editId="53DEE4C9">
            <wp:extent cx="5187152" cy="2973070"/>
            <wp:effectExtent l="0" t="0" r="0" b="0"/>
            <wp:docPr id="85" name="Picture 85"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 engineering drawing, schematic&#10;&#10;Description automatically generated"/>
                    <pic:cNvPicPr/>
                  </pic:nvPicPr>
                  <pic:blipFill rotWithShape="1">
                    <a:blip r:embed="rId75"/>
                    <a:srcRect l="9939" b="58370"/>
                    <a:stretch/>
                  </pic:blipFill>
                  <pic:spPr bwMode="auto">
                    <a:xfrm>
                      <a:off x="0" y="0"/>
                      <a:ext cx="5188178" cy="2973658"/>
                    </a:xfrm>
                    <a:prstGeom prst="rect">
                      <a:avLst/>
                    </a:prstGeom>
                    <a:ln>
                      <a:noFill/>
                    </a:ln>
                    <a:extLst>
                      <a:ext uri="{53640926-AAD7-44D8-BBD7-CCE9431645EC}">
                        <a14:shadowObscured xmlns:a14="http://schemas.microsoft.com/office/drawing/2010/main"/>
                      </a:ext>
                    </a:extLst>
                  </pic:spPr>
                </pic:pic>
              </a:graphicData>
            </a:graphic>
          </wp:inline>
        </w:drawing>
      </w:r>
    </w:p>
    <w:p w14:paraId="656024D0" w14:textId="2E855E94" w:rsidR="001C5059" w:rsidRPr="00874F6A" w:rsidRDefault="00874F6A" w:rsidP="00874F6A">
      <w:pPr>
        <w:pStyle w:val="Caption"/>
        <w:rPr>
          <w:i w:val="0"/>
          <w:iCs w:val="0"/>
          <w:color w:val="auto"/>
        </w:rPr>
      </w:pPr>
      <w:r w:rsidRPr="00874F6A">
        <w:rPr>
          <w:b/>
          <w:bCs/>
          <w:i w:val="0"/>
          <w:iCs w:val="0"/>
          <w:color w:val="auto"/>
        </w:rPr>
        <w:t xml:space="preserve">Chromatogram </w:t>
      </w:r>
      <w:r w:rsidRPr="00874F6A">
        <w:rPr>
          <w:b/>
          <w:bCs/>
          <w:i w:val="0"/>
          <w:iCs w:val="0"/>
          <w:color w:val="auto"/>
        </w:rPr>
        <w:fldChar w:fldCharType="begin"/>
      </w:r>
      <w:r w:rsidRPr="00874F6A">
        <w:rPr>
          <w:b/>
          <w:bCs/>
          <w:i w:val="0"/>
          <w:iCs w:val="0"/>
          <w:color w:val="auto"/>
        </w:rPr>
        <w:instrText xml:space="preserve"> SEQ Chromatogram \* ARABIC </w:instrText>
      </w:r>
      <w:r w:rsidRPr="00874F6A">
        <w:rPr>
          <w:b/>
          <w:bCs/>
          <w:i w:val="0"/>
          <w:iCs w:val="0"/>
          <w:color w:val="auto"/>
        </w:rPr>
        <w:fldChar w:fldCharType="separate"/>
      </w:r>
      <w:r w:rsidR="00AA5E09">
        <w:rPr>
          <w:b/>
          <w:bCs/>
          <w:i w:val="0"/>
          <w:iCs w:val="0"/>
          <w:noProof/>
          <w:color w:val="auto"/>
        </w:rPr>
        <w:t>3</w:t>
      </w:r>
      <w:r w:rsidRPr="00874F6A">
        <w:rPr>
          <w:b/>
          <w:bCs/>
          <w:i w:val="0"/>
          <w:iCs w:val="0"/>
          <w:color w:val="auto"/>
        </w:rPr>
        <w:fldChar w:fldCharType="end"/>
      </w:r>
      <w:r w:rsidRPr="00874F6A">
        <w:rPr>
          <w:b/>
          <w:bCs/>
          <w:i w:val="0"/>
          <w:iCs w:val="0"/>
          <w:color w:val="auto"/>
        </w:rPr>
        <w:t>:</w:t>
      </w:r>
      <w:r w:rsidRPr="00874F6A">
        <w:rPr>
          <w:i w:val="0"/>
          <w:iCs w:val="0"/>
          <w:color w:val="auto"/>
        </w:rPr>
        <w:t xml:space="preserve"> Farnesol 8 cyclization using (a) chlorosulfonic acid and (b) AacSHC A306W including the chiral chromatogram.</w:t>
      </w:r>
    </w:p>
    <w:p w14:paraId="61B36212" w14:textId="77777777" w:rsidR="00874F6A" w:rsidRDefault="001C5059" w:rsidP="00874F6A">
      <w:pPr>
        <w:keepNext/>
      </w:pPr>
      <w:r>
        <w:rPr>
          <w:noProof/>
        </w:rPr>
        <w:lastRenderedPageBreak/>
        <w:drawing>
          <wp:inline distT="0" distB="0" distL="0" distR="0" wp14:anchorId="0763BB0C" wp14:editId="04792486">
            <wp:extent cx="5186470" cy="3040287"/>
            <wp:effectExtent l="0" t="0" r="0" b="8255"/>
            <wp:docPr id="86" name="Picture 86"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 engineering drawing, schematic&#10;&#10;Description automatically generated"/>
                    <pic:cNvPicPr/>
                  </pic:nvPicPr>
                  <pic:blipFill rotWithShape="1">
                    <a:blip r:embed="rId75"/>
                    <a:srcRect l="9939" t="53305" b="4118"/>
                    <a:stretch/>
                  </pic:blipFill>
                  <pic:spPr bwMode="auto">
                    <a:xfrm>
                      <a:off x="0" y="0"/>
                      <a:ext cx="5188178" cy="3041288"/>
                    </a:xfrm>
                    <a:prstGeom prst="rect">
                      <a:avLst/>
                    </a:prstGeom>
                    <a:ln>
                      <a:noFill/>
                    </a:ln>
                    <a:extLst>
                      <a:ext uri="{53640926-AAD7-44D8-BBD7-CCE9431645EC}">
                        <a14:shadowObscured xmlns:a14="http://schemas.microsoft.com/office/drawing/2010/main"/>
                      </a:ext>
                    </a:extLst>
                  </pic:spPr>
                </pic:pic>
              </a:graphicData>
            </a:graphic>
          </wp:inline>
        </w:drawing>
      </w:r>
    </w:p>
    <w:p w14:paraId="4DB62268" w14:textId="73D3A5B5" w:rsidR="001C5059" w:rsidRPr="008A0AA9" w:rsidRDefault="00874F6A" w:rsidP="00874F6A">
      <w:pPr>
        <w:pStyle w:val="Caption"/>
        <w:rPr>
          <w:i w:val="0"/>
          <w:iCs w:val="0"/>
          <w:color w:val="auto"/>
        </w:rPr>
      </w:pPr>
      <w:r w:rsidRPr="008A0AA9">
        <w:rPr>
          <w:b/>
          <w:bCs/>
          <w:i w:val="0"/>
          <w:iCs w:val="0"/>
          <w:color w:val="auto"/>
        </w:rPr>
        <w:t xml:space="preserve">Chromatogram </w:t>
      </w:r>
      <w:r w:rsidRPr="008A0AA9">
        <w:rPr>
          <w:b/>
          <w:bCs/>
          <w:i w:val="0"/>
          <w:iCs w:val="0"/>
          <w:color w:val="auto"/>
        </w:rPr>
        <w:fldChar w:fldCharType="begin"/>
      </w:r>
      <w:r w:rsidRPr="008A0AA9">
        <w:rPr>
          <w:b/>
          <w:bCs/>
          <w:i w:val="0"/>
          <w:iCs w:val="0"/>
          <w:color w:val="auto"/>
        </w:rPr>
        <w:instrText xml:space="preserve"> SEQ Chromatogram \* ARABIC </w:instrText>
      </w:r>
      <w:r w:rsidRPr="008A0AA9">
        <w:rPr>
          <w:b/>
          <w:bCs/>
          <w:i w:val="0"/>
          <w:iCs w:val="0"/>
          <w:color w:val="auto"/>
        </w:rPr>
        <w:fldChar w:fldCharType="separate"/>
      </w:r>
      <w:r w:rsidR="00AA5E09">
        <w:rPr>
          <w:b/>
          <w:bCs/>
          <w:i w:val="0"/>
          <w:iCs w:val="0"/>
          <w:noProof/>
          <w:color w:val="auto"/>
        </w:rPr>
        <w:t>4</w:t>
      </w:r>
      <w:r w:rsidRPr="008A0AA9">
        <w:rPr>
          <w:b/>
          <w:bCs/>
          <w:i w:val="0"/>
          <w:iCs w:val="0"/>
          <w:color w:val="auto"/>
        </w:rPr>
        <w:fldChar w:fldCharType="end"/>
      </w:r>
      <w:r w:rsidR="008A0AA9">
        <w:rPr>
          <w:i w:val="0"/>
          <w:iCs w:val="0"/>
          <w:color w:val="auto"/>
        </w:rPr>
        <w:t>:</w:t>
      </w:r>
      <w:r w:rsidRPr="008A0AA9">
        <w:rPr>
          <w:i w:val="0"/>
          <w:iCs w:val="0"/>
          <w:color w:val="auto"/>
        </w:rPr>
        <w:t xml:space="preserve"> Farnesyl acetone 1</w:t>
      </w:r>
      <w:r w:rsidR="008A0AA9" w:rsidRPr="008A0AA9">
        <w:rPr>
          <w:i w:val="0"/>
          <w:iCs w:val="0"/>
          <w:color w:val="auto"/>
        </w:rPr>
        <w:t>3</w:t>
      </w:r>
      <w:r w:rsidRPr="008A0AA9">
        <w:rPr>
          <w:i w:val="0"/>
          <w:iCs w:val="0"/>
          <w:color w:val="auto"/>
        </w:rPr>
        <w:t xml:space="preserve"> cyclization</w:t>
      </w:r>
      <w:r w:rsidR="008A0AA9" w:rsidRPr="008A0AA9">
        <w:rPr>
          <w:i w:val="0"/>
          <w:iCs w:val="0"/>
          <w:color w:val="auto"/>
        </w:rPr>
        <w:t xml:space="preserve"> using (a) chlorosulfonic acid and (b) AacSHC F601D F605L including the chiral chromatogram.</w:t>
      </w:r>
    </w:p>
    <w:p w14:paraId="37C6C74F" w14:textId="77777777" w:rsidR="00874F6A" w:rsidRDefault="001C5059" w:rsidP="00874F6A">
      <w:pPr>
        <w:keepNext/>
      </w:pPr>
      <w:r>
        <w:rPr>
          <w:noProof/>
        </w:rPr>
        <w:drawing>
          <wp:inline distT="0" distB="0" distL="0" distR="0" wp14:anchorId="42AB869B" wp14:editId="3950F80D">
            <wp:extent cx="5299292" cy="3315335"/>
            <wp:effectExtent l="0" t="0" r="0" b="0"/>
            <wp:docPr id="87" name="Picture 8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Diagram, schematic&#10;&#10;Description automatically generated"/>
                    <pic:cNvPicPr/>
                  </pic:nvPicPr>
                  <pic:blipFill rotWithShape="1">
                    <a:blip r:embed="rId76"/>
                    <a:srcRect l="8002" b="53583"/>
                    <a:stretch/>
                  </pic:blipFill>
                  <pic:spPr bwMode="auto">
                    <a:xfrm>
                      <a:off x="0" y="0"/>
                      <a:ext cx="5299762" cy="3315629"/>
                    </a:xfrm>
                    <a:prstGeom prst="rect">
                      <a:avLst/>
                    </a:prstGeom>
                    <a:ln>
                      <a:noFill/>
                    </a:ln>
                    <a:extLst>
                      <a:ext uri="{53640926-AAD7-44D8-BBD7-CCE9431645EC}">
                        <a14:shadowObscured xmlns:a14="http://schemas.microsoft.com/office/drawing/2010/main"/>
                      </a:ext>
                    </a:extLst>
                  </pic:spPr>
                </pic:pic>
              </a:graphicData>
            </a:graphic>
          </wp:inline>
        </w:drawing>
      </w:r>
    </w:p>
    <w:p w14:paraId="223FFD80" w14:textId="74624513" w:rsidR="001C5059" w:rsidRPr="008A0AA9" w:rsidRDefault="00874F6A" w:rsidP="00874F6A">
      <w:pPr>
        <w:pStyle w:val="Caption"/>
        <w:rPr>
          <w:i w:val="0"/>
          <w:iCs w:val="0"/>
          <w:color w:val="auto"/>
        </w:rPr>
      </w:pPr>
      <w:r w:rsidRPr="008A0AA9">
        <w:rPr>
          <w:b/>
          <w:bCs/>
          <w:i w:val="0"/>
          <w:iCs w:val="0"/>
          <w:color w:val="auto"/>
        </w:rPr>
        <w:t xml:space="preserve">Chromatogram </w:t>
      </w:r>
      <w:r w:rsidRPr="008A0AA9">
        <w:rPr>
          <w:b/>
          <w:bCs/>
          <w:i w:val="0"/>
          <w:iCs w:val="0"/>
          <w:color w:val="auto"/>
        </w:rPr>
        <w:fldChar w:fldCharType="begin"/>
      </w:r>
      <w:r w:rsidRPr="008A0AA9">
        <w:rPr>
          <w:b/>
          <w:bCs/>
          <w:i w:val="0"/>
          <w:iCs w:val="0"/>
          <w:color w:val="auto"/>
        </w:rPr>
        <w:instrText xml:space="preserve"> SEQ Chromatogram \* ARABIC </w:instrText>
      </w:r>
      <w:r w:rsidRPr="008A0AA9">
        <w:rPr>
          <w:b/>
          <w:bCs/>
          <w:i w:val="0"/>
          <w:iCs w:val="0"/>
          <w:color w:val="auto"/>
        </w:rPr>
        <w:fldChar w:fldCharType="separate"/>
      </w:r>
      <w:r w:rsidR="00AA5E09">
        <w:rPr>
          <w:b/>
          <w:bCs/>
          <w:i w:val="0"/>
          <w:iCs w:val="0"/>
          <w:noProof/>
          <w:color w:val="auto"/>
        </w:rPr>
        <w:t>5</w:t>
      </w:r>
      <w:r w:rsidRPr="008A0AA9">
        <w:rPr>
          <w:b/>
          <w:bCs/>
          <w:i w:val="0"/>
          <w:iCs w:val="0"/>
          <w:color w:val="auto"/>
        </w:rPr>
        <w:fldChar w:fldCharType="end"/>
      </w:r>
      <w:r w:rsidR="008A0AA9" w:rsidRPr="008A0AA9">
        <w:rPr>
          <w:b/>
          <w:bCs/>
          <w:i w:val="0"/>
          <w:iCs w:val="0"/>
          <w:color w:val="auto"/>
        </w:rPr>
        <w:t>:</w:t>
      </w:r>
      <w:r w:rsidR="008A0AA9" w:rsidRPr="008A0AA9">
        <w:rPr>
          <w:i w:val="0"/>
          <w:iCs w:val="0"/>
          <w:color w:val="auto"/>
        </w:rPr>
        <w:t xml:space="preserve"> Geranyl geraniol 10 cyclization using (a) chlorosulfonic acid and (b) AacSHC F605W including the chiral chromatogram.</w:t>
      </w:r>
    </w:p>
    <w:p w14:paraId="3966569E" w14:textId="77777777" w:rsidR="00874F6A" w:rsidRDefault="001C5059" w:rsidP="00874F6A">
      <w:pPr>
        <w:keepNext/>
        <w:jc w:val="center"/>
      </w:pPr>
      <w:r>
        <w:rPr>
          <w:noProof/>
        </w:rPr>
        <w:drawing>
          <wp:inline distT="0" distB="0" distL="0" distR="0" wp14:anchorId="4EE24BA8" wp14:editId="39942B93">
            <wp:extent cx="3638127" cy="965835"/>
            <wp:effectExtent l="0" t="0" r="635" b="5715"/>
            <wp:docPr id="88" name="Picture 8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 schematic&#10;&#10;Description automatically generated"/>
                    <pic:cNvPicPr/>
                  </pic:nvPicPr>
                  <pic:blipFill rotWithShape="1">
                    <a:blip r:embed="rId76"/>
                    <a:srcRect l="36803" t="56616" b="29854"/>
                    <a:stretch/>
                  </pic:blipFill>
                  <pic:spPr bwMode="auto">
                    <a:xfrm>
                      <a:off x="0" y="0"/>
                      <a:ext cx="3640568" cy="966483"/>
                    </a:xfrm>
                    <a:prstGeom prst="rect">
                      <a:avLst/>
                    </a:prstGeom>
                    <a:ln>
                      <a:noFill/>
                    </a:ln>
                    <a:extLst>
                      <a:ext uri="{53640926-AAD7-44D8-BBD7-CCE9431645EC}">
                        <a14:shadowObscured xmlns:a14="http://schemas.microsoft.com/office/drawing/2010/main"/>
                      </a:ext>
                    </a:extLst>
                  </pic:spPr>
                </pic:pic>
              </a:graphicData>
            </a:graphic>
          </wp:inline>
        </w:drawing>
      </w:r>
    </w:p>
    <w:p w14:paraId="7078455D" w14:textId="29C341B2" w:rsidR="001C5059" w:rsidRPr="0069499C" w:rsidRDefault="00874F6A" w:rsidP="00467C5F">
      <w:pPr>
        <w:pStyle w:val="Caption"/>
        <w:jc w:val="left"/>
        <w:rPr>
          <w:i w:val="0"/>
          <w:iCs w:val="0"/>
          <w:color w:val="auto"/>
        </w:rPr>
      </w:pPr>
      <w:r w:rsidRPr="0069499C">
        <w:rPr>
          <w:b/>
          <w:bCs/>
          <w:i w:val="0"/>
          <w:iCs w:val="0"/>
          <w:color w:val="auto"/>
        </w:rPr>
        <w:t xml:space="preserve">Chromatogram </w:t>
      </w:r>
      <w:r w:rsidRPr="0069499C">
        <w:rPr>
          <w:b/>
          <w:bCs/>
          <w:i w:val="0"/>
          <w:iCs w:val="0"/>
          <w:color w:val="auto"/>
        </w:rPr>
        <w:fldChar w:fldCharType="begin"/>
      </w:r>
      <w:r w:rsidRPr="0069499C">
        <w:rPr>
          <w:b/>
          <w:bCs/>
          <w:i w:val="0"/>
          <w:iCs w:val="0"/>
          <w:color w:val="auto"/>
        </w:rPr>
        <w:instrText xml:space="preserve"> SEQ Chromatogram \* ARABIC </w:instrText>
      </w:r>
      <w:r w:rsidRPr="0069499C">
        <w:rPr>
          <w:b/>
          <w:bCs/>
          <w:i w:val="0"/>
          <w:iCs w:val="0"/>
          <w:color w:val="auto"/>
        </w:rPr>
        <w:fldChar w:fldCharType="separate"/>
      </w:r>
      <w:r w:rsidR="00AA5E09">
        <w:rPr>
          <w:b/>
          <w:bCs/>
          <w:i w:val="0"/>
          <w:iCs w:val="0"/>
          <w:noProof/>
          <w:color w:val="auto"/>
        </w:rPr>
        <w:t>6</w:t>
      </w:r>
      <w:r w:rsidRPr="0069499C">
        <w:rPr>
          <w:b/>
          <w:bCs/>
          <w:i w:val="0"/>
          <w:iCs w:val="0"/>
          <w:color w:val="auto"/>
        </w:rPr>
        <w:fldChar w:fldCharType="end"/>
      </w:r>
      <w:r w:rsidR="008A0AA9" w:rsidRPr="0069499C">
        <w:rPr>
          <w:b/>
          <w:bCs/>
          <w:i w:val="0"/>
          <w:iCs w:val="0"/>
          <w:color w:val="auto"/>
        </w:rPr>
        <w:t>:</w:t>
      </w:r>
      <w:r w:rsidR="008A0AA9" w:rsidRPr="0069499C">
        <w:rPr>
          <w:i w:val="0"/>
          <w:iCs w:val="0"/>
          <w:color w:val="auto"/>
        </w:rPr>
        <w:t xml:space="preserve"> </w:t>
      </w:r>
      <w:r w:rsidR="006D6C23" w:rsidRPr="0069499C">
        <w:rPr>
          <w:i w:val="0"/>
          <w:iCs w:val="0"/>
          <w:color w:val="auto"/>
        </w:rPr>
        <w:t>(</w:t>
      </w:r>
      <w:r w:rsidR="00467C5F">
        <w:rPr>
          <w:i w:val="0"/>
          <w:iCs w:val="0"/>
          <w:color w:val="auto"/>
        </w:rPr>
        <w:t>–</w:t>
      </w:r>
      <w:r w:rsidR="006D6C23" w:rsidRPr="0069499C">
        <w:rPr>
          <w:i w:val="0"/>
          <w:iCs w:val="0"/>
          <w:color w:val="auto"/>
        </w:rPr>
        <w:t>)-</w:t>
      </w:r>
      <w:r w:rsidR="0069499C" w:rsidRPr="0069499C">
        <w:rPr>
          <w:rFonts w:cs="Arial"/>
          <w:i w:val="0"/>
          <w:iCs w:val="0"/>
          <w:color w:val="auto"/>
        </w:rPr>
        <w:t>γ</w:t>
      </w:r>
      <w:r w:rsidR="0069499C" w:rsidRPr="0069499C">
        <w:rPr>
          <w:i w:val="0"/>
          <w:iCs w:val="0"/>
          <w:color w:val="auto"/>
        </w:rPr>
        <w:t xml:space="preserve">-dihydroionone </w:t>
      </w:r>
      <w:r w:rsidR="0069499C">
        <w:rPr>
          <w:i w:val="0"/>
          <w:iCs w:val="0"/>
          <w:color w:val="auto"/>
        </w:rPr>
        <w:t>cyclization</w:t>
      </w:r>
      <w:r w:rsidR="00467C5F">
        <w:rPr>
          <w:i w:val="0"/>
          <w:iCs w:val="0"/>
          <w:color w:val="auto"/>
        </w:rPr>
        <w:t xml:space="preserve"> to (+)-</w:t>
      </w:r>
      <w:r w:rsidR="00467C5F">
        <w:rPr>
          <w:rFonts w:ascii="Open Sans" w:hAnsi="Open Sans" w:cs="Open Sans"/>
          <w:i w:val="0"/>
          <w:iCs w:val="0"/>
          <w:color w:val="auto"/>
        </w:rPr>
        <w:t>α</w:t>
      </w:r>
      <w:r w:rsidR="00467C5F">
        <w:rPr>
          <w:i w:val="0"/>
          <w:iCs w:val="0"/>
          <w:color w:val="auto"/>
        </w:rPr>
        <w:t>-ambrinol</w:t>
      </w:r>
      <w:r w:rsidR="0069499C">
        <w:rPr>
          <w:i w:val="0"/>
          <w:iCs w:val="0"/>
          <w:color w:val="auto"/>
        </w:rPr>
        <w:t xml:space="preserve"> using sulfuric acid</w:t>
      </w:r>
      <w:r w:rsidR="00467C5F">
        <w:rPr>
          <w:i w:val="0"/>
          <w:iCs w:val="0"/>
          <w:color w:val="auto"/>
        </w:rPr>
        <w:t>.</w:t>
      </w:r>
      <w:r w:rsidR="00467C5F">
        <w:rPr>
          <w:i w:val="0"/>
          <w:iCs w:val="0"/>
          <w:color w:val="auto"/>
        </w:rPr>
        <w:fldChar w:fldCharType="begin" w:fldLock="1"/>
      </w:r>
      <w:r w:rsidR="00E81BA1">
        <w:rPr>
          <w:i w:val="0"/>
          <w:iCs w:val="0"/>
          <w:color w:val="auto"/>
        </w:rPr>
        <w:instrText>ADDIN CSL_CITATION {"citationItems":[{"id":"ITEM-1","itemData":{"DOI":"10.1002/anie.202101228","ISSN":"15213773","PMID":"33769659","abstract":"Cascade reactions appeared as a cutting-edge strategy to streamline the assembly of complex structural scaffolds from naturally available precursors in an atom-, as well as time, labor- and cost-efficient way. We herein report a strategy to control cationic cyclization cascades by exploiting the ability of anchoring dynamic substrates in the active site of terpene cyclases via designed hydrogen bonding. Thereby, it is possible to induce “directed” cyclizations in contrast to established “non-stop” cyclizations (99:1) and predestinate cascade termination at otherwise catalytically barely accessible intermediates. As a result, we are able to provide efficient access to naturally widely occurring apocarotenoids, value-added flavors and fragrances in gram-scale by replacing multi-stage synthetic routes to a single step with unprecedented selectivity (&gt;99.5 % ee) and high yields (up to 89 %).","author":[{"dropping-particle":"","family":"Schneider","given":"Andreas","non-dropping-particle":"","parse-names":false,"suffix":""},{"dropping-particle":"","family":"Jegl","given":"Philipp","non-dropping-particle":"","parse-names":false,"suffix":""},{"dropping-particle":"","family":"Hauer","given":"Bernhard","non-dropping-particle":"","parse-names":false,"suffix":""}],"container-title":"Angewandte Chemie - International Edition","id":"ITEM-1","issue":"24","issued":{"date-parts":[["2021","6","7"]]},"page":"13251-13256","publisher":"John Wiley and Sons Inc","title":"Stereoselective Directed Cationic Cascades Enabled by Molecular Anchoring in Terpene Cyclases","type":"article-journal","volume":"60"},"uris":["http://www.mendeley.com/documents/?uuid=3b0947be-3de3-30e1-ae4f-52f6910ee5d4"]}],"mendeley":{"formattedCitation":"&lt;sup&gt;7&lt;/sup&gt;","plainTextFormattedCitation":"7","previouslyFormattedCitation":"&lt;sup&gt;6&lt;/sup&gt;"},"properties":{"noteIndex":0},"schema":"https://github.com/citation-style-language/schema/raw/master/csl-citation.json"}</w:instrText>
      </w:r>
      <w:r w:rsidR="00467C5F">
        <w:rPr>
          <w:i w:val="0"/>
          <w:iCs w:val="0"/>
          <w:color w:val="auto"/>
        </w:rPr>
        <w:fldChar w:fldCharType="separate"/>
      </w:r>
      <w:r w:rsidR="00E81BA1" w:rsidRPr="00E81BA1">
        <w:rPr>
          <w:i w:val="0"/>
          <w:iCs w:val="0"/>
          <w:noProof/>
          <w:color w:val="auto"/>
          <w:vertAlign w:val="superscript"/>
        </w:rPr>
        <w:t>7</w:t>
      </w:r>
      <w:r w:rsidR="00467C5F">
        <w:rPr>
          <w:i w:val="0"/>
          <w:iCs w:val="0"/>
          <w:color w:val="auto"/>
        </w:rPr>
        <w:fldChar w:fldCharType="end"/>
      </w:r>
      <w:r w:rsidR="0069499C">
        <w:rPr>
          <w:i w:val="0"/>
          <w:iCs w:val="0"/>
          <w:color w:val="auto"/>
        </w:rPr>
        <w:t xml:space="preserve"> </w:t>
      </w:r>
    </w:p>
    <w:p w14:paraId="0F8F43A5" w14:textId="4C053DF0" w:rsidR="006A34D7" w:rsidRDefault="00A906F9" w:rsidP="00A906F9">
      <w:pPr>
        <w:pStyle w:val="Heading1"/>
        <w:numPr>
          <w:ilvl w:val="0"/>
          <w:numId w:val="6"/>
        </w:numPr>
      </w:pPr>
      <w:bookmarkStart w:id="143" w:name="_Toc134623426"/>
      <w:r>
        <w:lastRenderedPageBreak/>
        <w:t>Supporting mass spectra</w:t>
      </w:r>
      <w:bookmarkEnd w:id="143"/>
    </w:p>
    <w:p w14:paraId="2293AFC7" w14:textId="430200CB" w:rsidR="001E3F6D" w:rsidRDefault="00012BFA" w:rsidP="0010775E">
      <w:pPr>
        <w:spacing w:line="259" w:lineRule="auto"/>
        <w:jc w:val="left"/>
      </w:pPr>
      <w:r>
        <w:rPr>
          <w:noProof/>
        </w:rPr>
        <w:drawing>
          <wp:inline distT="0" distB="0" distL="0" distR="0" wp14:anchorId="3EE53CAB" wp14:editId="6451D2A7">
            <wp:extent cx="5760720" cy="6299200"/>
            <wp:effectExtent l="0" t="0" r="0" b="6350"/>
            <wp:docPr id="46" name="Picture 4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schematic&#10;&#10;Description automatically generated"/>
                    <pic:cNvPicPr/>
                  </pic:nvPicPr>
                  <pic:blipFill rotWithShape="1">
                    <a:blip r:embed="rId77"/>
                    <a:srcRect b="11815"/>
                    <a:stretch/>
                  </pic:blipFill>
                  <pic:spPr bwMode="auto">
                    <a:xfrm>
                      <a:off x="0" y="0"/>
                      <a:ext cx="5760720" cy="6299200"/>
                    </a:xfrm>
                    <a:prstGeom prst="rect">
                      <a:avLst/>
                    </a:prstGeom>
                    <a:ln>
                      <a:noFill/>
                    </a:ln>
                    <a:extLst>
                      <a:ext uri="{53640926-AAD7-44D8-BBD7-CCE9431645EC}">
                        <a14:shadowObscured xmlns:a14="http://schemas.microsoft.com/office/drawing/2010/main"/>
                      </a:ext>
                    </a:extLst>
                  </pic:spPr>
                </pic:pic>
              </a:graphicData>
            </a:graphic>
          </wp:inline>
        </w:drawing>
      </w:r>
    </w:p>
    <w:p w14:paraId="7275E2DE" w14:textId="77777777" w:rsidR="00012BFA" w:rsidRDefault="00012BFA" w:rsidP="0010775E">
      <w:pPr>
        <w:spacing w:line="259" w:lineRule="auto"/>
        <w:jc w:val="left"/>
      </w:pPr>
    </w:p>
    <w:p w14:paraId="5D79C325" w14:textId="77777777" w:rsidR="00012BFA" w:rsidRDefault="00012BFA" w:rsidP="0010775E">
      <w:pPr>
        <w:spacing w:line="259" w:lineRule="auto"/>
        <w:jc w:val="left"/>
      </w:pPr>
    </w:p>
    <w:p w14:paraId="4BEC48A8" w14:textId="2433143E" w:rsidR="00012BFA" w:rsidRDefault="00012BFA" w:rsidP="0010775E">
      <w:pPr>
        <w:spacing w:line="259" w:lineRule="auto"/>
        <w:jc w:val="left"/>
      </w:pPr>
      <w:r>
        <w:rPr>
          <w:noProof/>
        </w:rPr>
        <w:lastRenderedPageBreak/>
        <w:drawing>
          <wp:inline distT="0" distB="0" distL="0" distR="0" wp14:anchorId="569C6045" wp14:editId="2C793EBE">
            <wp:extent cx="5760720" cy="6642100"/>
            <wp:effectExtent l="0" t="0" r="0" b="635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rotWithShape="1">
                    <a:blip r:embed="rId78"/>
                    <a:srcRect b="7013"/>
                    <a:stretch/>
                  </pic:blipFill>
                  <pic:spPr bwMode="auto">
                    <a:xfrm>
                      <a:off x="0" y="0"/>
                      <a:ext cx="5760720" cy="6642100"/>
                    </a:xfrm>
                    <a:prstGeom prst="rect">
                      <a:avLst/>
                    </a:prstGeom>
                    <a:ln>
                      <a:noFill/>
                    </a:ln>
                    <a:extLst>
                      <a:ext uri="{53640926-AAD7-44D8-BBD7-CCE9431645EC}">
                        <a14:shadowObscured xmlns:a14="http://schemas.microsoft.com/office/drawing/2010/main"/>
                      </a:ext>
                    </a:extLst>
                  </pic:spPr>
                </pic:pic>
              </a:graphicData>
            </a:graphic>
          </wp:inline>
        </w:drawing>
      </w:r>
    </w:p>
    <w:p w14:paraId="4A7FB187" w14:textId="6D55AE86" w:rsidR="00012BFA" w:rsidRDefault="00012BFA" w:rsidP="0010775E">
      <w:pPr>
        <w:spacing w:line="259" w:lineRule="auto"/>
        <w:jc w:val="left"/>
      </w:pPr>
      <w:r>
        <w:rPr>
          <w:noProof/>
        </w:rPr>
        <w:lastRenderedPageBreak/>
        <w:drawing>
          <wp:inline distT="0" distB="0" distL="0" distR="0" wp14:anchorId="0B153A67" wp14:editId="36A9423C">
            <wp:extent cx="5760720" cy="6337300"/>
            <wp:effectExtent l="0" t="0" r="0" b="6350"/>
            <wp:docPr id="48" name="Picture 4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 schematic&#10;&#10;Description automatically generated"/>
                    <pic:cNvPicPr/>
                  </pic:nvPicPr>
                  <pic:blipFill rotWithShape="1">
                    <a:blip r:embed="rId79"/>
                    <a:srcRect b="11281"/>
                    <a:stretch/>
                  </pic:blipFill>
                  <pic:spPr bwMode="auto">
                    <a:xfrm>
                      <a:off x="0" y="0"/>
                      <a:ext cx="5760720" cy="6337300"/>
                    </a:xfrm>
                    <a:prstGeom prst="rect">
                      <a:avLst/>
                    </a:prstGeom>
                    <a:ln>
                      <a:noFill/>
                    </a:ln>
                    <a:extLst>
                      <a:ext uri="{53640926-AAD7-44D8-BBD7-CCE9431645EC}">
                        <a14:shadowObscured xmlns:a14="http://schemas.microsoft.com/office/drawing/2010/main"/>
                      </a:ext>
                    </a:extLst>
                  </pic:spPr>
                </pic:pic>
              </a:graphicData>
            </a:graphic>
          </wp:inline>
        </w:drawing>
      </w:r>
    </w:p>
    <w:p w14:paraId="4F5DC339" w14:textId="59F6AED0" w:rsidR="00012BFA" w:rsidRDefault="00012BFA" w:rsidP="0010775E">
      <w:pPr>
        <w:spacing w:line="259" w:lineRule="auto"/>
        <w:jc w:val="left"/>
      </w:pPr>
      <w:r>
        <w:rPr>
          <w:noProof/>
        </w:rPr>
        <w:lastRenderedPageBreak/>
        <w:drawing>
          <wp:inline distT="0" distB="0" distL="0" distR="0" wp14:anchorId="69873B83" wp14:editId="58A38B30">
            <wp:extent cx="5760720" cy="4406900"/>
            <wp:effectExtent l="0" t="0" r="0" b="0"/>
            <wp:docPr id="49" name="Picture 4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 schematic&#10;&#10;Description automatically generated"/>
                    <pic:cNvPicPr/>
                  </pic:nvPicPr>
                  <pic:blipFill rotWithShape="1">
                    <a:blip r:embed="rId80"/>
                    <a:srcRect b="38306"/>
                    <a:stretch/>
                  </pic:blipFill>
                  <pic:spPr bwMode="auto">
                    <a:xfrm>
                      <a:off x="0" y="0"/>
                      <a:ext cx="5760720" cy="4406900"/>
                    </a:xfrm>
                    <a:prstGeom prst="rect">
                      <a:avLst/>
                    </a:prstGeom>
                    <a:ln>
                      <a:noFill/>
                    </a:ln>
                    <a:extLst>
                      <a:ext uri="{53640926-AAD7-44D8-BBD7-CCE9431645EC}">
                        <a14:shadowObscured xmlns:a14="http://schemas.microsoft.com/office/drawing/2010/main"/>
                      </a:ext>
                    </a:extLst>
                  </pic:spPr>
                </pic:pic>
              </a:graphicData>
            </a:graphic>
          </wp:inline>
        </w:drawing>
      </w:r>
    </w:p>
    <w:p w14:paraId="77F70138" w14:textId="260C4B49" w:rsidR="00012BFA" w:rsidRPr="001E3F6D" w:rsidRDefault="00012BFA" w:rsidP="0010775E">
      <w:pPr>
        <w:spacing w:line="259" w:lineRule="auto"/>
        <w:jc w:val="left"/>
      </w:pPr>
      <w:r>
        <w:br w:type="page"/>
      </w:r>
    </w:p>
    <w:p w14:paraId="4EB8AC14" w14:textId="34EF3141" w:rsidR="00A46BC0" w:rsidRDefault="00A46BC0" w:rsidP="00A46BC0">
      <w:pPr>
        <w:pStyle w:val="Heading1"/>
        <w:numPr>
          <w:ilvl w:val="0"/>
          <w:numId w:val="6"/>
        </w:numPr>
      </w:pPr>
      <w:bookmarkStart w:id="144" w:name="_Toc134623427"/>
      <w:r>
        <w:lastRenderedPageBreak/>
        <w:t xml:space="preserve">NMR </w:t>
      </w:r>
      <w:r w:rsidR="00F001B7">
        <w:t>spectra</w:t>
      </w:r>
      <w:bookmarkEnd w:id="144"/>
    </w:p>
    <w:p w14:paraId="7E5A6F49" w14:textId="5326E83E" w:rsidR="00D85145" w:rsidRPr="00AF2932" w:rsidRDefault="0063280E" w:rsidP="00D85145">
      <w:pPr>
        <w:rPr>
          <w:b/>
          <w:bCs/>
        </w:rPr>
      </w:pPr>
      <w:r w:rsidRPr="00AF2932">
        <w:rPr>
          <w:b/>
          <w:bCs/>
          <w:vertAlign w:val="superscript"/>
        </w:rPr>
        <w:t>1</w:t>
      </w:r>
      <w:r w:rsidRPr="00AF2932">
        <w:rPr>
          <w:b/>
          <w:bCs/>
        </w:rPr>
        <w:t>H of cyclogeranyl acetate hydrate</w:t>
      </w:r>
      <w:r w:rsidR="00AA7FA8" w:rsidRPr="00AF2932">
        <w:rPr>
          <w:b/>
          <w:bCs/>
        </w:rPr>
        <w:t xml:space="preserve"> (</w:t>
      </w:r>
      <w:r w:rsidR="00AF2932" w:rsidRPr="00AF2932">
        <w:rPr>
          <w:b/>
          <w:bCs/>
        </w:rPr>
        <w:t>8</w:t>
      </w:r>
      <w:r w:rsidR="00AA7FA8" w:rsidRPr="00AF2932">
        <w:rPr>
          <w:b/>
          <w:bCs/>
        </w:rPr>
        <w:t>)</w:t>
      </w:r>
      <w:r w:rsidR="006566D5" w:rsidRPr="00AF2932">
        <w:rPr>
          <w:b/>
          <w:bCs/>
        </w:rPr>
        <w:t>, ethyl acetate impurity</w:t>
      </w:r>
    </w:p>
    <w:p w14:paraId="6AF00956" w14:textId="31E89CE7" w:rsidR="002A6A89" w:rsidRDefault="002A6A89" w:rsidP="002A6A89">
      <w:r>
        <w:rPr>
          <w:noProof/>
        </w:rPr>
        <w:drawing>
          <wp:inline distT="0" distB="0" distL="0" distR="0" wp14:anchorId="6138DB49" wp14:editId="25FDAAD2">
            <wp:extent cx="5248275" cy="3710169"/>
            <wp:effectExtent l="0" t="0" r="0" b="508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a:picLocks noChangeAspect="1" noChangeArrowheads="1"/>
                    </pic:cNvPicPr>
                  </pic:nvPicPr>
                  <pic:blipFill rotWithShape="1">
                    <a:blip r:embed="rId81">
                      <a:extLst>
                        <a:ext uri="{28A0092B-C50C-407E-A947-70E740481C1C}">
                          <a14:useLocalDpi xmlns:a14="http://schemas.microsoft.com/office/drawing/2010/main" val="0"/>
                        </a:ext>
                      </a:extLst>
                    </a:blip>
                    <a:srcRect t="8917" r="8893"/>
                    <a:stretch/>
                  </pic:blipFill>
                  <pic:spPr bwMode="auto">
                    <a:xfrm>
                      <a:off x="0" y="0"/>
                      <a:ext cx="5248405" cy="3710261"/>
                    </a:xfrm>
                    <a:prstGeom prst="rect">
                      <a:avLst/>
                    </a:prstGeom>
                    <a:noFill/>
                    <a:ln>
                      <a:noFill/>
                    </a:ln>
                    <a:extLst>
                      <a:ext uri="{53640926-AAD7-44D8-BBD7-CCE9431645EC}">
                        <a14:shadowObscured xmlns:a14="http://schemas.microsoft.com/office/drawing/2010/main"/>
                      </a:ext>
                    </a:extLst>
                  </pic:spPr>
                </pic:pic>
              </a:graphicData>
            </a:graphic>
          </wp:inline>
        </w:drawing>
      </w:r>
    </w:p>
    <w:p w14:paraId="62F54D98" w14:textId="77777777" w:rsidR="00B61CF1" w:rsidRDefault="00B61CF1" w:rsidP="002A6A89"/>
    <w:p w14:paraId="04AADB82" w14:textId="4A920CCF" w:rsidR="0063280E" w:rsidRPr="00AF2932" w:rsidRDefault="0063280E" w:rsidP="002A6A89">
      <w:pPr>
        <w:rPr>
          <w:b/>
          <w:bCs/>
        </w:rPr>
      </w:pPr>
      <w:r w:rsidRPr="00AF2932">
        <w:rPr>
          <w:b/>
          <w:bCs/>
          <w:vertAlign w:val="superscript"/>
        </w:rPr>
        <w:t>13</w:t>
      </w:r>
      <w:r w:rsidRPr="00AF2932">
        <w:rPr>
          <w:b/>
          <w:bCs/>
        </w:rPr>
        <w:t>C of cyclogeranyl acetate hydrate</w:t>
      </w:r>
      <w:r w:rsidR="00AF2932" w:rsidRPr="00AF2932">
        <w:rPr>
          <w:b/>
          <w:bCs/>
        </w:rPr>
        <w:t xml:space="preserve"> (8)</w:t>
      </w:r>
      <w:r w:rsidR="006566D5" w:rsidRPr="00AF2932">
        <w:rPr>
          <w:b/>
          <w:bCs/>
        </w:rPr>
        <w:t>, ethyl acetate impurity</w:t>
      </w:r>
    </w:p>
    <w:p w14:paraId="70C17085" w14:textId="4242628F" w:rsidR="00AA7FA8" w:rsidRDefault="001E3F6D" w:rsidP="002A6A89">
      <w:r>
        <w:rPr>
          <w:noProof/>
        </w:rPr>
        <w:lastRenderedPageBreak/>
        <w:drawing>
          <wp:inline distT="0" distB="0" distL="0" distR="0" wp14:anchorId="56AD2A9E" wp14:editId="2784B612">
            <wp:extent cx="5185410" cy="3706003"/>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2">
                      <a:extLst>
                        <a:ext uri="{28A0092B-C50C-407E-A947-70E740481C1C}">
                          <a14:useLocalDpi xmlns:a14="http://schemas.microsoft.com/office/drawing/2010/main" val="0"/>
                        </a:ext>
                      </a:extLst>
                    </a:blip>
                    <a:srcRect t="8817" r="9702"/>
                    <a:stretch/>
                  </pic:blipFill>
                  <pic:spPr bwMode="auto">
                    <a:xfrm>
                      <a:off x="0" y="0"/>
                      <a:ext cx="5185775" cy="3706264"/>
                    </a:xfrm>
                    <a:prstGeom prst="rect">
                      <a:avLst/>
                    </a:prstGeom>
                    <a:noFill/>
                    <a:ln>
                      <a:noFill/>
                    </a:ln>
                    <a:extLst>
                      <a:ext uri="{53640926-AAD7-44D8-BBD7-CCE9431645EC}">
                        <a14:shadowObscured xmlns:a14="http://schemas.microsoft.com/office/drawing/2010/main"/>
                      </a:ext>
                    </a:extLst>
                  </pic:spPr>
                </pic:pic>
              </a:graphicData>
            </a:graphic>
          </wp:inline>
        </w:drawing>
      </w:r>
    </w:p>
    <w:p w14:paraId="65513A6F" w14:textId="05FACE63" w:rsidR="00AA7FA8" w:rsidRPr="00AF2932" w:rsidRDefault="00AA7FA8" w:rsidP="002A6A89">
      <w:pPr>
        <w:rPr>
          <w:b/>
          <w:bCs/>
        </w:rPr>
      </w:pPr>
      <w:r w:rsidRPr="00AF2932">
        <w:rPr>
          <w:b/>
          <w:bCs/>
          <w:vertAlign w:val="superscript"/>
        </w:rPr>
        <w:t>1</w:t>
      </w:r>
      <w:r w:rsidRPr="00AF2932">
        <w:rPr>
          <w:b/>
          <w:bCs/>
        </w:rPr>
        <w:t>H of trans-hexahydrochromene (</w:t>
      </w:r>
      <w:r w:rsidR="00AF2932" w:rsidRPr="00AF2932">
        <w:rPr>
          <w:b/>
          <w:bCs/>
        </w:rPr>
        <w:t>18</w:t>
      </w:r>
      <w:r w:rsidRPr="00AF2932">
        <w:rPr>
          <w:b/>
          <w:bCs/>
        </w:rPr>
        <w:t>)</w:t>
      </w:r>
    </w:p>
    <w:p w14:paraId="22A4C0A6" w14:textId="29523FB9" w:rsidR="0063280E" w:rsidRDefault="00AA7FA8" w:rsidP="002A6A89">
      <w:r>
        <w:rPr>
          <w:noProof/>
        </w:rPr>
        <w:drawing>
          <wp:inline distT="0" distB="0" distL="0" distR="0" wp14:anchorId="1A7A32A9" wp14:editId="3CEFF719">
            <wp:extent cx="5226908" cy="36569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rotWithShape="1">
                    <a:blip r:embed="rId83">
                      <a:extLst>
                        <a:ext uri="{28A0092B-C50C-407E-A947-70E740481C1C}">
                          <a14:useLocalDpi xmlns:a14="http://schemas.microsoft.com/office/drawing/2010/main" val="0"/>
                        </a:ext>
                      </a:extLst>
                    </a:blip>
                    <a:srcRect t="10030" r="9023"/>
                    <a:stretch/>
                  </pic:blipFill>
                  <pic:spPr bwMode="auto">
                    <a:xfrm>
                      <a:off x="0" y="0"/>
                      <a:ext cx="5227668" cy="3657497"/>
                    </a:xfrm>
                    <a:prstGeom prst="rect">
                      <a:avLst/>
                    </a:prstGeom>
                    <a:noFill/>
                    <a:ln>
                      <a:noFill/>
                    </a:ln>
                    <a:extLst>
                      <a:ext uri="{53640926-AAD7-44D8-BBD7-CCE9431645EC}">
                        <a14:shadowObscured xmlns:a14="http://schemas.microsoft.com/office/drawing/2010/main"/>
                      </a:ext>
                    </a:extLst>
                  </pic:spPr>
                </pic:pic>
              </a:graphicData>
            </a:graphic>
          </wp:inline>
        </w:drawing>
      </w:r>
    </w:p>
    <w:p w14:paraId="7166EB48" w14:textId="77777777" w:rsidR="00B61CF1" w:rsidRDefault="00B61CF1" w:rsidP="002A6A89"/>
    <w:p w14:paraId="5C7BDC5A" w14:textId="5B2E63D3" w:rsidR="00AA7FA8" w:rsidRPr="00AF2932" w:rsidRDefault="00AA7FA8" w:rsidP="00AA7FA8">
      <w:pPr>
        <w:rPr>
          <w:b/>
          <w:bCs/>
        </w:rPr>
      </w:pPr>
      <w:r w:rsidRPr="00AF2932">
        <w:rPr>
          <w:b/>
          <w:bCs/>
          <w:vertAlign w:val="superscript"/>
        </w:rPr>
        <w:t>13</w:t>
      </w:r>
      <w:r w:rsidRPr="00AF2932">
        <w:rPr>
          <w:b/>
          <w:bCs/>
        </w:rPr>
        <w:t>C of trans-hexahydrochromene (</w:t>
      </w:r>
      <w:r w:rsidR="00AF2932" w:rsidRPr="00AF2932">
        <w:rPr>
          <w:b/>
          <w:bCs/>
        </w:rPr>
        <w:t>18</w:t>
      </w:r>
      <w:r w:rsidRPr="00AF2932">
        <w:rPr>
          <w:b/>
          <w:bCs/>
        </w:rPr>
        <w:t>)</w:t>
      </w:r>
    </w:p>
    <w:p w14:paraId="03152011" w14:textId="77777777" w:rsidR="00AA7FA8" w:rsidRDefault="00AA7FA8" w:rsidP="002A6A89"/>
    <w:p w14:paraId="08B60952" w14:textId="098C9ED9" w:rsidR="00CE4928" w:rsidRDefault="00AA7FA8" w:rsidP="002A6A89">
      <w:r>
        <w:rPr>
          <w:noProof/>
        </w:rPr>
        <w:lastRenderedPageBreak/>
        <w:drawing>
          <wp:inline distT="0" distB="0" distL="0" distR="0" wp14:anchorId="78039D9A" wp14:editId="58B5BE2D">
            <wp:extent cx="5226685" cy="3669854"/>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rotWithShape="1">
                    <a:blip r:embed="rId84">
                      <a:extLst>
                        <a:ext uri="{28A0092B-C50C-407E-A947-70E740481C1C}">
                          <a14:useLocalDpi xmlns:a14="http://schemas.microsoft.com/office/drawing/2010/main" val="0"/>
                        </a:ext>
                      </a:extLst>
                    </a:blip>
                    <a:srcRect t="9726" r="9040"/>
                    <a:stretch/>
                  </pic:blipFill>
                  <pic:spPr bwMode="auto">
                    <a:xfrm>
                      <a:off x="0" y="0"/>
                      <a:ext cx="5226685" cy="3669854"/>
                    </a:xfrm>
                    <a:prstGeom prst="rect">
                      <a:avLst/>
                    </a:prstGeom>
                    <a:noFill/>
                    <a:ln>
                      <a:noFill/>
                    </a:ln>
                    <a:extLst>
                      <a:ext uri="{53640926-AAD7-44D8-BBD7-CCE9431645EC}">
                        <a14:shadowObscured xmlns:a14="http://schemas.microsoft.com/office/drawing/2010/main"/>
                      </a:ext>
                    </a:extLst>
                  </pic:spPr>
                </pic:pic>
              </a:graphicData>
            </a:graphic>
          </wp:inline>
        </w:drawing>
      </w:r>
    </w:p>
    <w:p w14:paraId="1C30F208" w14:textId="0695B742" w:rsidR="00CE4928" w:rsidRPr="005C3684" w:rsidRDefault="00CE4928" w:rsidP="002A6A89">
      <w:pPr>
        <w:rPr>
          <w:b/>
          <w:bCs/>
        </w:rPr>
      </w:pPr>
      <w:r w:rsidRPr="005C3684">
        <w:rPr>
          <w:b/>
          <w:bCs/>
          <w:vertAlign w:val="superscript"/>
        </w:rPr>
        <w:t>1</w:t>
      </w:r>
      <w:r w:rsidRPr="005C3684">
        <w:rPr>
          <w:b/>
          <w:bCs/>
        </w:rPr>
        <w:t xml:space="preserve">H of </w:t>
      </w:r>
      <w:r w:rsidR="00A11759" w:rsidRPr="005C3684">
        <w:rPr>
          <w:b/>
          <w:bCs/>
        </w:rPr>
        <w:t>cis</w:t>
      </w:r>
      <w:r w:rsidRPr="005C3684">
        <w:rPr>
          <w:b/>
          <w:bCs/>
        </w:rPr>
        <w:t>-hexahydrochromene (</w:t>
      </w:r>
      <w:r w:rsidR="005C3684" w:rsidRPr="005C3684">
        <w:rPr>
          <w:b/>
          <w:bCs/>
        </w:rPr>
        <w:t>23</w:t>
      </w:r>
      <w:r w:rsidRPr="005C3684">
        <w:rPr>
          <w:b/>
          <w:bCs/>
        </w:rPr>
        <w:t>)</w:t>
      </w:r>
      <w:r w:rsidR="00A11759" w:rsidRPr="005C3684">
        <w:rPr>
          <w:b/>
          <w:bCs/>
        </w:rPr>
        <w:t xml:space="preserve">, </w:t>
      </w:r>
      <w:r w:rsidR="00231760" w:rsidRPr="005C3684">
        <w:rPr>
          <w:b/>
          <w:bCs/>
        </w:rPr>
        <w:t>(cyclohexane impurity)</w:t>
      </w:r>
    </w:p>
    <w:p w14:paraId="316BA15E" w14:textId="1C5EF7FA" w:rsidR="00A11759" w:rsidRDefault="00A11759" w:rsidP="002A6A89">
      <w:r>
        <w:rPr>
          <w:noProof/>
        </w:rPr>
        <w:drawing>
          <wp:inline distT="0" distB="0" distL="0" distR="0" wp14:anchorId="137B3861" wp14:editId="1C7BC038">
            <wp:extent cx="5276335" cy="3656965"/>
            <wp:effectExtent l="0" t="0" r="63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rotWithShape="1">
                    <a:blip r:embed="rId85">
                      <a:extLst>
                        <a:ext uri="{28A0092B-C50C-407E-A947-70E740481C1C}">
                          <a14:useLocalDpi xmlns:a14="http://schemas.microsoft.com/office/drawing/2010/main" val="0"/>
                        </a:ext>
                      </a:extLst>
                    </a:blip>
                    <a:srcRect t="10030" r="8163"/>
                    <a:stretch/>
                  </pic:blipFill>
                  <pic:spPr bwMode="auto">
                    <a:xfrm>
                      <a:off x="0" y="0"/>
                      <a:ext cx="5277103" cy="3657497"/>
                    </a:xfrm>
                    <a:prstGeom prst="rect">
                      <a:avLst/>
                    </a:prstGeom>
                    <a:noFill/>
                    <a:ln>
                      <a:noFill/>
                    </a:ln>
                    <a:extLst>
                      <a:ext uri="{53640926-AAD7-44D8-BBD7-CCE9431645EC}">
                        <a14:shadowObscured xmlns:a14="http://schemas.microsoft.com/office/drawing/2010/main"/>
                      </a:ext>
                    </a:extLst>
                  </pic:spPr>
                </pic:pic>
              </a:graphicData>
            </a:graphic>
          </wp:inline>
        </w:drawing>
      </w:r>
    </w:p>
    <w:p w14:paraId="4A7E3049" w14:textId="77777777" w:rsidR="00B61CF1" w:rsidRDefault="00B61CF1" w:rsidP="002A6A89"/>
    <w:p w14:paraId="5C99D977" w14:textId="225063A3" w:rsidR="00231760" w:rsidRPr="005C3684" w:rsidRDefault="00231760" w:rsidP="00231760">
      <w:pPr>
        <w:rPr>
          <w:b/>
          <w:bCs/>
        </w:rPr>
      </w:pPr>
      <w:r w:rsidRPr="005C3684">
        <w:rPr>
          <w:b/>
          <w:bCs/>
          <w:vertAlign w:val="superscript"/>
        </w:rPr>
        <w:t>13</w:t>
      </w:r>
      <w:r w:rsidRPr="005C3684">
        <w:rPr>
          <w:b/>
          <w:bCs/>
        </w:rPr>
        <w:t xml:space="preserve">C of </w:t>
      </w:r>
      <w:r w:rsidR="00D6506D" w:rsidRPr="005C3684">
        <w:rPr>
          <w:b/>
          <w:bCs/>
        </w:rPr>
        <w:t>cis</w:t>
      </w:r>
      <w:r w:rsidRPr="005C3684">
        <w:rPr>
          <w:b/>
          <w:bCs/>
        </w:rPr>
        <w:t>-hexahydrochromene (</w:t>
      </w:r>
      <w:r w:rsidR="005C3684" w:rsidRPr="005C3684">
        <w:rPr>
          <w:b/>
          <w:bCs/>
        </w:rPr>
        <w:t>23</w:t>
      </w:r>
      <w:r w:rsidRPr="005C3684">
        <w:rPr>
          <w:b/>
          <w:bCs/>
        </w:rPr>
        <w:t>)</w:t>
      </w:r>
      <w:r w:rsidR="00062797" w:rsidRPr="005C3684">
        <w:rPr>
          <w:b/>
          <w:bCs/>
        </w:rPr>
        <w:t>, (cyclohexane impurity)</w:t>
      </w:r>
    </w:p>
    <w:p w14:paraId="111497D4" w14:textId="09BA1E9A" w:rsidR="00231760" w:rsidRDefault="00062797" w:rsidP="002A6A89">
      <w:r>
        <w:rPr>
          <w:noProof/>
        </w:rPr>
        <w:lastRenderedPageBreak/>
        <w:drawing>
          <wp:inline distT="0" distB="0" distL="0" distR="0" wp14:anchorId="5644A3B6" wp14:editId="6F655223">
            <wp:extent cx="5189838" cy="37312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rotWithShape="1">
                    <a:blip r:embed="rId86">
                      <a:extLst>
                        <a:ext uri="{28A0092B-C50C-407E-A947-70E740481C1C}">
                          <a14:useLocalDpi xmlns:a14="http://schemas.microsoft.com/office/drawing/2010/main" val="0"/>
                        </a:ext>
                      </a:extLst>
                    </a:blip>
                    <a:srcRect t="8207" r="9672"/>
                    <a:stretch/>
                  </pic:blipFill>
                  <pic:spPr bwMode="auto">
                    <a:xfrm>
                      <a:off x="0" y="0"/>
                      <a:ext cx="5190362" cy="3731637"/>
                    </a:xfrm>
                    <a:prstGeom prst="rect">
                      <a:avLst/>
                    </a:prstGeom>
                    <a:noFill/>
                    <a:ln>
                      <a:noFill/>
                    </a:ln>
                    <a:extLst>
                      <a:ext uri="{53640926-AAD7-44D8-BBD7-CCE9431645EC}">
                        <a14:shadowObscured xmlns:a14="http://schemas.microsoft.com/office/drawing/2010/main"/>
                      </a:ext>
                    </a:extLst>
                  </pic:spPr>
                </pic:pic>
              </a:graphicData>
            </a:graphic>
          </wp:inline>
        </w:drawing>
      </w:r>
    </w:p>
    <w:p w14:paraId="45F514ED" w14:textId="77777777" w:rsidR="00062797" w:rsidRDefault="00062797" w:rsidP="002A6A89"/>
    <w:p w14:paraId="55AEEE51" w14:textId="483B6538" w:rsidR="00062797" w:rsidRPr="005C3684" w:rsidRDefault="00062797" w:rsidP="00062797">
      <w:pPr>
        <w:rPr>
          <w:b/>
          <w:bCs/>
        </w:rPr>
      </w:pPr>
      <w:r w:rsidRPr="005C3684">
        <w:rPr>
          <w:b/>
          <w:bCs/>
          <w:vertAlign w:val="superscript"/>
        </w:rPr>
        <w:t>1</w:t>
      </w:r>
      <w:r w:rsidRPr="005C3684">
        <w:rPr>
          <w:b/>
          <w:bCs/>
        </w:rPr>
        <w:t xml:space="preserve">H of </w:t>
      </w:r>
      <w:r w:rsidRPr="005C3684">
        <w:rPr>
          <w:rFonts w:cs="Arial"/>
          <w:b/>
          <w:bCs/>
        </w:rPr>
        <w:t>γ</w:t>
      </w:r>
      <w:r w:rsidRPr="005C3684">
        <w:rPr>
          <w:b/>
          <w:bCs/>
        </w:rPr>
        <w:t>-(–)-dihydroionone (</w:t>
      </w:r>
      <w:r w:rsidR="005C3684" w:rsidRPr="005C3684">
        <w:rPr>
          <w:b/>
          <w:bCs/>
        </w:rPr>
        <w:t>24</w:t>
      </w:r>
      <w:r w:rsidRPr="005C3684">
        <w:rPr>
          <w:b/>
          <w:bCs/>
        </w:rPr>
        <w:t>)</w:t>
      </w:r>
    </w:p>
    <w:p w14:paraId="3ABAB476" w14:textId="3E8BE6D9" w:rsidR="00062797" w:rsidRDefault="00A8227C" w:rsidP="00062797">
      <w:r>
        <w:rPr>
          <w:noProof/>
        </w:rPr>
        <w:drawing>
          <wp:inline distT="0" distB="0" distL="0" distR="0" wp14:anchorId="5A9E56E8" wp14:editId="61DEAF78">
            <wp:extent cx="5387546" cy="3632200"/>
            <wp:effectExtent l="0" t="0" r="381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rotWithShape="1">
                    <a:blip r:embed="rId87">
                      <a:extLst>
                        <a:ext uri="{28A0092B-C50C-407E-A947-70E740481C1C}">
                          <a14:useLocalDpi xmlns:a14="http://schemas.microsoft.com/office/drawing/2010/main" val="0"/>
                        </a:ext>
                      </a:extLst>
                    </a:blip>
                    <a:srcRect t="10639" r="6225"/>
                    <a:stretch/>
                  </pic:blipFill>
                  <pic:spPr bwMode="auto">
                    <a:xfrm>
                      <a:off x="0" y="0"/>
                      <a:ext cx="5388411" cy="3632783"/>
                    </a:xfrm>
                    <a:prstGeom prst="rect">
                      <a:avLst/>
                    </a:prstGeom>
                    <a:noFill/>
                    <a:ln>
                      <a:noFill/>
                    </a:ln>
                    <a:extLst>
                      <a:ext uri="{53640926-AAD7-44D8-BBD7-CCE9431645EC}">
                        <a14:shadowObscured xmlns:a14="http://schemas.microsoft.com/office/drawing/2010/main"/>
                      </a:ext>
                    </a:extLst>
                  </pic:spPr>
                </pic:pic>
              </a:graphicData>
            </a:graphic>
          </wp:inline>
        </w:drawing>
      </w:r>
    </w:p>
    <w:p w14:paraId="3FD1DE39" w14:textId="77777777" w:rsidR="00B61CF1" w:rsidRDefault="00B61CF1" w:rsidP="00062797"/>
    <w:p w14:paraId="62233EF5" w14:textId="3EE84A45" w:rsidR="00A8227C" w:rsidRPr="005C3684" w:rsidRDefault="00A8227C" w:rsidP="00A8227C">
      <w:pPr>
        <w:rPr>
          <w:b/>
          <w:bCs/>
        </w:rPr>
      </w:pPr>
      <w:r w:rsidRPr="005C3684">
        <w:rPr>
          <w:b/>
          <w:bCs/>
          <w:vertAlign w:val="superscript"/>
        </w:rPr>
        <w:t>13</w:t>
      </w:r>
      <w:r w:rsidRPr="005C3684">
        <w:rPr>
          <w:b/>
          <w:bCs/>
        </w:rPr>
        <w:t xml:space="preserve">C of </w:t>
      </w:r>
      <w:r w:rsidRPr="005C3684">
        <w:rPr>
          <w:rFonts w:cs="Arial"/>
          <w:b/>
          <w:bCs/>
        </w:rPr>
        <w:t>γ</w:t>
      </w:r>
      <w:r w:rsidRPr="005C3684">
        <w:rPr>
          <w:b/>
          <w:bCs/>
        </w:rPr>
        <w:t>-(–)-dihydroionone (</w:t>
      </w:r>
      <w:r w:rsidR="005C3684" w:rsidRPr="005C3684">
        <w:rPr>
          <w:b/>
          <w:bCs/>
        </w:rPr>
        <w:t>24</w:t>
      </w:r>
      <w:r w:rsidRPr="005C3684">
        <w:rPr>
          <w:b/>
          <w:bCs/>
        </w:rPr>
        <w:t>)</w:t>
      </w:r>
    </w:p>
    <w:p w14:paraId="14F15597" w14:textId="34AE8D18" w:rsidR="00062797" w:rsidRDefault="00A8227C" w:rsidP="002A6A89">
      <w:r>
        <w:rPr>
          <w:noProof/>
        </w:rPr>
        <w:lastRenderedPageBreak/>
        <w:drawing>
          <wp:inline distT="0" distB="0" distL="0" distR="0" wp14:anchorId="100CA48B" wp14:editId="6F38C34B">
            <wp:extent cx="5387340" cy="375602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rotWithShape="1">
                    <a:blip r:embed="rId88">
                      <a:extLst>
                        <a:ext uri="{28A0092B-C50C-407E-A947-70E740481C1C}">
                          <a14:useLocalDpi xmlns:a14="http://schemas.microsoft.com/office/drawing/2010/main" val="0"/>
                        </a:ext>
                      </a:extLst>
                    </a:blip>
                    <a:srcRect t="7599" r="6235"/>
                    <a:stretch/>
                  </pic:blipFill>
                  <pic:spPr bwMode="auto">
                    <a:xfrm>
                      <a:off x="0" y="0"/>
                      <a:ext cx="5387808" cy="3756351"/>
                    </a:xfrm>
                    <a:prstGeom prst="rect">
                      <a:avLst/>
                    </a:prstGeom>
                    <a:noFill/>
                    <a:ln>
                      <a:noFill/>
                    </a:ln>
                    <a:extLst>
                      <a:ext uri="{53640926-AAD7-44D8-BBD7-CCE9431645EC}">
                        <a14:shadowObscured xmlns:a14="http://schemas.microsoft.com/office/drawing/2010/main"/>
                      </a:ext>
                    </a:extLst>
                  </pic:spPr>
                </pic:pic>
              </a:graphicData>
            </a:graphic>
          </wp:inline>
        </w:drawing>
      </w:r>
    </w:p>
    <w:p w14:paraId="1E26B0D6" w14:textId="77777777" w:rsidR="00A8227C" w:rsidRDefault="00A8227C" w:rsidP="002A6A89"/>
    <w:p w14:paraId="0E7303FC" w14:textId="176D31BE" w:rsidR="00A8227C" w:rsidRPr="005C3684" w:rsidRDefault="00A8227C" w:rsidP="00A8227C">
      <w:pPr>
        <w:rPr>
          <w:b/>
          <w:bCs/>
        </w:rPr>
      </w:pPr>
      <w:r w:rsidRPr="005C3684">
        <w:rPr>
          <w:b/>
          <w:bCs/>
          <w:vertAlign w:val="superscript"/>
        </w:rPr>
        <w:t>1</w:t>
      </w:r>
      <w:r w:rsidRPr="005C3684">
        <w:rPr>
          <w:b/>
          <w:bCs/>
        </w:rPr>
        <w:t xml:space="preserve">H of </w:t>
      </w:r>
      <w:r w:rsidRPr="005C3684">
        <w:rPr>
          <w:rFonts w:cs="Arial"/>
          <w:b/>
          <w:bCs/>
        </w:rPr>
        <w:t xml:space="preserve">sclareoloxide </w:t>
      </w:r>
      <w:r w:rsidRPr="005C3684">
        <w:rPr>
          <w:b/>
          <w:bCs/>
        </w:rPr>
        <w:t>(</w:t>
      </w:r>
      <w:r w:rsidR="005C3684" w:rsidRPr="005C3684">
        <w:rPr>
          <w:b/>
          <w:bCs/>
        </w:rPr>
        <w:t>14</w:t>
      </w:r>
      <w:r w:rsidRPr="005C3684">
        <w:rPr>
          <w:b/>
          <w:bCs/>
        </w:rPr>
        <w:t>)</w:t>
      </w:r>
    </w:p>
    <w:p w14:paraId="03EB41B7" w14:textId="667D8647" w:rsidR="00A8227C" w:rsidRDefault="002E02F1" w:rsidP="002A6A89">
      <w:r>
        <w:rPr>
          <w:noProof/>
        </w:rPr>
        <w:drawing>
          <wp:inline distT="0" distB="0" distL="0" distR="0" wp14:anchorId="3E062F90" wp14:editId="074E14CD">
            <wp:extent cx="5214552" cy="3706495"/>
            <wp:effectExtent l="0" t="0" r="571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rotWithShape="1">
                    <a:blip r:embed="rId89">
                      <a:extLst>
                        <a:ext uri="{28A0092B-C50C-407E-A947-70E740481C1C}">
                          <a14:useLocalDpi xmlns:a14="http://schemas.microsoft.com/office/drawing/2010/main" val="0"/>
                        </a:ext>
                      </a:extLst>
                    </a:blip>
                    <a:srcRect t="8814" r="9241"/>
                    <a:stretch/>
                  </pic:blipFill>
                  <pic:spPr bwMode="auto">
                    <a:xfrm>
                      <a:off x="0" y="0"/>
                      <a:ext cx="5215156" cy="3706924"/>
                    </a:xfrm>
                    <a:prstGeom prst="rect">
                      <a:avLst/>
                    </a:prstGeom>
                    <a:noFill/>
                    <a:ln>
                      <a:noFill/>
                    </a:ln>
                    <a:extLst>
                      <a:ext uri="{53640926-AAD7-44D8-BBD7-CCE9431645EC}">
                        <a14:shadowObscured xmlns:a14="http://schemas.microsoft.com/office/drawing/2010/main"/>
                      </a:ext>
                    </a:extLst>
                  </pic:spPr>
                </pic:pic>
              </a:graphicData>
            </a:graphic>
          </wp:inline>
        </w:drawing>
      </w:r>
    </w:p>
    <w:p w14:paraId="3FDD6099" w14:textId="77777777" w:rsidR="00B61CF1" w:rsidRDefault="00B61CF1" w:rsidP="002A6A89"/>
    <w:p w14:paraId="099F585E" w14:textId="1986808E" w:rsidR="002E02F1" w:rsidRPr="005C3684" w:rsidRDefault="002E02F1" w:rsidP="002E02F1">
      <w:pPr>
        <w:rPr>
          <w:b/>
          <w:bCs/>
        </w:rPr>
      </w:pPr>
      <w:r w:rsidRPr="005C3684">
        <w:rPr>
          <w:b/>
          <w:bCs/>
          <w:vertAlign w:val="superscript"/>
        </w:rPr>
        <w:lastRenderedPageBreak/>
        <w:t>13</w:t>
      </w:r>
      <w:r w:rsidRPr="005C3684">
        <w:rPr>
          <w:b/>
          <w:bCs/>
        </w:rPr>
        <w:t xml:space="preserve">C of </w:t>
      </w:r>
      <w:r w:rsidRPr="005C3684">
        <w:rPr>
          <w:rFonts w:cs="Arial"/>
          <w:b/>
          <w:bCs/>
        </w:rPr>
        <w:t xml:space="preserve">sclareoloxide </w:t>
      </w:r>
      <w:r w:rsidRPr="005C3684">
        <w:rPr>
          <w:b/>
          <w:bCs/>
        </w:rPr>
        <w:t>(</w:t>
      </w:r>
      <w:r w:rsidR="00565FDE">
        <w:rPr>
          <w:b/>
          <w:bCs/>
        </w:rPr>
        <w:t>14</w:t>
      </w:r>
      <w:r w:rsidRPr="005C3684">
        <w:rPr>
          <w:b/>
          <w:bCs/>
        </w:rPr>
        <w:t>)</w:t>
      </w:r>
    </w:p>
    <w:p w14:paraId="39F3430D" w14:textId="44476FAB" w:rsidR="002E02F1" w:rsidRDefault="00F719F0" w:rsidP="002A6A89">
      <w:r>
        <w:rPr>
          <w:noProof/>
        </w:rPr>
        <w:drawing>
          <wp:inline distT="0" distB="0" distL="0" distR="0" wp14:anchorId="0393D5A8" wp14:editId="0DCCE5B9">
            <wp:extent cx="5213816" cy="3591698"/>
            <wp:effectExtent l="0" t="0" r="6350" b="8890"/>
            <wp:docPr id="61" name="Picture 6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10;&#10;Description automatically generated"/>
                    <pic:cNvPicPr/>
                  </pic:nvPicPr>
                  <pic:blipFill rotWithShape="1">
                    <a:blip r:embed="rId90"/>
                    <a:srcRect t="8898" r="9491" b="2927"/>
                    <a:stretch/>
                  </pic:blipFill>
                  <pic:spPr bwMode="auto">
                    <a:xfrm>
                      <a:off x="0" y="0"/>
                      <a:ext cx="5213985" cy="3591814"/>
                    </a:xfrm>
                    <a:prstGeom prst="rect">
                      <a:avLst/>
                    </a:prstGeom>
                    <a:ln>
                      <a:noFill/>
                    </a:ln>
                    <a:extLst>
                      <a:ext uri="{53640926-AAD7-44D8-BBD7-CCE9431645EC}">
                        <a14:shadowObscured xmlns:a14="http://schemas.microsoft.com/office/drawing/2010/main"/>
                      </a:ext>
                    </a:extLst>
                  </pic:spPr>
                </pic:pic>
              </a:graphicData>
            </a:graphic>
          </wp:inline>
        </w:drawing>
      </w:r>
    </w:p>
    <w:p w14:paraId="5B1DDDDC" w14:textId="77777777" w:rsidR="00B61CF1" w:rsidRDefault="00B61CF1" w:rsidP="002A6A89"/>
    <w:p w14:paraId="7094A6EB" w14:textId="10AB7A01" w:rsidR="00AA286B" w:rsidRPr="009F3E73" w:rsidRDefault="00AA286B" w:rsidP="00AA286B">
      <w:pPr>
        <w:rPr>
          <w:b/>
          <w:bCs/>
        </w:rPr>
      </w:pPr>
      <w:r w:rsidRPr="009F3E73">
        <w:rPr>
          <w:b/>
          <w:bCs/>
          <w:vertAlign w:val="superscript"/>
        </w:rPr>
        <w:t>1</w:t>
      </w:r>
      <w:r w:rsidRPr="009F3E73">
        <w:rPr>
          <w:b/>
          <w:bCs/>
        </w:rPr>
        <w:t xml:space="preserve">H of </w:t>
      </w:r>
      <w:r w:rsidR="004D7697" w:rsidRPr="009F3E73">
        <w:rPr>
          <w:b/>
          <w:bCs/>
          <w:i/>
          <w:iCs/>
        </w:rPr>
        <w:t>S,R,S,S</w:t>
      </w:r>
      <w:r w:rsidR="004D7697" w:rsidRPr="009F3E73">
        <w:rPr>
          <w:b/>
          <w:bCs/>
        </w:rPr>
        <w:t>-</w:t>
      </w:r>
      <w:r w:rsidRPr="009F3E73">
        <w:rPr>
          <w:rFonts w:cs="Arial"/>
          <w:b/>
          <w:bCs/>
        </w:rPr>
        <w:t xml:space="preserve">drimendiol </w:t>
      </w:r>
      <w:r w:rsidRPr="009F3E73">
        <w:rPr>
          <w:b/>
          <w:bCs/>
        </w:rPr>
        <w:t>(</w:t>
      </w:r>
      <w:r w:rsidR="009F3E73" w:rsidRPr="009F3E73">
        <w:rPr>
          <w:b/>
          <w:bCs/>
        </w:rPr>
        <w:t>9</w:t>
      </w:r>
      <w:r w:rsidRPr="009F3E73">
        <w:rPr>
          <w:b/>
          <w:bCs/>
        </w:rPr>
        <w:t>)</w:t>
      </w:r>
    </w:p>
    <w:p w14:paraId="44FFB384" w14:textId="2AE723FF" w:rsidR="00B61CF1" w:rsidRDefault="005C7E2D" w:rsidP="002A6A89">
      <w:r>
        <w:rPr>
          <w:noProof/>
        </w:rPr>
        <w:drawing>
          <wp:inline distT="0" distB="0" distL="0" distR="0" wp14:anchorId="3926DF20" wp14:editId="22DE565C">
            <wp:extent cx="5313406" cy="3656965"/>
            <wp:effectExtent l="0" t="0" r="190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rotWithShape="1">
                    <a:blip r:embed="rId91">
                      <a:extLst>
                        <a:ext uri="{28A0092B-C50C-407E-A947-70E740481C1C}">
                          <a14:useLocalDpi xmlns:a14="http://schemas.microsoft.com/office/drawing/2010/main" val="0"/>
                        </a:ext>
                      </a:extLst>
                    </a:blip>
                    <a:srcRect t="10030" r="7517"/>
                    <a:stretch/>
                  </pic:blipFill>
                  <pic:spPr bwMode="auto">
                    <a:xfrm>
                      <a:off x="0" y="0"/>
                      <a:ext cx="5314179" cy="3657497"/>
                    </a:xfrm>
                    <a:prstGeom prst="rect">
                      <a:avLst/>
                    </a:prstGeom>
                    <a:noFill/>
                    <a:ln>
                      <a:noFill/>
                    </a:ln>
                    <a:extLst>
                      <a:ext uri="{53640926-AAD7-44D8-BBD7-CCE9431645EC}">
                        <a14:shadowObscured xmlns:a14="http://schemas.microsoft.com/office/drawing/2010/main"/>
                      </a:ext>
                    </a:extLst>
                  </pic:spPr>
                </pic:pic>
              </a:graphicData>
            </a:graphic>
          </wp:inline>
        </w:drawing>
      </w:r>
    </w:p>
    <w:p w14:paraId="15E091B7" w14:textId="77777777" w:rsidR="005C7E2D" w:rsidRDefault="005C7E2D" w:rsidP="002A6A89"/>
    <w:p w14:paraId="36BEC8E7" w14:textId="7D87A170" w:rsidR="005C7E2D" w:rsidRPr="009F3E73" w:rsidRDefault="005C7E2D" w:rsidP="005C7E2D">
      <w:pPr>
        <w:rPr>
          <w:b/>
          <w:bCs/>
        </w:rPr>
      </w:pPr>
      <w:r w:rsidRPr="009F3E73">
        <w:rPr>
          <w:b/>
          <w:bCs/>
          <w:vertAlign w:val="superscript"/>
        </w:rPr>
        <w:lastRenderedPageBreak/>
        <w:t>13</w:t>
      </w:r>
      <w:r w:rsidRPr="009F3E73">
        <w:rPr>
          <w:b/>
          <w:bCs/>
        </w:rPr>
        <w:t xml:space="preserve">C of </w:t>
      </w:r>
      <w:r w:rsidR="009F3E73" w:rsidRPr="009F3E73">
        <w:rPr>
          <w:b/>
          <w:bCs/>
          <w:i/>
          <w:iCs/>
        </w:rPr>
        <w:t>S,R,S,S</w:t>
      </w:r>
      <w:r w:rsidR="009F3E73" w:rsidRPr="009F3E73">
        <w:rPr>
          <w:b/>
          <w:bCs/>
        </w:rPr>
        <w:t>-</w:t>
      </w:r>
      <w:r w:rsidR="009F3E73" w:rsidRPr="009F3E73">
        <w:rPr>
          <w:rFonts w:cs="Arial"/>
          <w:b/>
          <w:bCs/>
        </w:rPr>
        <w:t>drimendiol</w:t>
      </w:r>
      <w:r w:rsidRPr="009F3E73">
        <w:rPr>
          <w:rFonts w:cs="Arial"/>
          <w:b/>
          <w:bCs/>
        </w:rPr>
        <w:t xml:space="preserve"> </w:t>
      </w:r>
      <w:r w:rsidRPr="009F3E73">
        <w:rPr>
          <w:b/>
          <w:bCs/>
        </w:rPr>
        <w:t>(</w:t>
      </w:r>
      <w:r w:rsidR="009F3E73" w:rsidRPr="009F3E73">
        <w:rPr>
          <w:b/>
          <w:bCs/>
        </w:rPr>
        <w:t>9</w:t>
      </w:r>
      <w:r w:rsidRPr="009F3E73">
        <w:rPr>
          <w:b/>
          <w:bCs/>
        </w:rPr>
        <w:t>)</w:t>
      </w:r>
    </w:p>
    <w:p w14:paraId="17A6232F" w14:textId="0759EBA3" w:rsidR="005C7E2D" w:rsidRDefault="00435900" w:rsidP="002A6A89">
      <w:r>
        <w:rPr>
          <w:noProof/>
        </w:rPr>
        <w:drawing>
          <wp:inline distT="0" distB="0" distL="0" distR="0" wp14:anchorId="5CE54A26" wp14:editId="057F636D">
            <wp:extent cx="5746115" cy="3706924"/>
            <wp:effectExtent l="0" t="0" r="698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rotWithShape="1">
                    <a:blip r:embed="rId92">
                      <a:extLst>
                        <a:ext uri="{28A0092B-C50C-407E-A947-70E740481C1C}">
                          <a14:useLocalDpi xmlns:a14="http://schemas.microsoft.com/office/drawing/2010/main" val="0"/>
                        </a:ext>
                      </a:extLst>
                    </a:blip>
                    <a:srcRect t="8814"/>
                    <a:stretch/>
                  </pic:blipFill>
                  <pic:spPr bwMode="auto">
                    <a:xfrm>
                      <a:off x="0" y="0"/>
                      <a:ext cx="5746115" cy="3706924"/>
                    </a:xfrm>
                    <a:prstGeom prst="rect">
                      <a:avLst/>
                    </a:prstGeom>
                    <a:noFill/>
                    <a:ln>
                      <a:noFill/>
                    </a:ln>
                    <a:extLst>
                      <a:ext uri="{53640926-AAD7-44D8-BBD7-CCE9431645EC}">
                        <a14:shadowObscured xmlns:a14="http://schemas.microsoft.com/office/drawing/2010/main"/>
                      </a:ext>
                    </a:extLst>
                  </pic:spPr>
                </pic:pic>
              </a:graphicData>
            </a:graphic>
          </wp:inline>
        </w:drawing>
      </w:r>
    </w:p>
    <w:p w14:paraId="7F389D1F" w14:textId="77777777" w:rsidR="00435900" w:rsidRDefault="00435900" w:rsidP="002A6A89"/>
    <w:p w14:paraId="68AE254C" w14:textId="7FA43E5F" w:rsidR="00435900" w:rsidRPr="009F3E73" w:rsidRDefault="00435900" w:rsidP="00435900">
      <w:pPr>
        <w:rPr>
          <w:b/>
          <w:bCs/>
        </w:rPr>
      </w:pPr>
      <w:r w:rsidRPr="009F3E73">
        <w:rPr>
          <w:b/>
          <w:bCs/>
          <w:vertAlign w:val="superscript"/>
        </w:rPr>
        <w:t>1</w:t>
      </w:r>
      <w:r w:rsidRPr="009F3E73">
        <w:rPr>
          <w:b/>
          <w:bCs/>
        </w:rPr>
        <w:t xml:space="preserve">H of </w:t>
      </w:r>
      <w:r w:rsidR="009F3E73" w:rsidRPr="009F3E73">
        <w:rPr>
          <w:b/>
          <w:bCs/>
          <w:i/>
          <w:iCs/>
        </w:rPr>
        <w:t>S,S,S,S</w:t>
      </w:r>
      <w:r w:rsidR="009F3E73" w:rsidRPr="009F3E73">
        <w:rPr>
          <w:b/>
          <w:bCs/>
        </w:rPr>
        <w:t>-</w:t>
      </w:r>
      <w:r w:rsidRPr="009F3E73">
        <w:rPr>
          <w:rFonts w:cs="Arial"/>
          <w:b/>
          <w:bCs/>
        </w:rPr>
        <w:t xml:space="preserve">drimendiol </w:t>
      </w:r>
      <w:r w:rsidRPr="009F3E73">
        <w:rPr>
          <w:b/>
          <w:bCs/>
        </w:rPr>
        <w:t>(</w:t>
      </w:r>
      <w:r w:rsidR="009F3E73" w:rsidRPr="009F3E73">
        <w:rPr>
          <w:b/>
          <w:bCs/>
        </w:rPr>
        <w:t>S1-9</w:t>
      </w:r>
      <w:r w:rsidRPr="009F3E73">
        <w:rPr>
          <w:b/>
          <w:bCs/>
        </w:rPr>
        <w:t>)</w:t>
      </w:r>
      <w:r w:rsidR="00E858B7" w:rsidRPr="009F3E73">
        <w:rPr>
          <w:b/>
          <w:bCs/>
        </w:rPr>
        <w:t>, grease impurity</w:t>
      </w:r>
    </w:p>
    <w:p w14:paraId="6053C00F" w14:textId="19E41655" w:rsidR="00435900" w:rsidRDefault="00E858B7" w:rsidP="002A6A89">
      <w:r>
        <w:rPr>
          <w:noProof/>
        </w:rPr>
        <w:drawing>
          <wp:inline distT="0" distB="0" distL="0" distR="0" wp14:anchorId="0899E1F0" wp14:editId="585D8AB6">
            <wp:extent cx="5288692" cy="368173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rotWithShape="1">
                    <a:blip r:embed="rId93">
                      <a:extLst>
                        <a:ext uri="{28A0092B-C50C-407E-A947-70E740481C1C}">
                          <a14:useLocalDpi xmlns:a14="http://schemas.microsoft.com/office/drawing/2010/main" val="0"/>
                        </a:ext>
                      </a:extLst>
                    </a:blip>
                    <a:srcRect t="9422" r="7948"/>
                    <a:stretch/>
                  </pic:blipFill>
                  <pic:spPr bwMode="auto">
                    <a:xfrm>
                      <a:off x="0" y="0"/>
                      <a:ext cx="5289382" cy="3682210"/>
                    </a:xfrm>
                    <a:prstGeom prst="rect">
                      <a:avLst/>
                    </a:prstGeom>
                    <a:noFill/>
                    <a:ln>
                      <a:noFill/>
                    </a:ln>
                    <a:extLst>
                      <a:ext uri="{53640926-AAD7-44D8-BBD7-CCE9431645EC}">
                        <a14:shadowObscured xmlns:a14="http://schemas.microsoft.com/office/drawing/2010/main"/>
                      </a:ext>
                    </a:extLst>
                  </pic:spPr>
                </pic:pic>
              </a:graphicData>
            </a:graphic>
          </wp:inline>
        </w:drawing>
      </w:r>
    </w:p>
    <w:p w14:paraId="57301D74" w14:textId="77777777" w:rsidR="00E858B7" w:rsidRDefault="00E858B7" w:rsidP="002A6A89"/>
    <w:p w14:paraId="3B685E8D" w14:textId="2FBBD7CC" w:rsidR="00E858B7" w:rsidRPr="009F3E73" w:rsidRDefault="00E858B7" w:rsidP="00E858B7">
      <w:pPr>
        <w:rPr>
          <w:b/>
          <w:bCs/>
        </w:rPr>
      </w:pPr>
      <w:r w:rsidRPr="009F3E73">
        <w:rPr>
          <w:b/>
          <w:bCs/>
          <w:vertAlign w:val="superscript"/>
        </w:rPr>
        <w:lastRenderedPageBreak/>
        <w:t>13</w:t>
      </w:r>
      <w:r w:rsidRPr="009F3E73">
        <w:rPr>
          <w:b/>
          <w:bCs/>
        </w:rPr>
        <w:t xml:space="preserve">C </w:t>
      </w:r>
      <w:r w:rsidR="009F3E73" w:rsidRPr="009F3E73">
        <w:rPr>
          <w:b/>
          <w:bCs/>
        </w:rPr>
        <w:t xml:space="preserve">of </w:t>
      </w:r>
      <w:r w:rsidR="009F3E73" w:rsidRPr="009F3E73">
        <w:rPr>
          <w:b/>
          <w:bCs/>
          <w:i/>
          <w:iCs/>
        </w:rPr>
        <w:t>S,S,S,S</w:t>
      </w:r>
      <w:r w:rsidR="009F3E73" w:rsidRPr="009F3E73">
        <w:rPr>
          <w:b/>
          <w:bCs/>
        </w:rPr>
        <w:t>-</w:t>
      </w:r>
      <w:r w:rsidR="009F3E73" w:rsidRPr="009F3E73">
        <w:rPr>
          <w:rFonts w:cs="Arial"/>
          <w:b/>
          <w:bCs/>
        </w:rPr>
        <w:t xml:space="preserve">drimendiol </w:t>
      </w:r>
      <w:r w:rsidR="009F3E73" w:rsidRPr="009F3E73">
        <w:rPr>
          <w:b/>
          <w:bCs/>
        </w:rPr>
        <w:t>(S1-9), grease impurity</w:t>
      </w:r>
    </w:p>
    <w:p w14:paraId="12755C73" w14:textId="3BFF9436" w:rsidR="00E858B7" w:rsidRDefault="00E858B7" w:rsidP="002A6A89">
      <w:r>
        <w:rPr>
          <w:noProof/>
        </w:rPr>
        <w:drawing>
          <wp:inline distT="0" distB="0" distL="0" distR="0" wp14:anchorId="2EC707F9" wp14:editId="515A99EB">
            <wp:extent cx="5288280" cy="3694430"/>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rotWithShape="1">
                    <a:blip r:embed="rId94">
                      <a:extLst>
                        <a:ext uri="{28A0092B-C50C-407E-A947-70E740481C1C}">
                          <a14:useLocalDpi xmlns:a14="http://schemas.microsoft.com/office/drawing/2010/main" val="0"/>
                        </a:ext>
                      </a:extLst>
                    </a:blip>
                    <a:srcRect t="9119" r="7965"/>
                    <a:stretch/>
                  </pic:blipFill>
                  <pic:spPr bwMode="auto">
                    <a:xfrm>
                      <a:off x="0" y="0"/>
                      <a:ext cx="5288476" cy="3694567"/>
                    </a:xfrm>
                    <a:prstGeom prst="rect">
                      <a:avLst/>
                    </a:prstGeom>
                    <a:noFill/>
                    <a:ln>
                      <a:noFill/>
                    </a:ln>
                    <a:extLst>
                      <a:ext uri="{53640926-AAD7-44D8-BBD7-CCE9431645EC}">
                        <a14:shadowObscured xmlns:a14="http://schemas.microsoft.com/office/drawing/2010/main"/>
                      </a:ext>
                    </a:extLst>
                  </pic:spPr>
                </pic:pic>
              </a:graphicData>
            </a:graphic>
          </wp:inline>
        </w:drawing>
      </w:r>
    </w:p>
    <w:p w14:paraId="4EB72589" w14:textId="77777777" w:rsidR="00E858B7" w:rsidRDefault="00E858B7" w:rsidP="002A6A89"/>
    <w:p w14:paraId="7258F05B" w14:textId="283D0958" w:rsidR="00E858B7" w:rsidRPr="009F3E73" w:rsidRDefault="00E858B7" w:rsidP="00E858B7">
      <w:pPr>
        <w:rPr>
          <w:b/>
          <w:bCs/>
        </w:rPr>
      </w:pPr>
      <w:r w:rsidRPr="009F3E73">
        <w:rPr>
          <w:b/>
          <w:bCs/>
          <w:vertAlign w:val="superscript"/>
        </w:rPr>
        <w:t>1</w:t>
      </w:r>
      <w:r w:rsidRPr="009F3E73">
        <w:rPr>
          <w:b/>
          <w:bCs/>
        </w:rPr>
        <w:t xml:space="preserve">H of </w:t>
      </w:r>
      <w:r w:rsidRPr="009F3E73">
        <w:rPr>
          <w:rFonts w:cs="Arial"/>
          <w:b/>
          <w:bCs/>
        </w:rPr>
        <w:t xml:space="preserve">labdane </w:t>
      </w:r>
      <w:r w:rsidRPr="009F3E73">
        <w:rPr>
          <w:b/>
          <w:bCs/>
        </w:rPr>
        <w:t>(</w:t>
      </w:r>
      <w:r w:rsidR="009F3E73" w:rsidRPr="009F3E73">
        <w:rPr>
          <w:b/>
          <w:bCs/>
        </w:rPr>
        <w:t>12</w:t>
      </w:r>
      <w:r w:rsidRPr="009F3E73">
        <w:rPr>
          <w:b/>
          <w:bCs/>
        </w:rPr>
        <w:t>)</w:t>
      </w:r>
    </w:p>
    <w:p w14:paraId="0B8DA7EA" w14:textId="6AE14828" w:rsidR="00E858B7" w:rsidRDefault="00E858B7" w:rsidP="002A6A89">
      <w:r>
        <w:rPr>
          <w:noProof/>
        </w:rPr>
        <w:drawing>
          <wp:inline distT="0" distB="0" distL="0" distR="0" wp14:anchorId="0A50A117" wp14:editId="7D2F72E5">
            <wp:extent cx="5486400" cy="3743960"/>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rotWithShape="1">
                    <a:blip r:embed="rId95">
                      <a:extLst>
                        <a:ext uri="{28A0092B-C50C-407E-A947-70E740481C1C}">
                          <a14:useLocalDpi xmlns:a14="http://schemas.microsoft.com/office/drawing/2010/main" val="0"/>
                        </a:ext>
                      </a:extLst>
                    </a:blip>
                    <a:srcRect t="7903" r="4519"/>
                    <a:stretch/>
                  </pic:blipFill>
                  <pic:spPr bwMode="auto">
                    <a:xfrm>
                      <a:off x="0" y="0"/>
                      <a:ext cx="5486450" cy="3743994"/>
                    </a:xfrm>
                    <a:prstGeom prst="rect">
                      <a:avLst/>
                    </a:prstGeom>
                    <a:noFill/>
                    <a:ln>
                      <a:noFill/>
                    </a:ln>
                    <a:extLst>
                      <a:ext uri="{53640926-AAD7-44D8-BBD7-CCE9431645EC}">
                        <a14:shadowObscured xmlns:a14="http://schemas.microsoft.com/office/drawing/2010/main"/>
                      </a:ext>
                    </a:extLst>
                  </pic:spPr>
                </pic:pic>
              </a:graphicData>
            </a:graphic>
          </wp:inline>
        </w:drawing>
      </w:r>
    </w:p>
    <w:p w14:paraId="61C277BE" w14:textId="2EB488AA" w:rsidR="00E858B7" w:rsidRPr="009F3E73" w:rsidRDefault="00E858B7" w:rsidP="00E858B7">
      <w:pPr>
        <w:rPr>
          <w:b/>
          <w:bCs/>
        </w:rPr>
      </w:pPr>
      <w:r w:rsidRPr="009F3E73">
        <w:rPr>
          <w:b/>
          <w:bCs/>
          <w:vertAlign w:val="superscript"/>
        </w:rPr>
        <w:t>13</w:t>
      </w:r>
      <w:r w:rsidRPr="009F3E73">
        <w:rPr>
          <w:b/>
          <w:bCs/>
        </w:rPr>
        <w:t xml:space="preserve">C of </w:t>
      </w:r>
      <w:r w:rsidRPr="009F3E73">
        <w:rPr>
          <w:rFonts w:cs="Arial"/>
          <w:b/>
          <w:bCs/>
        </w:rPr>
        <w:t xml:space="preserve">labdane </w:t>
      </w:r>
      <w:r w:rsidRPr="009F3E73">
        <w:rPr>
          <w:b/>
          <w:bCs/>
        </w:rPr>
        <w:t>(</w:t>
      </w:r>
      <w:r w:rsidR="009F3E73" w:rsidRPr="009F3E73">
        <w:rPr>
          <w:b/>
          <w:bCs/>
        </w:rPr>
        <w:t>12</w:t>
      </w:r>
      <w:r w:rsidRPr="009F3E73">
        <w:rPr>
          <w:b/>
          <w:bCs/>
        </w:rPr>
        <w:t>)</w:t>
      </w:r>
    </w:p>
    <w:p w14:paraId="6377C8DF" w14:textId="4C3626AE" w:rsidR="00B61CF1" w:rsidRDefault="00E858B7" w:rsidP="002A6A89">
      <w:r>
        <w:rPr>
          <w:noProof/>
        </w:rPr>
        <w:lastRenderedPageBreak/>
        <w:drawing>
          <wp:inline distT="0" distB="0" distL="0" distR="0" wp14:anchorId="5E918AC1" wp14:editId="2C2EC0E9">
            <wp:extent cx="5399903" cy="369443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rotWithShape="1">
                    <a:blip r:embed="rId96">
                      <a:extLst>
                        <a:ext uri="{28A0092B-C50C-407E-A947-70E740481C1C}">
                          <a14:useLocalDpi xmlns:a14="http://schemas.microsoft.com/office/drawing/2010/main" val="0"/>
                        </a:ext>
                      </a:extLst>
                    </a:blip>
                    <a:srcRect t="9119" r="6022"/>
                    <a:stretch/>
                  </pic:blipFill>
                  <pic:spPr bwMode="auto">
                    <a:xfrm>
                      <a:off x="0" y="0"/>
                      <a:ext cx="5400103" cy="3694567"/>
                    </a:xfrm>
                    <a:prstGeom prst="rect">
                      <a:avLst/>
                    </a:prstGeom>
                    <a:noFill/>
                    <a:ln>
                      <a:noFill/>
                    </a:ln>
                    <a:extLst>
                      <a:ext uri="{53640926-AAD7-44D8-BBD7-CCE9431645EC}">
                        <a14:shadowObscured xmlns:a14="http://schemas.microsoft.com/office/drawing/2010/main"/>
                      </a:ext>
                    </a:extLst>
                  </pic:spPr>
                </pic:pic>
              </a:graphicData>
            </a:graphic>
          </wp:inline>
        </w:drawing>
      </w:r>
    </w:p>
    <w:p w14:paraId="0634842A" w14:textId="77777777" w:rsidR="00E858B7" w:rsidRDefault="00E858B7" w:rsidP="002A6A89"/>
    <w:p w14:paraId="0C8F97A3" w14:textId="77777777" w:rsidR="00E858B7" w:rsidRDefault="00E858B7" w:rsidP="002A6A89"/>
    <w:p w14:paraId="12AD9077" w14:textId="083D0E37" w:rsidR="0084777F" w:rsidRPr="00B22D51" w:rsidRDefault="0084777F" w:rsidP="0084777F">
      <w:pPr>
        <w:rPr>
          <w:b/>
          <w:bCs/>
        </w:rPr>
      </w:pPr>
      <w:r w:rsidRPr="00B22D51">
        <w:rPr>
          <w:b/>
          <w:bCs/>
          <w:vertAlign w:val="superscript"/>
        </w:rPr>
        <w:t>1</w:t>
      </w:r>
      <w:r w:rsidRPr="00B22D51">
        <w:rPr>
          <w:b/>
          <w:bCs/>
        </w:rPr>
        <w:t xml:space="preserve">H of </w:t>
      </w:r>
      <w:r w:rsidRPr="00B22D51">
        <w:rPr>
          <w:rFonts w:cs="Arial"/>
          <w:b/>
          <w:bCs/>
          <w:i/>
          <w:iCs/>
        </w:rPr>
        <w:t>ent</w:t>
      </w:r>
      <w:r w:rsidRPr="00B22D51">
        <w:rPr>
          <w:rFonts w:cs="Arial"/>
          <w:b/>
          <w:bCs/>
        </w:rPr>
        <w:t>-isocop</w:t>
      </w:r>
      <w:r w:rsidR="00115002">
        <w:rPr>
          <w:rFonts w:cs="Arial"/>
          <w:b/>
          <w:bCs/>
        </w:rPr>
        <w:t>o</w:t>
      </w:r>
      <w:r w:rsidRPr="00B22D51">
        <w:rPr>
          <w:rFonts w:cs="Arial"/>
          <w:b/>
          <w:bCs/>
        </w:rPr>
        <w:t xml:space="preserve">lol </w:t>
      </w:r>
      <w:r w:rsidRPr="00B22D51">
        <w:rPr>
          <w:b/>
          <w:bCs/>
        </w:rPr>
        <w:t>(</w:t>
      </w:r>
      <w:r w:rsidR="009F3E73">
        <w:rPr>
          <w:b/>
          <w:bCs/>
        </w:rPr>
        <w:t>11</w:t>
      </w:r>
      <w:r w:rsidRPr="00B22D51">
        <w:rPr>
          <w:b/>
          <w:bCs/>
        </w:rPr>
        <w:t>)</w:t>
      </w:r>
    </w:p>
    <w:p w14:paraId="01313665" w14:textId="5A1E6F3B" w:rsidR="00E858B7" w:rsidRDefault="0084777F" w:rsidP="002A6A89">
      <w:r>
        <w:rPr>
          <w:noProof/>
        </w:rPr>
        <w:drawing>
          <wp:inline distT="0" distB="0" distL="0" distR="0" wp14:anchorId="49305B09" wp14:editId="45C473C1">
            <wp:extent cx="5743921" cy="3485478"/>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rotWithShape="1">
                    <a:blip r:embed="rId97">
                      <a:extLst>
                        <a:ext uri="{28A0092B-C50C-407E-A947-70E740481C1C}">
                          <a14:useLocalDpi xmlns:a14="http://schemas.microsoft.com/office/drawing/2010/main" val="0"/>
                        </a:ext>
                      </a:extLst>
                    </a:blip>
                    <a:srcRect t="8730" b="5545"/>
                    <a:stretch/>
                  </pic:blipFill>
                  <pic:spPr bwMode="auto">
                    <a:xfrm>
                      <a:off x="0" y="0"/>
                      <a:ext cx="5744845" cy="3486039"/>
                    </a:xfrm>
                    <a:prstGeom prst="rect">
                      <a:avLst/>
                    </a:prstGeom>
                    <a:noFill/>
                    <a:ln>
                      <a:noFill/>
                    </a:ln>
                    <a:extLst>
                      <a:ext uri="{53640926-AAD7-44D8-BBD7-CCE9431645EC}">
                        <a14:shadowObscured xmlns:a14="http://schemas.microsoft.com/office/drawing/2010/main"/>
                      </a:ext>
                    </a:extLst>
                  </pic:spPr>
                </pic:pic>
              </a:graphicData>
            </a:graphic>
          </wp:inline>
        </w:drawing>
      </w:r>
    </w:p>
    <w:p w14:paraId="4BCAF5D3" w14:textId="77777777" w:rsidR="0084777F" w:rsidRDefault="0084777F" w:rsidP="002A6A89"/>
    <w:p w14:paraId="34E168C4" w14:textId="08EB9A85" w:rsidR="0084777F" w:rsidRPr="00B22D51" w:rsidRDefault="0084777F" w:rsidP="0084777F">
      <w:pPr>
        <w:rPr>
          <w:b/>
          <w:bCs/>
        </w:rPr>
      </w:pPr>
      <w:r w:rsidRPr="00B22D51">
        <w:rPr>
          <w:b/>
          <w:bCs/>
          <w:vertAlign w:val="superscript"/>
        </w:rPr>
        <w:lastRenderedPageBreak/>
        <w:t>13</w:t>
      </w:r>
      <w:r w:rsidRPr="00B22D51">
        <w:rPr>
          <w:b/>
          <w:bCs/>
        </w:rPr>
        <w:t xml:space="preserve">C of </w:t>
      </w:r>
      <w:r w:rsidRPr="00B22D51">
        <w:rPr>
          <w:rFonts w:cs="Arial"/>
          <w:b/>
          <w:bCs/>
          <w:i/>
          <w:iCs/>
        </w:rPr>
        <w:t>ent</w:t>
      </w:r>
      <w:r w:rsidRPr="00B22D51">
        <w:rPr>
          <w:rFonts w:cs="Arial"/>
          <w:b/>
          <w:bCs/>
        </w:rPr>
        <w:t>-isocop</w:t>
      </w:r>
      <w:r w:rsidR="00115002">
        <w:rPr>
          <w:rFonts w:cs="Arial"/>
          <w:b/>
          <w:bCs/>
        </w:rPr>
        <w:t>o</w:t>
      </w:r>
      <w:r w:rsidRPr="00B22D51">
        <w:rPr>
          <w:rFonts w:cs="Arial"/>
          <w:b/>
          <w:bCs/>
        </w:rPr>
        <w:t xml:space="preserve">lol </w:t>
      </w:r>
      <w:r w:rsidRPr="00B22D51">
        <w:rPr>
          <w:b/>
          <w:bCs/>
        </w:rPr>
        <w:t>(</w:t>
      </w:r>
      <w:r w:rsidR="009F3E73">
        <w:rPr>
          <w:b/>
          <w:bCs/>
        </w:rPr>
        <w:t>11</w:t>
      </w:r>
      <w:r w:rsidRPr="00B22D51">
        <w:rPr>
          <w:b/>
          <w:bCs/>
        </w:rPr>
        <w:t>)</w:t>
      </w:r>
    </w:p>
    <w:p w14:paraId="4987C0E6" w14:textId="7854A555" w:rsidR="0084777F" w:rsidRDefault="0084777F" w:rsidP="002A6A89">
      <w:r>
        <w:rPr>
          <w:noProof/>
        </w:rPr>
        <w:drawing>
          <wp:inline distT="0" distB="0" distL="0" distR="0" wp14:anchorId="12814229" wp14:editId="7ED07A50">
            <wp:extent cx="5249732" cy="367919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rotWithShape="1">
                    <a:blip r:embed="rId98">
                      <a:extLst>
                        <a:ext uri="{28A0092B-C50C-407E-A947-70E740481C1C}">
                          <a14:useLocalDpi xmlns:a14="http://schemas.microsoft.com/office/drawing/2010/main" val="0"/>
                        </a:ext>
                      </a:extLst>
                    </a:blip>
                    <a:srcRect t="9524" r="8616"/>
                    <a:stretch/>
                  </pic:blipFill>
                  <pic:spPr bwMode="auto">
                    <a:xfrm>
                      <a:off x="0" y="0"/>
                      <a:ext cx="5249839" cy="3679265"/>
                    </a:xfrm>
                    <a:prstGeom prst="rect">
                      <a:avLst/>
                    </a:prstGeom>
                    <a:noFill/>
                    <a:ln>
                      <a:noFill/>
                    </a:ln>
                    <a:extLst>
                      <a:ext uri="{53640926-AAD7-44D8-BBD7-CCE9431645EC}">
                        <a14:shadowObscured xmlns:a14="http://schemas.microsoft.com/office/drawing/2010/main"/>
                      </a:ext>
                    </a:extLst>
                  </pic:spPr>
                </pic:pic>
              </a:graphicData>
            </a:graphic>
          </wp:inline>
        </w:drawing>
      </w:r>
    </w:p>
    <w:p w14:paraId="28D42863" w14:textId="77777777" w:rsidR="0084777F" w:rsidRDefault="0084777F" w:rsidP="002A6A89"/>
    <w:p w14:paraId="4A7ABB95" w14:textId="77777777" w:rsidR="0084777F" w:rsidRDefault="0084777F" w:rsidP="002A6A89"/>
    <w:p w14:paraId="25AC3E11" w14:textId="23F3176E" w:rsidR="0084777F" w:rsidRDefault="0084777F" w:rsidP="0084777F">
      <w:r w:rsidRPr="00B22D51">
        <w:rPr>
          <w:b/>
          <w:bCs/>
          <w:vertAlign w:val="superscript"/>
        </w:rPr>
        <w:t>1</w:t>
      </w:r>
      <w:r w:rsidRPr="00B22D51">
        <w:rPr>
          <w:b/>
          <w:bCs/>
        </w:rPr>
        <w:t xml:space="preserve">H of </w:t>
      </w:r>
      <w:r w:rsidRPr="00B22D51">
        <w:rPr>
          <w:rFonts w:cs="Arial"/>
          <w:b/>
          <w:bCs/>
          <w:i/>
          <w:iCs/>
        </w:rPr>
        <w:t>ent</w:t>
      </w:r>
      <w:r w:rsidRPr="00B22D51">
        <w:rPr>
          <w:rFonts w:cs="Arial"/>
          <w:b/>
          <w:bCs/>
        </w:rPr>
        <w:t>-isocop</w:t>
      </w:r>
      <w:r w:rsidR="00115002">
        <w:rPr>
          <w:rFonts w:cs="Arial"/>
          <w:b/>
          <w:bCs/>
        </w:rPr>
        <w:t>o</w:t>
      </w:r>
      <w:r w:rsidRPr="00B22D51">
        <w:rPr>
          <w:rFonts w:cs="Arial"/>
          <w:b/>
          <w:bCs/>
        </w:rPr>
        <w:t xml:space="preserve">lol </w:t>
      </w:r>
      <w:r w:rsidR="0057450D" w:rsidRPr="00B22D51">
        <w:rPr>
          <w:rFonts w:cs="Arial"/>
          <w:b/>
          <w:bCs/>
        </w:rPr>
        <w:t>mix fraction for side product identification</w:t>
      </w:r>
      <w:r w:rsidR="00B22D51">
        <w:t>.</w:t>
      </w:r>
      <w:r w:rsidR="008D6E95">
        <w:t xml:space="preserve"> </w:t>
      </w:r>
      <w:r w:rsidR="00A84AFA">
        <w:t>D</w:t>
      </w:r>
      <w:r w:rsidR="008D6E95">
        <w:t>uplet</w:t>
      </w:r>
      <w:r w:rsidR="00A84AFA">
        <w:t>t</w:t>
      </w:r>
      <w:r w:rsidR="008D6E95">
        <w:t xml:space="preserve"> at 4.15-4.16</w:t>
      </w:r>
      <w:r w:rsidR="00A84AFA">
        <w:t xml:space="preserve"> =</w:t>
      </w:r>
      <w:r w:rsidR="008D6E95">
        <w:t xml:space="preserve"> </w:t>
      </w:r>
      <w:r w:rsidR="002C6F04">
        <w:t xml:space="preserve">2H next to the hydroxy group of </w:t>
      </w:r>
      <w:r w:rsidR="00B22D51">
        <w:rPr>
          <w:rFonts w:ascii="Open Sans" w:hAnsi="Open Sans" w:cs="Open Sans"/>
        </w:rPr>
        <w:t>α</w:t>
      </w:r>
      <w:r w:rsidR="002C6F04">
        <w:t xml:space="preserve">- and </w:t>
      </w:r>
      <w:r w:rsidR="00B22D51">
        <w:rPr>
          <w:rFonts w:cs="Arial"/>
        </w:rPr>
        <w:t>γ</w:t>
      </w:r>
      <w:r w:rsidR="002C6F04">
        <w:t>-labdane</w:t>
      </w:r>
      <w:r w:rsidR="00A84AFA">
        <w:t xml:space="preserve">. Singletts at 4.62 and 4.92 = exocyclic double-bond of </w:t>
      </w:r>
      <w:r w:rsidR="00B22D51">
        <w:rPr>
          <w:rFonts w:cs="Arial"/>
        </w:rPr>
        <w:t>γ</w:t>
      </w:r>
      <w:r w:rsidR="00A84AFA">
        <w:t xml:space="preserve">-labdane. Triplett at 5.1 = </w:t>
      </w:r>
      <w:r w:rsidR="00EA4AC6">
        <w:t>prenyl-double-bond-</w:t>
      </w:r>
      <w:r w:rsidR="002A4C49">
        <w:t xml:space="preserve">H. Triplett at 5.42 endocyclic double-bond-H of </w:t>
      </w:r>
      <w:r w:rsidR="00B22D51">
        <w:rPr>
          <w:rFonts w:ascii="Open Sans" w:hAnsi="Open Sans" w:cs="Open Sans"/>
        </w:rPr>
        <w:t>α</w:t>
      </w:r>
      <w:r w:rsidR="002A4C49">
        <w:t>-labdane product</w:t>
      </w:r>
      <w:r w:rsidR="00B22D51">
        <w:t>.</w:t>
      </w:r>
    </w:p>
    <w:p w14:paraId="411E41E6" w14:textId="5DC653E7" w:rsidR="0084777F" w:rsidRDefault="00EA4AC6" w:rsidP="002A6A89">
      <w:r>
        <w:rPr>
          <w:noProof/>
        </w:rPr>
        <w:lastRenderedPageBreak/>
        <w:drawing>
          <wp:inline distT="0" distB="0" distL="0" distR="0" wp14:anchorId="1C8DAB46" wp14:editId="4C86F47D">
            <wp:extent cx="5760244" cy="4049485"/>
            <wp:effectExtent l="0" t="0" r="0" b="8255"/>
            <wp:docPr id="43" name="Picture 4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with low confidence"/>
                    <pic:cNvPicPr/>
                  </pic:nvPicPr>
                  <pic:blipFill rotWithShape="1">
                    <a:blip r:embed="rId99"/>
                    <a:srcRect t="19470" b="23834"/>
                    <a:stretch/>
                  </pic:blipFill>
                  <pic:spPr bwMode="auto">
                    <a:xfrm>
                      <a:off x="0" y="0"/>
                      <a:ext cx="5760720" cy="4049819"/>
                    </a:xfrm>
                    <a:prstGeom prst="rect">
                      <a:avLst/>
                    </a:prstGeom>
                    <a:ln>
                      <a:noFill/>
                    </a:ln>
                    <a:extLst>
                      <a:ext uri="{53640926-AAD7-44D8-BBD7-CCE9431645EC}">
                        <a14:shadowObscured xmlns:a14="http://schemas.microsoft.com/office/drawing/2010/main"/>
                      </a:ext>
                    </a:extLst>
                  </pic:spPr>
                </pic:pic>
              </a:graphicData>
            </a:graphic>
          </wp:inline>
        </w:drawing>
      </w:r>
    </w:p>
    <w:p w14:paraId="3786A40B" w14:textId="4350103D" w:rsidR="00B22D51" w:rsidRDefault="00B22D51">
      <w:pPr>
        <w:spacing w:line="259" w:lineRule="auto"/>
        <w:jc w:val="left"/>
      </w:pPr>
      <w:r>
        <w:br w:type="page"/>
      </w:r>
    </w:p>
    <w:p w14:paraId="145920F0" w14:textId="70B37CC8" w:rsidR="00B22D51" w:rsidRPr="00B22D51" w:rsidRDefault="00B22D51" w:rsidP="00B22D51">
      <w:pPr>
        <w:rPr>
          <w:b/>
          <w:bCs/>
        </w:rPr>
      </w:pPr>
      <w:r w:rsidRPr="00B22D51">
        <w:rPr>
          <w:b/>
          <w:bCs/>
          <w:vertAlign w:val="superscript"/>
        </w:rPr>
        <w:lastRenderedPageBreak/>
        <w:t>1</w:t>
      </w:r>
      <w:r w:rsidRPr="00B22D51">
        <w:rPr>
          <w:b/>
          <w:bCs/>
        </w:rPr>
        <w:t xml:space="preserve">H of </w:t>
      </w:r>
      <w:r w:rsidR="001C4B67">
        <w:rPr>
          <w:b/>
          <w:bCs/>
        </w:rPr>
        <w:t>c</w:t>
      </w:r>
      <w:r>
        <w:rPr>
          <w:b/>
          <w:bCs/>
        </w:rPr>
        <w:t xml:space="preserve">yclic </w:t>
      </w:r>
      <w:r w:rsidR="00115002">
        <w:rPr>
          <w:rFonts w:cs="Arial"/>
          <w:b/>
          <w:bCs/>
        </w:rPr>
        <w:t>β</w:t>
      </w:r>
      <w:r w:rsidR="00115002">
        <w:rPr>
          <w:b/>
          <w:bCs/>
        </w:rPr>
        <w:t>-</w:t>
      </w:r>
      <w:r w:rsidR="001C4B67">
        <w:rPr>
          <w:b/>
          <w:bCs/>
        </w:rPr>
        <w:t>k</w:t>
      </w:r>
      <w:r>
        <w:rPr>
          <w:rFonts w:cs="Arial"/>
          <w:b/>
          <w:bCs/>
        </w:rPr>
        <w:t>eto</w:t>
      </w:r>
      <w:r w:rsidR="00115002">
        <w:rPr>
          <w:rFonts w:cs="Arial"/>
          <w:b/>
          <w:bCs/>
        </w:rPr>
        <w:t xml:space="preserve"> </w:t>
      </w:r>
      <w:r>
        <w:rPr>
          <w:rFonts w:cs="Arial"/>
          <w:b/>
          <w:bCs/>
        </w:rPr>
        <w:t>ester</w:t>
      </w:r>
      <w:r w:rsidR="001C4B67">
        <w:rPr>
          <w:rFonts w:cs="Arial"/>
          <w:b/>
          <w:bCs/>
        </w:rPr>
        <w:t xml:space="preserve"> (</w:t>
      </w:r>
      <w:r w:rsidR="00BD6BE2">
        <w:rPr>
          <w:rFonts w:cs="Arial"/>
          <w:b/>
          <w:bCs/>
        </w:rPr>
        <w:t>16</w:t>
      </w:r>
      <w:r w:rsidR="001C4B67">
        <w:rPr>
          <w:rFonts w:cs="Arial"/>
          <w:b/>
          <w:bCs/>
        </w:rPr>
        <w:t>)</w:t>
      </w:r>
      <w:r w:rsidR="00D34830">
        <w:rPr>
          <w:rFonts w:cs="Arial"/>
          <w:b/>
          <w:bCs/>
        </w:rPr>
        <w:t>, cyclohexane impurity</w:t>
      </w:r>
      <w:r w:rsidR="001C4B67">
        <w:rPr>
          <w:rFonts w:cs="Arial"/>
          <w:b/>
          <w:bCs/>
        </w:rPr>
        <w:t xml:space="preserve"> </w:t>
      </w:r>
    </w:p>
    <w:p w14:paraId="718BD09E" w14:textId="37E29853" w:rsidR="00B22D51" w:rsidRDefault="001C4B67" w:rsidP="002A6A89">
      <w:r>
        <w:rPr>
          <w:noProof/>
        </w:rPr>
        <w:drawing>
          <wp:inline distT="0" distB="0" distL="0" distR="0" wp14:anchorId="413D3893" wp14:editId="0FDB4278">
            <wp:extent cx="5372100" cy="3657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rotWithShape="1">
                    <a:blip r:embed="rId100">
                      <a:extLst>
                        <a:ext uri="{28A0092B-C50C-407E-A947-70E740481C1C}">
                          <a14:useLocalDpi xmlns:a14="http://schemas.microsoft.com/office/drawing/2010/main" val="0"/>
                        </a:ext>
                      </a:extLst>
                    </a:blip>
                    <a:srcRect t="10000" r="6416"/>
                    <a:stretch/>
                  </pic:blipFill>
                  <pic:spPr bwMode="auto">
                    <a:xfrm>
                      <a:off x="0" y="0"/>
                      <a:ext cx="537210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05CF87D" w14:textId="77777777" w:rsidR="00BE6E78" w:rsidRDefault="00BE6E78" w:rsidP="002A6A89"/>
    <w:p w14:paraId="1DAB55E6" w14:textId="32CAF930" w:rsidR="001C4B67" w:rsidRPr="00B22D51" w:rsidRDefault="001C4B67" w:rsidP="001C4B67">
      <w:pPr>
        <w:rPr>
          <w:b/>
          <w:bCs/>
        </w:rPr>
      </w:pPr>
      <w:r w:rsidRPr="00B22D51">
        <w:rPr>
          <w:b/>
          <w:bCs/>
          <w:vertAlign w:val="superscript"/>
        </w:rPr>
        <w:t>1</w:t>
      </w:r>
      <w:r>
        <w:rPr>
          <w:b/>
          <w:bCs/>
          <w:vertAlign w:val="superscript"/>
        </w:rPr>
        <w:t>3</w:t>
      </w:r>
      <w:r>
        <w:rPr>
          <w:b/>
          <w:bCs/>
        </w:rPr>
        <w:t>X</w:t>
      </w:r>
      <w:r w:rsidRPr="00B22D51">
        <w:rPr>
          <w:b/>
          <w:bCs/>
        </w:rPr>
        <w:t xml:space="preserve"> of </w:t>
      </w:r>
      <w:r>
        <w:rPr>
          <w:b/>
          <w:bCs/>
        </w:rPr>
        <w:t xml:space="preserve">cyclic </w:t>
      </w:r>
      <w:r w:rsidR="00115002">
        <w:rPr>
          <w:rFonts w:cs="Arial"/>
          <w:b/>
          <w:bCs/>
        </w:rPr>
        <w:t>β</w:t>
      </w:r>
      <w:r w:rsidR="00115002">
        <w:rPr>
          <w:b/>
          <w:bCs/>
        </w:rPr>
        <w:t>-</w:t>
      </w:r>
      <w:r>
        <w:rPr>
          <w:b/>
          <w:bCs/>
        </w:rPr>
        <w:t>k</w:t>
      </w:r>
      <w:r>
        <w:rPr>
          <w:rFonts w:cs="Arial"/>
          <w:b/>
          <w:bCs/>
        </w:rPr>
        <w:t>eto</w:t>
      </w:r>
      <w:r w:rsidR="00115002">
        <w:rPr>
          <w:rFonts w:cs="Arial"/>
          <w:b/>
          <w:bCs/>
        </w:rPr>
        <w:t xml:space="preserve"> </w:t>
      </w:r>
      <w:r>
        <w:rPr>
          <w:rFonts w:cs="Arial"/>
          <w:b/>
          <w:bCs/>
        </w:rPr>
        <w:t>ester (</w:t>
      </w:r>
      <w:r w:rsidR="00BD6BE2">
        <w:rPr>
          <w:rFonts w:cs="Arial"/>
          <w:b/>
          <w:bCs/>
        </w:rPr>
        <w:t>16</w:t>
      </w:r>
      <w:r>
        <w:rPr>
          <w:rFonts w:cs="Arial"/>
          <w:b/>
          <w:bCs/>
        </w:rPr>
        <w:t>)</w:t>
      </w:r>
      <w:r w:rsidR="00D34830">
        <w:rPr>
          <w:rFonts w:cs="Arial"/>
          <w:b/>
          <w:bCs/>
        </w:rPr>
        <w:t>, cyclohexane impurity</w:t>
      </w:r>
      <w:r>
        <w:rPr>
          <w:rFonts w:cs="Arial"/>
          <w:b/>
          <w:bCs/>
        </w:rPr>
        <w:t xml:space="preserve"> </w:t>
      </w:r>
    </w:p>
    <w:p w14:paraId="12B6F8BC" w14:textId="49502239" w:rsidR="001C4B67" w:rsidRDefault="00BE6E78" w:rsidP="002A6A89">
      <w:r>
        <w:rPr>
          <w:noProof/>
        </w:rPr>
        <w:drawing>
          <wp:inline distT="0" distB="0" distL="0" distR="0" wp14:anchorId="5CE4DA20" wp14:editId="7F6097F4">
            <wp:extent cx="5270500" cy="37211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rotWithShape="1">
                    <a:blip r:embed="rId101">
                      <a:extLst>
                        <a:ext uri="{28A0092B-C50C-407E-A947-70E740481C1C}">
                          <a14:useLocalDpi xmlns:a14="http://schemas.microsoft.com/office/drawing/2010/main" val="0"/>
                        </a:ext>
                      </a:extLst>
                    </a:blip>
                    <a:srcRect t="8438" r="8186"/>
                    <a:stretch/>
                  </pic:blipFill>
                  <pic:spPr bwMode="auto">
                    <a:xfrm>
                      <a:off x="0" y="0"/>
                      <a:ext cx="5270500" cy="3721100"/>
                    </a:xfrm>
                    <a:prstGeom prst="rect">
                      <a:avLst/>
                    </a:prstGeom>
                    <a:noFill/>
                    <a:ln>
                      <a:noFill/>
                    </a:ln>
                    <a:extLst>
                      <a:ext uri="{53640926-AAD7-44D8-BBD7-CCE9431645EC}">
                        <a14:shadowObscured xmlns:a14="http://schemas.microsoft.com/office/drawing/2010/main"/>
                      </a:ext>
                    </a:extLst>
                  </pic:spPr>
                </pic:pic>
              </a:graphicData>
            </a:graphic>
          </wp:inline>
        </w:drawing>
      </w:r>
    </w:p>
    <w:p w14:paraId="50704B5A" w14:textId="77777777" w:rsidR="00BE6E78" w:rsidRDefault="00BE6E78" w:rsidP="002A6A89"/>
    <w:p w14:paraId="0AEE1C31" w14:textId="1335D378" w:rsidR="00156E64" w:rsidRPr="00B22D51" w:rsidRDefault="00156E64" w:rsidP="00156E64">
      <w:pPr>
        <w:rPr>
          <w:b/>
          <w:bCs/>
        </w:rPr>
      </w:pPr>
      <w:r w:rsidRPr="00B22D51">
        <w:rPr>
          <w:b/>
          <w:bCs/>
          <w:vertAlign w:val="superscript"/>
        </w:rPr>
        <w:lastRenderedPageBreak/>
        <w:t>1</w:t>
      </w:r>
      <w:r w:rsidRPr="00B22D51">
        <w:rPr>
          <w:b/>
          <w:bCs/>
        </w:rPr>
        <w:t>H of</w:t>
      </w:r>
      <w:r>
        <w:rPr>
          <w:b/>
          <w:bCs/>
        </w:rPr>
        <w:t xml:space="preserve"> </w:t>
      </w:r>
      <w:r w:rsidR="00115002">
        <w:rPr>
          <w:rFonts w:cs="Arial"/>
          <w:b/>
          <w:bCs/>
        </w:rPr>
        <w:t>β</w:t>
      </w:r>
      <w:r w:rsidR="00115002">
        <w:rPr>
          <w:b/>
          <w:bCs/>
        </w:rPr>
        <w:t>-</w:t>
      </w:r>
      <w:r>
        <w:rPr>
          <w:b/>
          <w:bCs/>
        </w:rPr>
        <w:t>k</w:t>
      </w:r>
      <w:r>
        <w:rPr>
          <w:rFonts w:cs="Arial"/>
          <w:b/>
          <w:bCs/>
        </w:rPr>
        <w:t>eto</w:t>
      </w:r>
      <w:r w:rsidR="00115002">
        <w:rPr>
          <w:rFonts w:cs="Arial"/>
          <w:b/>
          <w:bCs/>
        </w:rPr>
        <w:t xml:space="preserve"> </w:t>
      </w:r>
      <w:r>
        <w:rPr>
          <w:rFonts w:cs="Arial"/>
          <w:b/>
          <w:bCs/>
        </w:rPr>
        <w:t>ester (</w:t>
      </w:r>
      <w:r w:rsidR="00BD6BE2">
        <w:rPr>
          <w:rFonts w:cs="Arial"/>
          <w:b/>
          <w:bCs/>
        </w:rPr>
        <w:t>15</w:t>
      </w:r>
      <w:r>
        <w:rPr>
          <w:rFonts w:cs="Arial"/>
          <w:b/>
          <w:bCs/>
        </w:rPr>
        <w:t xml:space="preserve">) </w:t>
      </w:r>
    </w:p>
    <w:p w14:paraId="482243E2" w14:textId="7832C1C3" w:rsidR="00BE6E78" w:rsidRDefault="007F6244" w:rsidP="002A6A89">
      <w:r>
        <w:rPr>
          <w:noProof/>
        </w:rPr>
        <w:drawing>
          <wp:inline distT="0" distB="0" distL="0" distR="0" wp14:anchorId="3AF7B0BF" wp14:editId="71E2D1AE">
            <wp:extent cx="5254907" cy="3691890"/>
            <wp:effectExtent l="0" t="0" r="317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rotWithShape="1">
                    <a:blip r:embed="rId102">
                      <a:extLst>
                        <a:ext uri="{28A0092B-C50C-407E-A947-70E740481C1C}">
                          <a14:useLocalDpi xmlns:a14="http://schemas.microsoft.com/office/drawing/2010/main" val="0"/>
                        </a:ext>
                      </a:extLst>
                    </a:blip>
                    <a:srcRect t="9117" r="8457"/>
                    <a:stretch/>
                  </pic:blipFill>
                  <pic:spPr bwMode="auto">
                    <a:xfrm>
                      <a:off x="0" y="0"/>
                      <a:ext cx="5255548" cy="3692340"/>
                    </a:xfrm>
                    <a:prstGeom prst="rect">
                      <a:avLst/>
                    </a:prstGeom>
                    <a:noFill/>
                    <a:ln>
                      <a:noFill/>
                    </a:ln>
                    <a:extLst>
                      <a:ext uri="{53640926-AAD7-44D8-BBD7-CCE9431645EC}">
                        <a14:shadowObscured xmlns:a14="http://schemas.microsoft.com/office/drawing/2010/main"/>
                      </a:ext>
                    </a:extLst>
                  </pic:spPr>
                </pic:pic>
              </a:graphicData>
            </a:graphic>
          </wp:inline>
        </w:drawing>
      </w:r>
    </w:p>
    <w:p w14:paraId="48702922" w14:textId="22C74954" w:rsidR="007F6244" w:rsidRPr="00B22D51" w:rsidRDefault="007F6244" w:rsidP="007F6244">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w:t>
      </w:r>
      <w:r w:rsidR="00115002">
        <w:rPr>
          <w:rFonts w:cs="Arial"/>
          <w:b/>
          <w:bCs/>
        </w:rPr>
        <w:t>β</w:t>
      </w:r>
      <w:r w:rsidR="00115002">
        <w:rPr>
          <w:b/>
          <w:bCs/>
        </w:rPr>
        <w:t>-k</w:t>
      </w:r>
      <w:r w:rsidR="00115002">
        <w:rPr>
          <w:rFonts w:cs="Arial"/>
          <w:b/>
          <w:bCs/>
        </w:rPr>
        <w:t xml:space="preserve">eto ester </w:t>
      </w:r>
      <w:r>
        <w:rPr>
          <w:rFonts w:cs="Arial"/>
          <w:b/>
          <w:bCs/>
        </w:rPr>
        <w:t>(</w:t>
      </w:r>
      <w:r w:rsidR="00BD6BE2">
        <w:rPr>
          <w:rFonts w:cs="Arial"/>
          <w:b/>
          <w:bCs/>
        </w:rPr>
        <w:t>15</w:t>
      </w:r>
      <w:r>
        <w:rPr>
          <w:rFonts w:cs="Arial"/>
          <w:b/>
          <w:bCs/>
        </w:rPr>
        <w:t xml:space="preserve">) </w:t>
      </w:r>
    </w:p>
    <w:p w14:paraId="13D150D7" w14:textId="0341D8E0" w:rsidR="007F6244" w:rsidRDefault="007F6244" w:rsidP="002A6A89">
      <w:r>
        <w:rPr>
          <w:noProof/>
        </w:rPr>
        <w:drawing>
          <wp:inline distT="0" distB="0" distL="0" distR="0" wp14:anchorId="6C10F058" wp14:editId="4A10F18B">
            <wp:extent cx="5254625" cy="36576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rotWithShape="1">
                    <a:blip r:embed="rId103">
                      <a:extLst>
                        <a:ext uri="{28A0092B-C50C-407E-A947-70E740481C1C}">
                          <a14:useLocalDpi xmlns:a14="http://schemas.microsoft.com/office/drawing/2010/main" val="0"/>
                        </a:ext>
                      </a:extLst>
                    </a:blip>
                    <a:srcRect t="9972" r="8472"/>
                    <a:stretch/>
                  </pic:blipFill>
                  <pic:spPr bwMode="auto">
                    <a:xfrm>
                      <a:off x="0" y="0"/>
                      <a:ext cx="5254648" cy="3657616"/>
                    </a:xfrm>
                    <a:prstGeom prst="rect">
                      <a:avLst/>
                    </a:prstGeom>
                    <a:noFill/>
                    <a:ln>
                      <a:noFill/>
                    </a:ln>
                    <a:extLst>
                      <a:ext uri="{53640926-AAD7-44D8-BBD7-CCE9431645EC}">
                        <a14:shadowObscured xmlns:a14="http://schemas.microsoft.com/office/drawing/2010/main"/>
                      </a:ext>
                    </a:extLst>
                  </pic:spPr>
                </pic:pic>
              </a:graphicData>
            </a:graphic>
          </wp:inline>
        </w:drawing>
      </w:r>
    </w:p>
    <w:p w14:paraId="70D6C7B8" w14:textId="77777777" w:rsidR="007F6244" w:rsidRDefault="007F6244" w:rsidP="002A6A89"/>
    <w:p w14:paraId="1EB2E08F" w14:textId="77777777" w:rsidR="007F6244" w:rsidRDefault="007F6244" w:rsidP="002A6A89"/>
    <w:p w14:paraId="07C5FE46" w14:textId="4BB4D06C" w:rsidR="007F6244" w:rsidRPr="00B22D51" w:rsidRDefault="007F6244" w:rsidP="007F6244">
      <w:pPr>
        <w:rPr>
          <w:b/>
          <w:bCs/>
        </w:rPr>
      </w:pPr>
      <w:r w:rsidRPr="00B22D51">
        <w:rPr>
          <w:b/>
          <w:bCs/>
          <w:vertAlign w:val="superscript"/>
        </w:rPr>
        <w:lastRenderedPageBreak/>
        <w:t>1</w:t>
      </w:r>
      <w:r w:rsidRPr="00B22D51">
        <w:rPr>
          <w:b/>
          <w:bCs/>
        </w:rPr>
        <w:t>H of</w:t>
      </w:r>
      <w:r>
        <w:rPr>
          <w:b/>
          <w:bCs/>
        </w:rPr>
        <w:t xml:space="preserve"> ketone intermediate </w:t>
      </w:r>
      <w:r>
        <w:rPr>
          <w:rFonts w:cs="Arial"/>
          <w:b/>
          <w:bCs/>
        </w:rPr>
        <w:t xml:space="preserve">(P-1) </w:t>
      </w:r>
    </w:p>
    <w:p w14:paraId="55DB4EFC" w14:textId="38DD942E" w:rsidR="007F6244" w:rsidRDefault="00240602" w:rsidP="002A6A89">
      <w:r>
        <w:rPr>
          <w:noProof/>
        </w:rPr>
        <w:drawing>
          <wp:inline distT="0" distB="0" distL="0" distR="0" wp14:anchorId="3CA47E4F" wp14:editId="1D4C7A0D">
            <wp:extent cx="5278056" cy="36455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rotWithShape="1">
                    <a:blip r:embed="rId104">
                      <a:extLst>
                        <a:ext uri="{28A0092B-C50C-407E-A947-70E740481C1C}">
                          <a14:useLocalDpi xmlns:a14="http://schemas.microsoft.com/office/drawing/2010/main" val="0"/>
                        </a:ext>
                      </a:extLst>
                    </a:blip>
                    <a:srcRect t="10256" r="8051"/>
                    <a:stretch/>
                  </pic:blipFill>
                  <pic:spPr bwMode="auto">
                    <a:xfrm>
                      <a:off x="0" y="0"/>
                      <a:ext cx="5278789" cy="3646041"/>
                    </a:xfrm>
                    <a:prstGeom prst="rect">
                      <a:avLst/>
                    </a:prstGeom>
                    <a:noFill/>
                    <a:ln>
                      <a:noFill/>
                    </a:ln>
                    <a:extLst>
                      <a:ext uri="{53640926-AAD7-44D8-BBD7-CCE9431645EC}">
                        <a14:shadowObscured xmlns:a14="http://schemas.microsoft.com/office/drawing/2010/main"/>
                      </a:ext>
                    </a:extLst>
                  </pic:spPr>
                </pic:pic>
              </a:graphicData>
            </a:graphic>
          </wp:inline>
        </w:drawing>
      </w:r>
    </w:p>
    <w:p w14:paraId="0395CBF6" w14:textId="77777777" w:rsidR="00240602" w:rsidRDefault="00240602" w:rsidP="002A6A89"/>
    <w:p w14:paraId="28681957" w14:textId="5302ED17" w:rsidR="00240602" w:rsidRPr="00B22D51" w:rsidRDefault="00240602" w:rsidP="00240602">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ketone intermediate </w:t>
      </w:r>
      <w:r>
        <w:rPr>
          <w:rFonts w:cs="Arial"/>
          <w:b/>
          <w:bCs/>
        </w:rPr>
        <w:t xml:space="preserve">(P-1) </w:t>
      </w:r>
    </w:p>
    <w:p w14:paraId="1D5B9DD5" w14:textId="77C9EDA9" w:rsidR="00240602" w:rsidRDefault="00B907B0" w:rsidP="002A6A89">
      <w:r>
        <w:rPr>
          <w:noProof/>
        </w:rPr>
        <w:drawing>
          <wp:inline distT="0" distB="0" distL="0" distR="0" wp14:anchorId="3DE9FB9D" wp14:editId="62231BDB">
            <wp:extent cx="5277485" cy="3727064"/>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rotWithShape="1">
                    <a:blip r:embed="rId105">
                      <a:extLst>
                        <a:ext uri="{28A0092B-C50C-407E-A947-70E740481C1C}">
                          <a14:useLocalDpi xmlns:a14="http://schemas.microsoft.com/office/drawing/2010/main" val="0"/>
                        </a:ext>
                      </a:extLst>
                    </a:blip>
                    <a:srcRect t="8262" r="8075"/>
                    <a:stretch/>
                  </pic:blipFill>
                  <pic:spPr bwMode="auto">
                    <a:xfrm>
                      <a:off x="0" y="0"/>
                      <a:ext cx="5277485" cy="3727064"/>
                    </a:xfrm>
                    <a:prstGeom prst="rect">
                      <a:avLst/>
                    </a:prstGeom>
                    <a:noFill/>
                    <a:ln>
                      <a:noFill/>
                    </a:ln>
                    <a:extLst>
                      <a:ext uri="{53640926-AAD7-44D8-BBD7-CCE9431645EC}">
                        <a14:shadowObscured xmlns:a14="http://schemas.microsoft.com/office/drawing/2010/main"/>
                      </a:ext>
                    </a:extLst>
                  </pic:spPr>
                </pic:pic>
              </a:graphicData>
            </a:graphic>
          </wp:inline>
        </w:drawing>
      </w:r>
    </w:p>
    <w:p w14:paraId="646E34DB" w14:textId="77777777" w:rsidR="00B907B0" w:rsidRDefault="00B907B0" w:rsidP="002A6A89"/>
    <w:p w14:paraId="244687B4" w14:textId="67720EF7" w:rsidR="0032653F" w:rsidRPr="00B22D51" w:rsidRDefault="0032653F" w:rsidP="0032653F">
      <w:pPr>
        <w:rPr>
          <w:b/>
          <w:bCs/>
        </w:rPr>
      </w:pPr>
      <w:r w:rsidRPr="00B22D51">
        <w:rPr>
          <w:b/>
          <w:bCs/>
          <w:vertAlign w:val="superscript"/>
        </w:rPr>
        <w:lastRenderedPageBreak/>
        <w:t>1</w:t>
      </w:r>
      <w:r w:rsidRPr="00B22D51">
        <w:rPr>
          <w:b/>
          <w:bCs/>
        </w:rPr>
        <w:t>H of</w:t>
      </w:r>
      <w:r>
        <w:rPr>
          <w:b/>
          <w:bCs/>
        </w:rPr>
        <w:t xml:space="preserve"> ketone intermediate </w:t>
      </w:r>
      <w:r>
        <w:rPr>
          <w:rFonts w:cs="Arial"/>
          <w:b/>
          <w:bCs/>
        </w:rPr>
        <w:t xml:space="preserve">(P-2) </w:t>
      </w:r>
    </w:p>
    <w:p w14:paraId="485E66EE" w14:textId="271CBEED" w:rsidR="00B907B0" w:rsidRDefault="002959FD" w:rsidP="002A6A89">
      <w:r>
        <w:rPr>
          <w:noProof/>
        </w:rPr>
        <w:drawing>
          <wp:inline distT="0" distB="0" distL="0" distR="0" wp14:anchorId="693FC350" wp14:editId="59E9EC06">
            <wp:extent cx="5324355" cy="37382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rotWithShape="1">
                    <a:blip r:embed="rId106">
                      <a:extLst>
                        <a:ext uri="{28A0092B-C50C-407E-A947-70E740481C1C}">
                          <a14:useLocalDpi xmlns:a14="http://schemas.microsoft.com/office/drawing/2010/main" val="0"/>
                        </a:ext>
                      </a:extLst>
                    </a:blip>
                    <a:srcRect t="7977" r="7248"/>
                    <a:stretch/>
                  </pic:blipFill>
                  <pic:spPr bwMode="auto">
                    <a:xfrm>
                      <a:off x="0" y="0"/>
                      <a:ext cx="5324916" cy="3738639"/>
                    </a:xfrm>
                    <a:prstGeom prst="rect">
                      <a:avLst/>
                    </a:prstGeom>
                    <a:noFill/>
                    <a:ln>
                      <a:noFill/>
                    </a:ln>
                    <a:extLst>
                      <a:ext uri="{53640926-AAD7-44D8-BBD7-CCE9431645EC}">
                        <a14:shadowObscured xmlns:a14="http://schemas.microsoft.com/office/drawing/2010/main"/>
                      </a:ext>
                    </a:extLst>
                  </pic:spPr>
                </pic:pic>
              </a:graphicData>
            </a:graphic>
          </wp:inline>
        </w:drawing>
      </w:r>
    </w:p>
    <w:p w14:paraId="26DCF176" w14:textId="77777777" w:rsidR="002959FD" w:rsidRDefault="002959FD" w:rsidP="002A6A89"/>
    <w:p w14:paraId="767A2444" w14:textId="5FD1D4B1" w:rsidR="002959FD" w:rsidRPr="00B22D51" w:rsidRDefault="002959FD" w:rsidP="002959FD">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ketone intermediate </w:t>
      </w:r>
      <w:r>
        <w:rPr>
          <w:rFonts w:cs="Arial"/>
          <w:b/>
          <w:bCs/>
        </w:rPr>
        <w:t xml:space="preserve">(P-2) </w:t>
      </w:r>
    </w:p>
    <w:p w14:paraId="5B7AE614" w14:textId="25ACDEA6" w:rsidR="002959FD" w:rsidRDefault="00D06A55" w:rsidP="002A6A89">
      <w:r>
        <w:rPr>
          <w:noProof/>
        </w:rPr>
        <w:drawing>
          <wp:inline distT="0" distB="0" distL="0" distR="0" wp14:anchorId="061CD4CA" wp14:editId="0BB8AD49">
            <wp:extent cx="5323840" cy="373824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rotWithShape="1">
                    <a:blip r:embed="rId107">
                      <a:extLst>
                        <a:ext uri="{28A0092B-C50C-407E-A947-70E740481C1C}">
                          <a14:useLocalDpi xmlns:a14="http://schemas.microsoft.com/office/drawing/2010/main" val="0"/>
                        </a:ext>
                      </a:extLst>
                    </a:blip>
                    <a:srcRect t="7977" r="7257"/>
                    <a:stretch/>
                  </pic:blipFill>
                  <pic:spPr bwMode="auto">
                    <a:xfrm>
                      <a:off x="0" y="0"/>
                      <a:ext cx="5324401" cy="3738639"/>
                    </a:xfrm>
                    <a:prstGeom prst="rect">
                      <a:avLst/>
                    </a:prstGeom>
                    <a:noFill/>
                    <a:ln>
                      <a:noFill/>
                    </a:ln>
                    <a:extLst>
                      <a:ext uri="{53640926-AAD7-44D8-BBD7-CCE9431645EC}">
                        <a14:shadowObscured xmlns:a14="http://schemas.microsoft.com/office/drawing/2010/main"/>
                      </a:ext>
                    </a:extLst>
                  </pic:spPr>
                </pic:pic>
              </a:graphicData>
            </a:graphic>
          </wp:inline>
        </w:drawing>
      </w:r>
    </w:p>
    <w:p w14:paraId="1204F336" w14:textId="77777777" w:rsidR="00D06A55" w:rsidRDefault="00D06A55" w:rsidP="002A6A89"/>
    <w:p w14:paraId="75794246" w14:textId="4FB03161" w:rsidR="00B83BFD" w:rsidRPr="00B22D51" w:rsidRDefault="00B83BFD" w:rsidP="00B83BFD">
      <w:pPr>
        <w:rPr>
          <w:b/>
          <w:bCs/>
        </w:rPr>
      </w:pPr>
      <w:r w:rsidRPr="00B22D51">
        <w:rPr>
          <w:b/>
          <w:bCs/>
          <w:vertAlign w:val="superscript"/>
        </w:rPr>
        <w:t>1</w:t>
      </w:r>
      <w:r w:rsidRPr="00B22D51">
        <w:rPr>
          <w:b/>
          <w:bCs/>
        </w:rPr>
        <w:t>H of</w:t>
      </w:r>
      <w:r>
        <w:rPr>
          <w:b/>
          <w:bCs/>
        </w:rPr>
        <w:t xml:space="preserve"> ketone intermediate </w:t>
      </w:r>
      <w:r>
        <w:rPr>
          <w:rFonts w:cs="Arial"/>
          <w:b/>
          <w:bCs/>
        </w:rPr>
        <w:t>(P-</w:t>
      </w:r>
      <w:r w:rsidR="008A3714">
        <w:rPr>
          <w:rFonts w:cs="Arial"/>
          <w:b/>
          <w:bCs/>
        </w:rPr>
        <w:t>3</w:t>
      </w:r>
      <w:r>
        <w:rPr>
          <w:rFonts w:cs="Arial"/>
          <w:b/>
          <w:bCs/>
        </w:rPr>
        <w:t xml:space="preserve">) </w:t>
      </w:r>
    </w:p>
    <w:p w14:paraId="24CFF473" w14:textId="52FFFC8E" w:rsidR="00D06A55" w:rsidRDefault="008A3714" w:rsidP="002A6A89">
      <w:r>
        <w:rPr>
          <w:noProof/>
        </w:rPr>
        <w:drawing>
          <wp:inline distT="0" distB="0" distL="0" distR="0" wp14:anchorId="06952D67" wp14:editId="29D69943">
            <wp:extent cx="5254625" cy="3437681"/>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rotWithShape="1">
                    <a:blip r:embed="rId108">
                      <a:extLst>
                        <a:ext uri="{28A0092B-C50C-407E-A947-70E740481C1C}">
                          <a14:useLocalDpi xmlns:a14="http://schemas.microsoft.com/office/drawing/2010/main" val="0"/>
                        </a:ext>
                      </a:extLst>
                    </a:blip>
                    <a:srcRect t="7977" r="8458" b="7394"/>
                    <a:stretch/>
                  </pic:blipFill>
                  <pic:spPr bwMode="auto">
                    <a:xfrm>
                      <a:off x="0" y="0"/>
                      <a:ext cx="5255461" cy="3438228"/>
                    </a:xfrm>
                    <a:prstGeom prst="rect">
                      <a:avLst/>
                    </a:prstGeom>
                    <a:noFill/>
                    <a:ln>
                      <a:noFill/>
                    </a:ln>
                    <a:extLst>
                      <a:ext uri="{53640926-AAD7-44D8-BBD7-CCE9431645EC}">
                        <a14:shadowObscured xmlns:a14="http://schemas.microsoft.com/office/drawing/2010/main"/>
                      </a:ext>
                    </a:extLst>
                  </pic:spPr>
                </pic:pic>
              </a:graphicData>
            </a:graphic>
          </wp:inline>
        </w:drawing>
      </w:r>
    </w:p>
    <w:p w14:paraId="46C9B5BB" w14:textId="77777777" w:rsidR="008A3714" w:rsidRDefault="008A3714" w:rsidP="002A6A89"/>
    <w:p w14:paraId="35634655" w14:textId="2F09E813" w:rsidR="008A3714" w:rsidRPr="00B22D51" w:rsidRDefault="008A3714" w:rsidP="008A3714">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ketone intermediate </w:t>
      </w:r>
      <w:r>
        <w:rPr>
          <w:rFonts w:cs="Arial"/>
          <w:b/>
          <w:bCs/>
        </w:rPr>
        <w:t xml:space="preserve">(P-3) </w:t>
      </w:r>
    </w:p>
    <w:p w14:paraId="11B67948" w14:textId="34C52155" w:rsidR="008A3714" w:rsidRDefault="008A3714" w:rsidP="002A6A89">
      <w:r>
        <w:rPr>
          <w:noProof/>
        </w:rPr>
        <w:drawing>
          <wp:inline distT="0" distB="0" distL="0" distR="0" wp14:anchorId="3B6741DD" wp14:editId="23DE6EA7">
            <wp:extent cx="5254625" cy="3749675"/>
            <wp:effectExtent l="0" t="0" r="3175"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rotWithShape="1">
                    <a:blip r:embed="rId109">
                      <a:extLst>
                        <a:ext uri="{28A0092B-C50C-407E-A947-70E740481C1C}">
                          <a14:useLocalDpi xmlns:a14="http://schemas.microsoft.com/office/drawing/2010/main" val="0"/>
                        </a:ext>
                      </a:extLst>
                    </a:blip>
                    <a:srcRect t="7692" r="8460"/>
                    <a:stretch/>
                  </pic:blipFill>
                  <pic:spPr bwMode="auto">
                    <a:xfrm>
                      <a:off x="0" y="0"/>
                      <a:ext cx="5255379" cy="3750213"/>
                    </a:xfrm>
                    <a:prstGeom prst="rect">
                      <a:avLst/>
                    </a:prstGeom>
                    <a:noFill/>
                    <a:ln>
                      <a:noFill/>
                    </a:ln>
                    <a:extLst>
                      <a:ext uri="{53640926-AAD7-44D8-BBD7-CCE9431645EC}">
                        <a14:shadowObscured xmlns:a14="http://schemas.microsoft.com/office/drawing/2010/main"/>
                      </a:ext>
                    </a:extLst>
                  </pic:spPr>
                </pic:pic>
              </a:graphicData>
            </a:graphic>
          </wp:inline>
        </w:drawing>
      </w:r>
    </w:p>
    <w:p w14:paraId="7CD7EC59" w14:textId="77777777" w:rsidR="007F6244" w:rsidRDefault="007F6244" w:rsidP="002A6A89"/>
    <w:p w14:paraId="57D00501" w14:textId="73968FCB" w:rsidR="0064188F" w:rsidRPr="00B22D51" w:rsidRDefault="0064188F" w:rsidP="0064188F">
      <w:pPr>
        <w:rPr>
          <w:b/>
          <w:bCs/>
        </w:rPr>
      </w:pPr>
      <w:r w:rsidRPr="00B22D51">
        <w:rPr>
          <w:b/>
          <w:bCs/>
          <w:vertAlign w:val="superscript"/>
        </w:rPr>
        <w:t>1</w:t>
      </w:r>
      <w:r w:rsidRPr="00B22D51">
        <w:rPr>
          <w:b/>
          <w:bCs/>
        </w:rPr>
        <w:t>H of</w:t>
      </w:r>
      <w:r>
        <w:rPr>
          <w:b/>
          <w:bCs/>
        </w:rPr>
        <w:t xml:space="preserve"> trans-tetrahydroactinidiolide </w:t>
      </w:r>
      <w:r>
        <w:rPr>
          <w:rFonts w:cs="Arial"/>
          <w:b/>
          <w:bCs/>
        </w:rPr>
        <w:t>(</w:t>
      </w:r>
      <w:r w:rsidR="00BD6BE2">
        <w:rPr>
          <w:rFonts w:cs="Arial"/>
          <w:b/>
          <w:bCs/>
        </w:rPr>
        <w:t>1</w:t>
      </w:r>
      <w:r>
        <w:rPr>
          <w:rFonts w:cs="Arial"/>
          <w:b/>
          <w:bCs/>
        </w:rPr>
        <w:t>)</w:t>
      </w:r>
      <w:r w:rsidR="00D34830">
        <w:rPr>
          <w:rFonts w:cs="Arial"/>
          <w:b/>
          <w:bCs/>
        </w:rPr>
        <w:t>, grease impurity</w:t>
      </w:r>
      <w:r>
        <w:rPr>
          <w:rFonts w:cs="Arial"/>
          <w:b/>
          <w:bCs/>
        </w:rPr>
        <w:t xml:space="preserve"> </w:t>
      </w:r>
    </w:p>
    <w:p w14:paraId="05A1BD15" w14:textId="139967A0" w:rsidR="008A3714" w:rsidRDefault="004C05F6" w:rsidP="002A6A89">
      <w:r>
        <w:rPr>
          <w:noProof/>
        </w:rPr>
        <w:drawing>
          <wp:inline distT="0" distB="0" distL="0" distR="0" wp14:anchorId="7F2917A0" wp14:editId="59FFDD20">
            <wp:extent cx="5194300" cy="3674479"/>
            <wp:effectExtent l="0" t="0" r="6350" b="2540"/>
            <wp:docPr id="11" name="Picture 11"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histogram&#10;&#10;Description automatically generated"/>
                    <pic:cNvPicPr/>
                  </pic:nvPicPr>
                  <pic:blipFill rotWithShape="1">
                    <a:blip r:embed="rId110"/>
                    <a:srcRect t="9791" r="9827"/>
                    <a:stretch/>
                  </pic:blipFill>
                  <pic:spPr bwMode="auto">
                    <a:xfrm>
                      <a:off x="0" y="0"/>
                      <a:ext cx="5194570" cy="3674670"/>
                    </a:xfrm>
                    <a:prstGeom prst="rect">
                      <a:avLst/>
                    </a:prstGeom>
                    <a:ln>
                      <a:noFill/>
                    </a:ln>
                    <a:extLst>
                      <a:ext uri="{53640926-AAD7-44D8-BBD7-CCE9431645EC}">
                        <a14:shadowObscured xmlns:a14="http://schemas.microsoft.com/office/drawing/2010/main"/>
                      </a:ext>
                    </a:extLst>
                  </pic:spPr>
                </pic:pic>
              </a:graphicData>
            </a:graphic>
          </wp:inline>
        </w:drawing>
      </w:r>
    </w:p>
    <w:p w14:paraId="02743525" w14:textId="77777777" w:rsidR="00BB4E22" w:rsidRDefault="00BB4E22" w:rsidP="002A6A89"/>
    <w:p w14:paraId="778AB944" w14:textId="0260C788" w:rsidR="00BB4E22" w:rsidRPr="00B22D51" w:rsidRDefault="00BB4E22" w:rsidP="00BB4E22">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trans-tetrahydroactinidiolide </w:t>
      </w:r>
      <w:r>
        <w:rPr>
          <w:rFonts w:cs="Arial"/>
          <w:b/>
          <w:bCs/>
        </w:rPr>
        <w:t>(</w:t>
      </w:r>
      <w:r w:rsidR="00BD6BE2">
        <w:rPr>
          <w:rFonts w:cs="Arial"/>
          <w:b/>
          <w:bCs/>
        </w:rPr>
        <w:t>1</w:t>
      </w:r>
      <w:r>
        <w:rPr>
          <w:rFonts w:cs="Arial"/>
          <w:b/>
          <w:bCs/>
        </w:rPr>
        <w:t>)</w:t>
      </w:r>
      <w:r w:rsidR="00D34830">
        <w:rPr>
          <w:rFonts w:cs="Arial"/>
          <w:b/>
          <w:bCs/>
        </w:rPr>
        <w:t>, grease impurity</w:t>
      </w:r>
      <w:r>
        <w:rPr>
          <w:rFonts w:cs="Arial"/>
          <w:b/>
          <w:bCs/>
        </w:rPr>
        <w:t xml:space="preserve"> </w:t>
      </w:r>
    </w:p>
    <w:p w14:paraId="56D48AAD" w14:textId="24968F15" w:rsidR="00BB4E22" w:rsidRDefault="00C01E64" w:rsidP="002A6A89">
      <w:r>
        <w:rPr>
          <w:noProof/>
        </w:rPr>
        <w:drawing>
          <wp:inline distT="0" distB="0" distL="0" distR="0" wp14:anchorId="49C6178E" wp14:editId="6C397E34">
            <wp:extent cx="5289550" cy="370332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pic:cNvPicPr>
                      <a:picLocks noChangeAspect="1" noChangeArrowheads="1"/>
                    </pic:cNvPicPr>
                  </pic:nvPicPr>
                  <pic:blipFill rotWithShape="1">
                    <a:blip r:embed="rId111">
                      <a:extLst>
                        <a:ext uri="{28A0092B-C50C-407E-A947-70E740481C1C}">
                          <a14:useLocalDpi xmlns:a14="http://schemas.microsoft.com/office/drawing/2010/main" val="0"/>
                        </a:ext>
                      </a:extLst>
                    </a:blip>
                    <a:srcRect t="8832" r="7849"/>
                    <a:stretch/>
                  </pic:blipFill>
                  <pic:spPr bwMode="auto">
                    <a:xfrm>
                      <a:off x="0" y="0"/>
                      <a:ext cx="5290400" cy="3703915"/>
                    </a:xfrm>
                    <a:prstGeom prst="rect">
                      <a:avLst/>
                    </a:prstGeom>
                    <a:noFill/>
                    <a:ln>
                      <a:noFill/>
                    </a:ln>
                    <a:extLst>
                      <a:ext uri="{53640926-AAD7-44D8-BBD7-CCE9431645EC}">
                        <a14:shadowObscured xmlns:a14="http://schemas.microsoft.com/office/drawing/2010/main"/>
                      </a:ext>
                    </a:extLst>
                  </pic:spPr>
                </pic:pic>
              </a:graphicData>
            </a:graphic>
          </wp:inline>
        </w:drawing>
      </w:r>
    </w:p>
    <w:p w14:paraId="288B594E" w14:textId="77777777" w:rsidR="00491F65" w:rsidRDefault="00491F65" w:rsidP="002A6A89"/>
    <w:p w14:paraId="45A7C593" w14:textId="514B983C" w:rsidR="00491F65" w:rsidRPr="00B22D51" w:rsidRDefault="00491F65" w:rsidP="00491F65">
      <w:pPr>
        <w:rPr>
          <w:b/>
          <w:bCs/>
        </w:rPr>
      </w:pPr>
      <w:r w:rsidRPr="004C47CA">
        <w:rPr>
          <w:b/>
          <w:bCs/>
          <w:vertAlign w:val="superscript"/>
        </w:rPr>
        <w:t>1</w:t>
      </w:r>
      <w:r w:rsidRPr="004C47CA">
        <w:rPr>
          <w:b/>
          <w:bCs/>
        </w:rPr>
        <w:t xml:space="preserve">H of cis-tetrahydroactinidiolide </w:t>
      </w:r>
      <w:r w:rsidRPr="004C47CA">
        <w:rPr>
          <w:rFonts w:cs="Arial"/>
          <w:b/>
          <w:bCs/>
        </w:rPr>
        <w:t>(</w:t>
      </w:r>
      <w:r w:rsidR="003B6FB1" w:rsidRPr="004C47CA">
        <w:rPr>
          <w:rFonts w:cs="Arial"/>
          <w:b/>
          <w:bCs/>
        </w:rPr>
        <w:t>25</w:t>
      </w:r>
      <w:r w:rsidRPr="004C47CA">
        <w:rPr>
          <w:rFonts w:cs="Arial"/>
          <w:b/>
          <w:bCs/>
        </w:rPr>
        <w:t xml:space="preserve">) </w:t>
      </w:r>
      <w:r w:rsidR="003007E3" w:rsidRPr="004C47CA">
        <w:rPr>
          <w:rFonts w:cs="Arial"/>
          <w:b/>
          <w:bCs/>
        </w:rPr>
        <w:t>with</w:t>
      </w:r>
      <w:r w:rsidR="004C47CA">
        <w:rPr>
          <w:rFonts w:cs="Arial"/>
          <w:b/>
          <w:bCs/>
        </w:rPr>
        <w:t xml:space="preserve"> equimolar</w:t>
      </w:r>
      <w:r w:rsidR="003007E3" w:rsidRPr="004C47CA">
        <w:rPr>
          <w:rFonts w:cs="Arial"/>
          <w:b/>
          <w:bCs/>
        </w:rPr>
        <w:t xml:space="preserve"> </w:t>
      </w:r>
      <w:r w:rsidR="00044D26" w:rsidRPr="004C47CA">
        <w:rPr>
          <w:rFonts w:cs="Arial"/>
          <w:b/>
          <w:bCs/>
        </w:rPr>
        <w:t>m</w:t>
      </w:r>
      <w:r w:rsidR="003007E3" w:rsidRPr="004C47CA">
        <w:rPr>
          <w:rFonts w:cs="Arial"/>
          <w:b/>
          <w:bCs/>
        </w:rPr>
        <w:t>esitylene standard</w:t>
      </w:r>
      <w:r w:rsidR="00044D26" w:rsidRPr="004C47CA">
        <w:rPr>
          <w:rFonts w:cs="Arial"/>
          <w:b/>
          <w:bCs/>
        </w:rPr>
        <w:t xml:space="preserve"> </w:t>
      </w:r>
    </w:p>
    <w:p w14:paraId="332A8372" w14:textId="77777777" w:rsidR="00491F65" w:rsidRDefault="00491F65" w:rsidP="002A6A89"/>
    <w:p w14:paraId="73352B1F" w14:textId="257AD176" w:rsidR="00C01E64" w:rsidRDefault="003007E3" w:rsidP="002A6A89">
      <w:r>
        <w:rPr>
          <w:noProof/>
        </w:rPr>
        <w:drawing>
          <wp:inline distT="0" distB="0" distL="0" distR="0" wp14:anchorId="3E1800AF" wp14:editId="0021F09F">
            <wp:extent cx="5190979" cy="37553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12">
                      <a:extLst>
                        <a:ext uri="{28A0092B-C50C-407E-A947-70E740481C1C}">
                          <a14:useLocalDpi xmlns:a14="http://schemas.microsoft.com/office/drawing/2010/main" val="0"/>
                        </a:ext>
                      </a:extLst>
                    </a:blip>
                    <a:srcRect t="7613" r="9551"/>
                    <a:stretch/>
                  </pic:blipFill>
                  <pic:spPr bwMode="auto">
                    <a:xfrm>
                      <a:off x="0" y="0"/>
                      <a:ext cx="5191519" cy="3755781"/>
                    </a:xfrm>
                    <a:prstGeom prst="rect">
                      <a:avLst/>
                    </a:prstGeom>
                    <a:noFill/>
                    <a:ln>
                      <a:noFill/>
                    </a:ln>
                    <a:extLst>
                      <a:ext uri="{53640926-AAD7-44D8-BBD7-CCE9431645EC}">
                        <a14:shadowObscured xmlns:a14="http://schemas.microsoft.com/office/drawing/2010/main"/>
                      </a:ext>
                    </a:extLst>
                  </pic:spPr>
                </pic:pic>
              </a:graphicData>
            </a:graphic>
          </wp:inline>
        </w:drawing>
      </w:r>
    </w:p>
    <w:p w14:paraId="7D054EFC" w14:textId="6FC5C666" w:rsidR="00C81BC3" w:rsidRPr="00B22D51" w:rsidRDefault="00C81BC3" w:rsidP="00C81BC3">
      <w:pPr>
        <w:rPr>
          <w:b/>
          <w:bCs/>
        </w:rPr>
      </w:pPr>
      <w:r w:rsidRPr="004C47CA">
        <w:rPr>
          <w:b/>
          <w:bCs/>
          <w:vertAlign w:val="superscript"/>
        </w:rPr>
        <w:t>13</w:t>
      </w:r>
      <w:r w:rsidRPr="004C47CA">
        <w:rPr>
          <w:b/>
          <w:bCs/>
        </w:rPr>
        <w:t xml:space="preserve">C of cis-tetrahydroactinidiolide </w:t>
      </w:r>
      <w:r w:rsidRPr="004C47CA">
        <w:rPr>
          <w:rFonts w:cs="Arial"/>
          <w:b/>
          <w:bCs/>
        </w:rPr>
        <w:t>(</w:t>
      </w:r>
      <w:r w:rsidR="003B6FB1" w:rsidRPr="004C47CA">
        <w:rPr>
          <w:rFonts w:cs="Arial"/>
          <w:b/>
          <w:bCs/>
        </w:rPr>
        <w:t>25</w:t>
      </w:r>
      <w:r w:rsidRPr="004C47CA">
        <w:rPr>
          <w:rFonts w:cs="Arial"/>
          <w:b/>
          <w:bCs/>
        </w:rPr>
        <w:t>)</w:t>
      </w:r>
      <w:r>
        <w:rPr>
          <w:rFonts w:cs="Arial"/>
          <w:b/>
          <w:bCs/>
        </w:rPr>
        <w:t xml:space="preserve"> </w:t>
      </w:r>
    </w:p>
    <w:p w14:paraId="108ABFE9" w14:textId="2076E019" w:rsidR="00C01E64" w:rsidRDefault="00507877" w:rsidP="002A6A89">
      <w:r>
        <w:rPr>
          <w:noProof/>
        </w:rPr>
        <w:lastRenderedPageBreak/>
        <w:drawing>
          <wp:inline distT="0" distB="0" distL="0" distR="0" wp14:anchorId="3A7F92D8" wp14:editId="7D5E1531">
            <wp:extent cx="5331656" cy="3727450"/>
            <wp:effectExtent l="0" t="0" r="254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13">
                      <a:extLst>
                        <a:ext uri="{28A0092B-C50C-407E-A947-70E740481C1C}">
                          <a14:useLocalDpi xmlns:a14="http://schemas.microsoft.com/office/drawing/2010/main" val="0"/>
                        </a:ext>
                      </a:extLst>
                    </a:blip>
                    <a:srcRect t="8305" r="7105"/>
                    <a:stretch/>
                  </pic:blipFill>
                  <pic:spPr bwMode="auto">
                    <a:xfrm>
                      <a:off x="0" y="0"/>
                      <a:ext cx="5331936" cy="3727646"/>
                    </a:xfrm>
                    <a:prstGeom prst="rect">
                      <a:avLst/>
                    </a:prstGeom>
                    <a:noFill/>
                    <a:ln>
                      <a:noFill/>
                    </a:ln>
                    <a:extLst>
                      <a:ext uri="{53640926-AAD7-44D8-BBD7-CCE9431645EC}">
                        <a14:shadowObscured xmlns:a14="http://schemas.microsoft.com/office/drawing/2010/main"/>
                      </a:ext>
                    </a:extLst>
                  </pic:spPr>
                </pic:pic>
              </a:graphicData>
            </a:graphic>
          </wp:inline>
        </w:drawing>
      </w:r>
    </w:p>
    <w:p w14:paraId="050BB6AF" w14:textId="77777777" w:rsidR="00507877" w:rsidRDefault="00507877" w:rsidP="002A6A89"/>
    <w:p w14:paraId="52B3AD55" w14:textId="5EAB16CC" w:rsidR="00507877" w:rsidRPr="00B22D51" w:rsidRDefault="00507877" w:rsidP="00507877">
      <w:pPr>
        <w:rPr>
          <w:b/>
          <w:bCs/>
        </w:rPr>
      </w:pPr>
      <w:r w:rsidRPr="00B22D51">
        <w:rPr>
          <w:b/>
          <w:bCs/>
          <w:vertAlign w:val="superscript"/>
        </w:rPr>
        <w:t>1</w:t>
      </w:r>
      <w:r w:rsidRPr="00B22D51">
        <w:rPr>
          <w:b/>
          <w:bCs/>
        </w:rPr>
        <w:t>H of</w:t>
      </w:r>
      <w:r>
        <w:rPr>
          <w:b/>
          <w:bCs/>
        </w:rPr>
        <w:t xml:space="preserve"> sclareolide </w:t>
      </w:r>
      <w:r>
        <w:rPr>
          <w:rFonts w:cs="Arial"/>
          <w:b/>
          <w:bCs/>
        </w:rPr>
        <w:t>(</w:t>
      </w:r>
      <w:r w:rsidR="003B6FB1">
        <w:rPr>
          <w:rFonts w:cs="Arial"/>
          <w:b/>
          <w:bCs/>
        </w:rPr>
        <w:t>26</w:t>
      </w:r>
      <w:r>
        <w:rPr>
          <w:rFonts w:cs="Arial"/>
          <w:b/>
          <w:bCs/>
        </w:rPr>
        <w:t>)</w:t>
      </w:r>
      <w:r w:rsidR="00BC325C">
        <w:rPr>
          <w:rFonts w:cs="Arial"/>
          <w:b/>
          <w:bCs/>
        </w:rPr>
        <w:t>,</w:t>
      </w:r>
      <w:r>
        <w:rPr>
          <w:rFonts w:cs="Arial"/>
          <w:b/>
          <w:bCs/>
        </w:rPr>
        <w:t xml:space="preserve"> grease impurity</w:t>
      </w:r>
    </w:p>
    <w:p w14:paraId="25A01B82" w14:textId="39080CD9" w:rsidR="00507877" w:rsidRDefault="00507877" w:rsidP="002A6A89">
      <w:r>
        <w:rPr>
          <w:noProof/>
        </w:rPr>
        <w:drawing>
          <wp:inline distT="0" distB="0" distL="0" distR="0" wp14:anchorId="00767699" wp14:editId="6CBED4AE">
            <wp:extent cx="5288915" cy="3797571"/>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14">
                      <a:extLst>
                        <a:ext uri="{28A0092B-C50C-407E-A947-70E740481C1C}">
                          <a14:useLocalDpi xmlns:a14="http://schemas.microsoft.com/office/drawing/2010/main" val="0"/>
                        </a:ext>
                      </a:extLst>
                    </a:blip>
                    <a:srcRect t="6575" r="7846"/>
                    <a:stretch/>
                  </pic:blipFill>
                  <pic:spPr bwMode="auto">
                    <a:xfrm>
                      <a:off x="0" y="0"/>
                      <a:ext cx="5289453" cy="3797957"/>
                    </a:xfrm>
                    <a:prstGeom prst="rect">
                      <a:avLst/>
                    </a:prstGeom>
                    <a:noFill/>
                    <a:ln>
                      <a:noFill/>
                    </a:ln>
                    <a:extLst>
                      <a:ext uri="{53640926-AAD7-44D8-BBD7-CCE9431645EC}">
                        <a14:shadowObscured xmlns:a14="http://schemas.microsoft.com/office/drawing/2010/main"/>
                      </a:ext>
                    </a:extLst>
                  </pic:spPr>
                </pic:pic>
              </a:graphicData>
            </a:graphic>
          </wp:inline>
        </w:drawing>
      </w:r>
    </w:p>
    <w:p w14:paraId="20B50606" w14:textId="77777777" w:rsidR="00507877" w:rsidRDefault="00507877" w:rsidP="002A6A89"/>
    <w:p w14:paraId="4ECFA5BC" w14:textId="2734E974" w:rsidR="00507877" w:rsidRPr="00B22D51" w:rsidRDefault="00507877" w:rsidP="00507877">
      <w:pPr>
        <w:rPr>
          <w:b/>
          <w:bCs/>
        </w:rPr>
      </w:pPr>
      <w:r w:rsidRPr="00B22D51">
        <w:rPr>
          <w:b/>
          <w:bCs/>
          <w:vertAlign w:val="superscript"/>
        </w:rPr>
        <w:lastRenderedPageBreak/>
        <w:t>1</w:t>
      </w:r>
      <w:r>
        <w:rPr>
          <w:b/>
          <w:bCs/>
          <w:vertAlign w:val="superscript"/>
        </w:rPr>
        <w:t>3</w:t>
      </w:r>
      <w:r>
        <w:rPr>
          <w:b/>
          <w:bCs/>
        </w:rPr>
        <w:t>C</w:t>
      </w:r>
      <w:r w:rsidRPr="00B22D51">
        <w:rPr>
          <w:b/>
          <w:bCs/>
        </w:rPr>
        <w:t xml:space="preserve"> of</w:t>
      </w:r>
      <w:r>
        <w:rPr>
          <w:b/>
          <w:bCs/>
        </w:rPr>
        <w:t xml:space="preserve"> sclareolide </w:t>
      </w:r>
      <w:r>
        <w:rPr>
          <w:rFonts w:cs="Arial"/>
          <w:b/>
          <w:bCs/>
        </w:rPr>
        <w:t>(</w:t>
      </w:r>
      <w:r w:rsidR="003B6FB1">
        <w:rPr>
          <w:rFonts w:cs="Arial"/>
          <w:b/>
          <w:bCs/>
        </w:rPr>
        <w:t>26</w:t>
      </w:r>
      <w:r>
        <w:rPr>
          <w:rFonts w:cs="Arial"/>
          <w:b/>
          <w:bCs/>
        </w:rPr>
        <w:t>)</w:t>
      </w:r>
      <w:r w:rsidR="00BC325C">
        <w:rPr>
          <w:rFonts w:cs="Arial"/>
          <w:b/>
          <w:bCs/>
        </w:rPr>
        <w:t xml:space="preserve">, </w:t>
      </w:r>
      <w:r>
        <w:rPr>
          <w:rFonts w:cs="Arial"/>
          <w:b/>
          <w:bCs/>
        </w:rPr>
        <w:t>grease impurity</w:t>
      </w:r>
    </w:p>
    <w:p w14:paraId="710EDF2E" w14:textId="7EB1BC7D" w:rsidR="00507877" w:rsidRDefault="00507877" w:rsidP="002A6A89">
      <w:r>
        <w:rPr>
          <w:noProof/>
        </w:rPr>
        <w:drawing>
          <wp:inline distT="0" distB="0" distL="0" distR="0" wp14:anchorId="023FE053" wp14:editId="5C960095">
            <wp:extent cx="5288915" cy="374142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15">
                      <a:extLst>
                        <a:ext uri="{28A0092B-C50C-407E-A947-70E740481C1C}">
                          <a14:useLocalDpi xmlns:a14="http://schemas.microsoft.com/office/drawing/2010/main" val="0"/>
                        </a:ext>
                      </a:extLst>
                    </a:blip>
                    <a:srcRect t="7959" r="7848"/>
                    <a:stretch/>
                  </pic:blipFill>
                  <pic:spPr bwMode="auto">
                    <a:xfrm>
                      <a:off x="0" y="0"/>
                      <a:ext cx="5289329" cy="3741713"/>
                    </a:xfrm>
                    <a:prstGeom prst="rect">
                      <a:avLst/>
                    </a:prstGeom>
                    <a:noFill/>
                    <a:ln>
                      <a:noFill/>
                    </a:ln>
                    <a:extLst>
                      <a:ext uri="{53640926-AAD7-44D8-BBD7-CCE9431645EC}">
                        <a14:shadowObscured xmlns:a14="http://schemas.microsoft.com/office/drawing/2010/main"/>
                      </a:ext>
                    </a:extLst>
                  </pic:spPr>
                </pic:pic>
              </a:graphicData>
            </a:graphic>
          </wp:inline>
        </w:drawing>
      </w:r>
    </w:p>
    <w:p w14:paraId="121E7707" w14:textId="2151D0ED" w:rsidR="00507877" w:rsidRPr="00B22D51" w:rsidRDefault="00507877" w:rsidP="00507877">
      <w:pPr>
        <w:rPr>
          <w:b/>
          <w:bCs/>
        </w:rPr>
      </w:pPr>
      <w:r w:rsidRPr="00B22D51">
        <w:rPr>
          <w:b/>
          <w:bCs/>
          <w:vertAlign w:val="superscript"/>
        </w:rPr>
        <w:t>1</w:t>
      </w:r>
      <w:r w:rsidRPr="00B22D51">
        <w:rPr>
          <w:b/>
          <w:bCs/>
        </w:rPr>
        <w:t>H of</w:t>
      </w:r>
      <w:r>
        <w:rPr>
          <w:b/>
          <w:bCs/>
        </w:rPr>
        <w:t xml:space="preserve"> chromanone </w:t>
      </w:r>
      <w:r>
        <w:rPr>
          <w:rFonts w:cs="Arial"/>
          <w:b/>
          <w:bCs/>
        </w:rPr>
        <w:t>(</w:t>
      </w:r>
      <w:r w:rsidR="003B6FB1">
        <w:rPr>
          <w:rFonts w:cs="Arial"/>
          <w:b/>
          <w:bCs/>
        </w:rPr>
        <w:t>3</w:t>
      </w:r>
      <w:r>
        <w:rPr>
          <w:rFonts w:cs="Arial"/>
          <w:b/>
          <w:bCs/>
        </w:rPr>
        <w:t xml:space="preserve">) </w:t>
      </w:r>
    </w:p>
    <w:p w14:paraId="50A67D37" w14:textId="61210D73" w:rsidR="00507877" w:rsidRDefault="00D2361C" w:rsidP="002A6A89">
      <w:r>
        <w:rPr>
          <w:noProof/>
        </w:rPr>
        <w:drawing>
          <wp:inline distT="0" distB="0" distL="0" distR="0" wp14:anchorId="6596782F" wp14:editId="05BD4E38">
            <wp:extent cx="5247250" cy="367093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16">
                      <a:extLst>
                        <a:ext uri="{28A0092B-C50C-407E-A947-70E740481C1C}">
                          <a14:useLocalDpi xmlns:a14="http://schemas.microsoft.com/office/drawing/2010/main" val="0"/>
                        </a:ext>
                      </a:extLst>
                    </a:blip>
                    <a:srcRect t="9689" r="8569"/>
                    <a:stretch/>
                  </pic:blipFill>
                  <pic:spPr bwMode="auto">
                    <a:xfrm>
                      <a:off x="0" y="0"/>
                      <a:ext cx="5247879" cy="3671375"/>
                    </a:xfrm>
                    <a:prstGeom prst="rect">
                      <a:avLst/>
                    </a:prstGeom>
                    <a:noFill/>
                    <a:ln>
                      <a:noFill/>
                    </a:ln>
                    <a:extLst>
                      <a:ext uri="{53640926-AAD7-44D8-BBD7-CCE9431645EC}">
                        <a14:shadowObscured xmlns:a14="http://schemas.microsoft.com/office/drawing/2010/main"/>
                      </a:ext>
                    </a:extLst>
                  </pic:spPr>
                </pic:pic>
              </a:graphicData>
            </a:graphic>
          </wp:inline>
        </w:drawing>
      </w:r>
    </w:p>
    <w:p w14:paraId="0B6C0C76" w14:textId="77777777" w:rsidR="00D2361C" w:rsidRDefault="00D2361C" w:rsidP="002A6A89"/>
    <w:p w14:paraId="2DC32B0A" w14:textId="67ADB542" w:rsidR="00D2361C" w:rsidRPr="00B22D51" w:rsidRDefault="00D2361C" w:rsidP="00D2361C">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chromanone </w:t>
      </w:r>
      <w:r>
        <w:rPr>
          <w:rFonts w:cs="Arial"/>
          <w:b/>
          <w:bCs/>
        </w:rPr>
        <w:t>(</w:t>
      </w:r>
      <w:r w:rsidR="003B6FB1">
        <w:rPr>
          <w:rFonts w:cs="Arial"/>
          <w:b/>
          <w:bCs/>
        </w:rPr>
        <w:t>3</w:t>
      </w:r>
      <w:r>
        <w:rPr>
          <w:rFonts w:cs="Arial"/>
          <w:b/>
          <w:bCs/>
        </w:rPr>
        <w:t xml:space="preserve">) </w:t>
      </w:r>
    </w:p>
    <w:p w14:paraId="0A7B5225" w14:textId="2389A388" w:rsidR="00D2361C" w:rsidRDefault="00D2361C" w:rsidP="002A6A89">
      <w:r>
        <w:rPr>
          <w:noProof/>
        </w:rPr>
        <w:lastRenderedPageBreak/>
        <w:drawing>
          <wp:inline distT="0" distB="0" distL="0" distR="0" wp14:anchorId="092A7C1C" wp14:editId="4ECF6E80">
            <wp:extent cx="5247005" cy="36995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17">
                      <a:extLst>
                        <a:ext uri="{28A0092B-C50C-407E-A947-70E740481C1C}">
                          <a14:useLocalDpi xmlns:a14="http://schemas.microsoft.com/office/drawing/2010/main" val="0"/>
                        </a:ext>
                      </a:extLst>
                    </a:blip>
                    <a:srcRect t="8997" r="8585"/>
                    <a:stretch/>
                  </pic:blipFill>
                  <pic:spPr bwMode="auto">
                    <a:xfrm>
                      <a:off x="0" y="0"/>
                      <a:ext cx="5247005" cy="3699510"/>
                    </a:xfrm>
                    <a:prstGeom prst="rect">
                      <a:avLst/>
                    </a:prstGeom>
                    <a:noFill/>
                    <a:ln>
                      <a:noFill/>
                    </a:ln>
                    <a:extLst>
                      <a:ext uri="{53640926-AAD7-44D8-BBD7-CCE9431645EC}">
                        <a14:shadowObscured xmlns:a14="http://schemas.microsoft.com/office/drawing/2010/main"/>
                      </a:ext>
                    </a:extLst>
                  </pic:spPr>
                </pic:pic>
              </a:graphicData>
            </a:graphic>
          </wp:inline>
        </w:drawing>
      </w:r>
    </w:p>
    <w:p w14:paraId="4E257F98" w14:textId="77777777" w:rsidR="00D2361C" w:rsidRDefault="00D2361C" w:rsidP="002A6A89"/>
    <w:p w14:paraId="4BA6DF8A" w14:textId="1B81096C" w:rsidR="00D2361C" w:rsidRPr="00B22D51" w:rsidRDefault="00D2361C" w:rsidP="00D2361C">
      <w:pPr>
        <w:rPr>
          <w:b/>
          <w:bCs/>
        </w:rPr>
      </w:pPr>
      <w:r w:rsidRPr="00B22D51">
        <w:rPr>
          <w:b/>
          <w:bCs/>
          <w:vertAlign w:val="superscript"/>
        </w:rPr>
        <w:t>1</w:t>
      </w:r>
      <w:r w:rsidRPr="00B22D51">
        <w:rPr>
          <w:b/>
          <w:bCs/>
        </w:rPr>
        <w:t>H of</w:t>
      </w:r>
      <w:r>
        <w:rPr>
          <w:b/>
          <w:bCs/>
        </w:rPr>
        <w:t xml:space="preserve"> dioxanone</w:t>
      </w:r>
      <w:r w:rsidR="004B4FAB">
        <w:rPr>
          <w:b/>
          <w:bCs/>
        </w:rPr>
        <w:t xml:space="preserve"> (</w:t>
      </w:r>
      <w:r w:rsidR="003B6FB1">
        <w:rPr>
          <w:b/>
          <w:bCs/>
        </w:rPr>
        <w:t>2</w:t>
      </w:r>
      <w:r w:rsidR="004B4FAB">
        <w:rPr>
          <w:b/>
          <w:bCs/>
        </w:rPr>
        <w:t>)</w:t>
      </w:r>
      <w:r w:rsidR="00066E80">
        <w:rPr>
          <w:b/>
          <w:bCs/>
        </w:rPr>
        <w:t xml:space="preserve"> with drimenol acetate</w:t>
      </w:r>
      <w:r>
        <w:rPr>
          <w:b/>
          <w:bCs/>
        </w:rPr>
        <w:t xml:space="preserve"> </w:t>
      </w:r>
      <w:r>
        <w:rPr>
          <w:rFonts w:cs="Arial"/>
          <w:b/>
          <w:bCs/>
        </w:rPr>
        <w:t>(</w:t>
      </w:r>
      <w:r w:rsidR="001058CE">
        <w:rPr>
          <w:rFonts w:cs="Arial"/>
          <w:b/>
          <w:bCs/>
        </w:rPr>
        <w:t>S1-2</w:t>
      </w:r>
      <w:r>
        <w:rPr>
          <w:rFonts w:cs="Arial"/>
          <w:b/>
          <w:bCs/>
        </w:rPr>
        <w:t xml:space="preserve">) </w:t>
      </w:r>
      <w:r w:rsidR="002B6115">
        <w:rPr>
          <w:rFonts w:cs="Arial"/>
          <w:b/>
          <w:bCs/>
        </w:rPr>
        <w:t>1:1</w:t>
      </w:r>
    </w:p>
    <w:p w14:paraId="5118B555" w14:textId="7232D791" w:rsidR="00D2361C" w:rsidRDefault="00E82D2B" w:rsidP="002A6A89">
      <w:r>
        <w:rPr>
          <w:noProof/>
        </w:rPr>
        <w:drawing>
          <wp:inline distT="0" distB="0" distL="0" distR="0" wp14:anchorId="5354A190" wp14:editId="63EEED93">
            <wp:extent cx="5289453" cy="3670935"/>
            <wp:effectExtent l="0" t="0" r="698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18">
                      <a:extLst>
                        <a:ext uri="{28A0092B-C50C-407E-A947-70E740481C1C}">
                          <a14:useLocalDpi xmlns:a14="http://schemas.microsoft.com/office/drawing/2010/main" val="0"/>
                        </a:ext>
                      </a:extLst>
                    </a:blip>
                    <a:srcRect t="9689" r="7834"/>
                    <a:stretch/>
                  </pic:blipFill>
                  <pic:spPr bwMode="auto">
                    <a:xfrm>
                      <a:off x="0" y="0"/>
                      <a:ext cx="5290087" cy="3671375"/>
                    </a:xfrm>
                    <a:prstGeom prst="rect">
                      <a:avLst/>
                    </a:prstGeom>
                    <a:noFill/>
                    <a:ln>
                      <a:noFill/>
                    </a:ln>
                    <a:extLst>
                      <a:ext uri="{53640926-AAD7-44D8-BBD7-CCE9431645EC}">
                        <a14:shadowObscured xmlns:a14="http://schemas.microsoft.com/office/drawing/2010/main"/>
                      </a:ext>
                    </a:extLst>
                  </pic:spPr>
                </pic:pic>
              </a:graphicData>
            </a:graphic>
          </wp:inline>
        </w:drawing>
      </w:r>
    </w:p>
    <w:p w14:paraId="557EEE40" w14:textId="77777777" w:rsidR="00E82D2B" w:rsidRDefault="00E82D2B" w:rsidP="002A6A89"/>
    <w:p w14:paraId="622CE99E" w14:textId="6E5B1F1B" w:rsidR="00E82D2B" w:rsidRPr="00B22D51" w:rsidRDefault="00E82D2B" w:rsidP="00E82D2B">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dioxanone</w:t>
      </w:r>
      <w:r w:rsidR="004B4FAB">
        <w:rPr>
          <w:b/>
          <w:bCs/>
        </w:rPr>
        <w:t xml:space="preserve"> (</w:t>
      </w:r>
      <w:r w:rsidR="001058CE">
        <w:rPr>
          <w:b/>
          <w:bCs/>
        </w:rPr>
        <w:t>2</w:t>
      </w:r>
      <w:r w:rsidR="004B4FAB">
        <w:rPr>
          <w:b/>
          <w:bCs/>
        </w:rPr>
        <w:t>)</w:t>
      </w:r>
      <w:r>
        <w:rPr>
          <w:b/>
          <w:bCs/>
        </w:rPr>
        <w:t xml:space="preserve"> with drimenol acetate </w:t>
      </w:r>
      <w:r>
        <w:rPr>
          <w:rFonts w:cs="Arial"/>
          <w:b/>
          <w:bCs/>
        </w:rPr>
        <w:t>(</w:t>
      </w:r>
      <w:r w:rsidR="001058CE">
        <w:rPr>
          <w:rFonts w:cs="Arial"/>
          <w:b/>
          <w:bCs/>
        </w:rPr>
        <w:t>S1-2</w:t>
      </w:r>
      <w:r>
        <w:rPr>
          <w:rFonts w:cs="Arial"/>
          <w:b/>
          <w:bCs/>
        </w:rPr>
        <w:t xml:space="preserve">) </w:t>
      </w:r>
      <w:r w:rsidR="002B6115">
        <w:rPr>
          <w:rFonts w:cs="Arial"/>
          <w:b/>
          <w:bCs/>
        </w:rPr>
        <w:t>1:1</w:t>
      </w:r>
    </w:p>
    <w:p w14:paraId="4EC3C1CB" w14:textId="57A1DB05" w:rsidR="00E82D2B" w:rsidRDefault="00E82D2B" w:rsidP="002A6A89">
      <w:r>
        <w:rPr>
          <w:noProof/>
        </w:rPr>
        <w:lastRenderedPageBreak/>
        <w:drawing>
          <wp:inline distT="0" distB="0" distL="0" distR="0" wp14:anchorId="1C3D2627" wp14:editId="6DDF519D">
            <wp:extent cx="5288915" cy="3713480"/>
            <wp:effectExtent l="0" t="0" r="6985"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119">
                      <a:extLst>
                        <a:ext uri="{28A0092B-C50C-407E-A947-70E740481C1C}">
                          <a14:useLocalDpi xmlns:a14="http://schemas.microsoft.com/office/drawing/2010/main" val="0"/>
                        </a:ext>
                      </a:extLst>
                    </a:blip>
                    <a:srcRect t="8651" r="7853"/>
                    <a:stretch/>
                  </pic:blipFill>
                  <pic:spPr bwMode="auto">
                    <a:xfrm>
                      <a:off x="0" y="0"/>
                      <a:ext cx="5289055" cy="3713578"/>
                    </a:xfrm>
                    <a:prstGeom prst="rect">
                      <a:avLst/>
                    </a:prstGeom>
                    <a:noFill/>
                    <a:ln>
                      <a:noFill/>
                    </a:ln>
                    <a:extLst>
                      <a:ext uri="{53640926-AAD7-44D8-BBD7-CCE9431645EC}">
                        <a14:shadowObscured xmlns:a14="http://schemas.microsoft.com/office/drawing/2010/main"/>
                      </a:ext>
                    </a:extLst>
                  </pic:spPr>
                </pic:pic>
              </a:graphicData>
            </a:graphic>
          </wp:inline>
        </w:drawing>
      </w:r>
    </w:p>
    <w:p w14:paraId="7646515E" w14:textId="77777777" w:rsidR="00E82D2B" w:rsidRDefault="00E82D2B" w:rsidP="002A6A89"/>
    <w:p w14:paraId="5E04B1FE" w14:textId="48933D10" w:rsidR="00E82D2B" w:rsidRPr="00B22D51" w:rsidRDefault="00E82D2B" w:rsidP="00E82D2B">
      <w:pPr>
        <w:rPr>
          <w:b/>
          <w:bCs/>
        </w:rPr>
      </w:pPr>
      <w:r w:rsidRPr="00B22D51">
        <w:rPr>
          <w:b/>
          <w:bCs/>
          <w:vertAlign w:val="superscript"/>
        </w:rPr>
        <w:t>1</w:t>
      </w:r>
      <w:r w:rsidRPr="00B22D51">
        <w:rPr>
          <w:b/>
          <w:bCs/>
        </w:rPr>
        <w:t>H of</w:t>
      </w:r>
      <w:r>
        <w:rPr>
          <w:b/>
          <w:bCs/>
        </w:rPr>
        <w:t xml:space="preserve"> drimenol acetate </w:t>
      </w:r>
      <w:r>
        <w:rPr>
          <w:rFonts w:cs="Arial"/>
          <w:b/>
          <w:bCs/>
        </w:rPr>
        <w:t>(</w:t>
      </w:r>
      <w:r w:rsidR="001058CE">
        <w:rPr>
          <w:rFonts w:cs="Arial"/>
          <w:b/>
          <w:bCs/>
        </w:rPr>
        <w:t>S1-2</w:t>
      </w:r>
      <w:r>
        <w:rPr>
          <w:rFonts w:cs="Arial"/>
          <w:b/>
          <w:bCs/>
        </w:rPr>
        <w:t xml:space="preserve">) </w:t>
      </w:r>
    </w:p>
    <w:p w14:paraId="2C910BAD" w14:textId="0785E5E5" w:rsidR="00E82D2B" w:rsidRDefault="00A43923" w:rsidP="002A6A89">
      <w:r>
        <w:rPr>
          <w:noProof/>
        </w:rPr>
        <w:drawing>
          <wp:inline distT="0" distB="0" distL="0" distR="0" wp14:anchorId="73945235" wp14:editId="13573D91">
            <wp:extent cx="5242560" cy="363347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120">
                      <a:extLst>
                        <a:ext uri="{28A0092B-C50C-407E-A947-70E740481C1C}">
                          <a14:useLocalDpi xmlns:a14="http://schemas.microsoft.com/office/drawing/2010/main" val="0"/>
                        </a:ext>
                      </a:extLst>
                    </a:blip>
                    <a:srcRect t="10510" r="8702"/>
                    <a:stretch/>
                  </pic:blipFill>
                  <pic:spPr bwMode="auto">
                    <a:xfrm>
                      <a:off x="0" y="0"/>
                      <a:ext cx="5242560" cy="3633470"/>
                    </a:xfrm>
                    <a:prstGeom prst="rect">
                      <a:avLst/>
                    </a:prstGeom>
                    <a:noFill/>
                    <a:ln>
                      <a:noFill/>
                    </a:ln>
                    <a:extLst>
                      <a:ext uri="{53640926-AAD7-44D8-BBD7-CCE9431645EC}">
                        <a14:shadowObscured xmlns:a14="http://schemas.microsoft.com/office/drawing/2010/main"/>
                      </a:ext>
                    </a:extLst>
                  </pic:spPr>
                </pic:pic>
              </a:graphicData>
            </a:graphic>
          </wp:inline>
        </w:drawing>
      </w:r>
    </w:p>
    <w:p w14:paraId="02BA9EEE" w14:textId="77777777" w:rsidR="00F84271" w:rsidRDefault="00F84271" w:rsidP="002A6A89"/>
    <w:p w14:paraId="32C33062" w14:textId="31207B9A" w:rsidR="00F84271" w:rsidRPr="00F84271" w:rsidRDefault="00F84271" w:rsidP="002A6A89">
      <w:pPr>
        <w:rPr>
          <w:b/>
          <w:bCs/>
        </w:rPr>
      </w:pPr>
      <w:r w:rsidRPr="00B22D51">
        <w:rPr>
          <w:b/>
          <w:bCs/>
          <w:vertAlign w:val="superscript"/>
        </w:rPr>
        <w:t>1</w:t>
      </w:r>
      <w:r>
        <w:rPr>
          <w:b/>
          <w:bCs/>
          <w:vertAlign w:val="superscript"/>
        </w:rPr>
        <w:t>3</w:t>
      </w:r>
      <w:r>
        <w:rPr>
          <w:b/>
          <w:bCs/>
        </w:rPr>
        <w:t>C</w:t>
      </w:r>
      <w:r w:rsidRPr="00B22D51">
        <w:rPr>
          <w:b/>
          <w:bCs/>
        </w:rPr>
        <w:t xml:space="preserve"> of</w:t>
      </w:r>
      <w:r>
        <w:rPr>
          <w:b/>
          <w:bCs/>
        </w:rPr>
        <w:t xml:space="preserve"> drimenol acetate </w:t>
      </w:r>
      <w:r>
        <w:rPr>
          <w:rFonts w:cs="Arial"/>
          <w:b/>
          <w:bCs/>
        </w:rPr>
        <w:t>(</w:t>
      </w:r>
      <w:r w:rsidR="001058CE">
        <w:rPr>
          <w:rFonts w:cs="Arial"/>
          <w:b/>
          <w:bCs/>
        </w:rPr>
        <w:t>S1-2</w:t>
      </w:r>
      <w:r>
        <w:rPr>
          <w:rFonts w:cs="Arial"/>
          <w:b/>
          <w:bCs/>
        </w:rPr>
        <w:t xml:space="preserve">) </w:t>
      </w:r>
    </w:p>
    <w:p w14:paraId="42EF1905" w14:textId="35ED4029" w:rsidR="00F84271" w:rsidRDefault="00F84271" w:rsidP="002A6A89">
      <w:r>
        <w:rPr>
          <w:noProof/>
        </w:rPr>
        <w:lastRenderedPageBreak/>
        <w:drawing>
          <wp:inline distT="0" distB="0" distL="0" distR="0" wp14:anchorId="5F18D844" wp14:editId="496800A3">
            <wp:extent cx="5739765" cy="40652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9765" cy="4065270"/>
                    </a:xfrm>
                    <a:prstGeom prst="rect">
                      <a:avLst/>
                    </a:prstGeom>
                    <a:noFill/>
                    <a:ln>
                      <a:noFill/>
                    </a:ln>
                  </pic:spPr>
                </pic:pic>
              </a:graphicData>
            </a:graphic>
          </wp:inline>
        </w:drawing>
      </w:r>
    </w:p>
    <w:p w14:paraId="0EF98B61" w14:textId="3CF09F91" w:rsidR="009C7E67" w:rsidRPr="00B22D51" w:rsidRDefault="009C7E67" w:rsidP="009C7E67">
      <w:pPr>
        <w:rPr>
          <w:b/>
          <w:bCs/>
        </w:rPr>
      </w:pPr>
      <w:r w:rsidRPr="00B22D51">
        <w:rPr>
          <w:b/>
          <w:bCs/>
          <w:vertAlign w:val="superscript"/>
        </w:rPr>
        <w:t>1</w:t>
      </w:r>
      <w:r w:rsidRPr="00B22D51">
        <w:rPr>
          <w:b/>
          <w:bCs/>
        </w:rPr>
        <w:t>H of</w:t>
      </w:r>
      <w:r>
        <w:rPr>
          <w:b/>
          <w:bCs/>
        </w:rPr>
        <w:t xml:space="preserve"> </w:t>
      </w:r>
      <w:r w:rsidR="004B4FAB">
        <w:rPr>
          <w:b/>
          <w:bCs/>
        </w:rPr>
        <w:t>dehydroxy-</w:t>
      </w:r>
      <w:r>
        <w:rPr>
          <w:b/>
          <w:bCs/>
        </w:rPr>
        <w:t>pyr</w:t>
      </w:r>
      <w:r w:rsidR="001D53BF">
        <w:rPr>
          <w:b/>
          <w:bCs/>
        </w:rPr>
        <w:t>i</w:t>
      </w:r>
      <w:r>
        <w:rPr>
          <w:b/>
          <w:bCs/>
        </w:rPr>
        <w:t xml:space="preserve">pyropene </w:t>
      </w:r>
      <w:r>
        <w:rPr>
          <w:rFonts w:cs="Arial"/>
          <w:b/>
          <w:bCs/>
        </w:rPr>
        <w:t>(</w:t>
      </w:r>
      <w:r w:rsidR="001058CE">
        <w:rPr>
          <w:rFonts w:cs="Arial"/>
          <w:b/>
          <w:bCs/>
        </w:rPr>
        <w:t>28</w:t>
      </w:r>
      <w:r>
        <w:rPr>
          <w:rFonts w:cs="Arial"/>
          <w:b/>
          <w:bCs/>
        </w:rPr>
        <w:t xml:space="preserve">) </w:t>
      </w:r>
    </w:p>
    <w:p w14:paraId="39EE6E91" w14:textId="73B710DE" w:rsidR="00F84271" w:rsidRDefault="00066A56" w:rsidP="002A6A89">
      <w:r>
        <w:rPr>
          <w:noProof/>
        </w:rPr>
        <w:drawing>
          <wp:inline distT="0" distB="0" distL="0" distR="0" wp14:anchorId="47264DC3" wp14:editId="2AAAC0E6">
            <wp:extent cx="5742940" cy="40589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42940" cy="4058920"/>
                    </a:xfrm>
                    <a:prstGeom prst="rect">
                      <a:avLst/>
                    </a:prstGeom>
                    <a:noFill/>
                    <a:ln>
                      <a:noFill/>
                    </a:ln>
                  </pic:spPr>
                </pic:pic>
              </a:graphicData>
            </a:graphic>
          </wp:inline>
        </w:drawing>
      </w:r>
    </w:p>
    <w:p w14:paraId="05346921" w14:textId="77777777" w:rsidR="009C7E67" w:rsidRDefault="009C7E67" w:rsidP="002A6A89"/>
    <w:p w14:paraId="6970898C" w14:textId="4DFA9DEB" w:rsidR="009C7E67" w:rsidRPr="00B22D51" w:rsidRDefault="009C7E67" w:rsidP="009C7E67">
      <w:pPr>
        <w:rPr>
          <w:b/>
          <w:bCs/>
        </w:rPr>
      </w:pPr>
      <w:r w:rsidRPr="00B22D51">
        <w:rPr>
          <w:b/>
          <w:bCs/>
          <w:vertAlign w:val="superscript"/>
        </w:rPr>
        <w:lastRenderedPageBreak/>
        <w:t>1</w:t>
      </w:r>
      <w:r>
        <w:rPr>
          <w:b/>
          <w:bCs/>
          <w:vertAlign w:val="superscript"/>
        </w:rPr>
        <w:t>3</w:t>
      </w:r>
      <w:r>
        <w:rPr>
          <w:b/>
          <w:bCs/>
        </w:rPr>
        <w:t>C</w:t>
      </w:r>
      <w:r w:rsidRPr="00B22D51">
        <w:rPr>
          <w:b/>
          <w:bCs/>
        </w:rPr>
        <w:t xml:space="preserve"> of</w:t>
      </w:r>
      <w:r>
        <w:rPr>
          <w:b/>
          <w:bCs/>
        </w:rPr>
        <w:t xml:space="preserve"> </w:t>
      </w:r>
      <w:r w:rsidR="002B6115">
        <w:rPr>
          <w:b/>
          <w:bCs/>
        </w:rPr>
        <w:t>d</w:t>
      </w:r>
      <w:r w:rsidR="004B4FAB">
        <w:rPr>
          <w:b/>
          <w:bCs/>
        </w:rPr>
        <w:t>e</w:t>
      </w:r>
      <w:r w:rsidR="002B6115">
        <w:rPr>
          <w:b/>
          <w:bCs/>
        </w:rPr>
        <w:t>hydroxy-</w:t>
      </w:r>
      <w:r>
        <w:rPr>
          <w:b/>
          <w:bCs/>
        </w:rPr>
        <w:t>pyr</w:t>
      </w:r>
      <w:r w:rsidR="001D53BF">
        <w:rPr>
          <w:b/>
          <w:bCs/>
        </w:rPr>
        <w:t>i</w:t>
      </w:r>
      <w:r>
        <w:rPr>
          <w:b/>
          <w:bCs/>
        </w:rPr>
        <w:t xml:space="preserve">pyropene </w:t>
      </w:r>
      <w:r>
        <w:rPr>
          <w:rFonts w:cs="Arial"/>
          <w:b/>
          <w:bCs/>
        </w:rPr>
        <w:t>(</w:t>
      </w:r>
      <w:r w:rsidR="001058CE">
        <w:rPr>
          <w:rFonts w:cs="Arial"/>
          <w:b/>
          <w:bCs/>
        </w:rPr>
        <w:t>28</w:t>
      </w:r>
      <w:r>
        <w:rPr>
          <w:rFonts w:cs="Arial"/>
          <w:b/>
          <w:bCs/>
        </w:rPr>
        <w:t xml:space="preserve">) </w:t>
      </w:r>
    </w:p>
    <w:p w14:paraId="29C9C9EB" w14:textId="6CF86755" w:rsidR="009C7E67" w:rsidRDefault="009C7E67" w:rsidP="002A6A89">
      <w:r>
        <w:rPr>
          <w:noProof/>
        </w:rPr>
        <w:drawing>
          <wp:inline distT="0" distB="0" distL="0" distR="0" wp14:anchorId="343D9C40" wp14:editId="6BECB62F">
            <wp:extent cx="5303520" cy="372745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23">
                      <a:extLst>
                        <a:ext uri="{28A0092B-C50C-407E-A947-70E740481C1C}">
                          <a14:useLocalDpi xmlns:a14="http://schemas.microsoft.com/office/drawing/2010/main" val="0"/>
                        </a:ext>
                      </a:extLst>
                    </a:blip>
                    <a:srcRect t="8305" r="7596"/>
                    <a:stretch/>
                  </pic:blipFill>
                  <pic:spPr bwMode="auto">
                    <a:xfrm>
                      <a:off x="0" y="0"/>
                      <a:ext cx="5303797" cy="3727645"/>
                    </a:xfrm>
                    <a:prstGeom prst="rect">
                      <a:avLst/>
                    </a:prstGeom>
                    <a:noFill/>
                    <a:ln>
                      <a:noFill/>
                    </a:ln>
                    <a:extLst>
                      <a:ext uri="{53640926-AAD7-44D8-BBD7-CCE9431645EC}">
                        <a14:shadowObscured xmlns:a14="http://schemas.microsoft.com/office/drawing/2010/main"/>
                      </a:ext>
                    </a:extLst>
                  </pic:spPr>
                </pic:pic>
              </a:graphicData>
            </a:graphic>
          </wp:inline>
        </w:drawing>
      </w:r>
    </w:p>
    <w:p w14:paraId="15A423E3" w14:textId="01DE9E2B" w:rsidR="001D53BF" w:rsidRPr="00B22D51" w:rsidRDefault="001D53BF" w:rsidP="001D53BF">
      <w:pPr>
        <w:rPr>
          <w:b/>
          <w:bCs/>
        </w:rPr>
      </w:pPr>
      <w:r w:rsidRPr="00566D06">
        <w:rPr>
          <w:b/>
          <w:bCs/>
          <w:vertAlign w:val="superscript"/>
        </w:rPr>
        <w:t>1</w:t>
      </w:r>
      <w:r w:rsidRPr="00566D06">
        <w:rPr>
          <w:b/>
          <w:bCs/>
        </w:rPr>
        <w:t xml:space="preserve">H of </w:t>
      </w:r>
      <w:r w:rsidR="00C345D1">
        <w:rPr>
          <w:b/>
          <w:bCs/>
        </w:rPr>
        <w:t>dihydroxy-</w:t>
      </w:r>
      <w:r w:rsidRPr="00566D06">
        <w:rPr>
          <w:b/>
          <w:bCs/>
        </w:rPr>
        <w:t xml:space="preserve">phenylpyropene </w:t>
      </w:r>
      <w:r w:rsidRPr="00566D06">
        <w:rPr>
          <w:rFonts w:cs="Arial"/>
          <w:b/>
          <w:bCs/>
        </w:rPr>
        <w:t>(</w:t>
      </w:r>
      <w:r w:rsidR="001058CE">
        <w:rPr>
          <w:rFonts w:cs="Arial"/>
          <w:b/>
          <w:bCs/>
        </w:rPr>
        <w:t>29</w:t>
      </w:r>
      <w:r w:rsidRPr="00566D06">
        <w:rPr>
          <w:rFonts w:cs="Arial"/>
          <w:b/>
          <w:bCs/>
        </w:rPr>
        <w:t>) with</w:t>
      </w:r>
      <w:r w:rsidR="00567726">
        <w:rPr>
          <w:rFonts w:cs="Arial"/>
          <w:b/>
          <w:bCs/>
        </w:rPr>
        <w:t xml:space="preserve"> equimolar</w:t>
      </w:r>
      <w:r w:rsidRPr="00566D06">
        <w:rPr>
          <w:rFonts w:cs="Arial"/>
          <w:b/>
          <w:bCs/>
        </w:rPr>
        <w:t xml:space="preserve"> mesitylene standard</w:t>
      </w:r>
      <w:r w:rsidR="00567726">
        <w:rPr>
          <w:rFonts w:cs="Arial"/>
          <w:b/>
          <w:bCs/>
        </w:rPr>
        <w:t xml:space="preserve"> </w:t>
      </w:r>
    </w:p>
    <w:p w14:paraId="71BDF412" w14:textId="1DA9CAE6" w:rsidR="00A3596A" w:rsidRDefault="00566D06" w:rsidP="002A6A89">
      <w:r>
        <w:rPr>
          <w:noProof/>
        </w:rPr>
        <w:drawing>
          <wp:inline distT="0" distB="0" distL="0" distR="0" wp14:anchorId="4BB8015E" wp14:editId="2780628F">
            <wp:extent cx="5247640" cy="3689040"/>
            <wp:effectExtent l="0" t="0" r="0" b="6985"/>
            <wp:docPr id="10" name="Picture 1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hart&#10;&#10;Description automatically generated"/>
                    <pic:cNvPicPr/>
                  </pic:nvPicPr>
                  <pic:blipFill rotWithShape="1">
                    <a:blip r:embed="rId124"/>
                    <a:srcRect t="9435" r="8902"/>
                    <a:stretch/>
                  </pic:blipFill>
                  <pic:spPr bwMode="auto">
                    <a:xfrm>
                      <a:off x="0" y="0"/>
                      <a:ext cx="5247861" cy="3689195"/>
                    </a:xfrm>
                    <a:prstGeom prst="rect">
                      <a:avLst/>
                    </a:prstGeom>
                    <a:ln>
                      <a:noFill/>
                    </a:ln>
                    <a:extLst>
                      <a:ext uri="{53640926-AAD7-44D8-BBD7-CCE9431645EC}">
                        <a14:shadowObscured xmlns:a14="http://schemas.microsoft.com/office/drawing/2010/main"/>
                      </a:ext>
                    </a:extLst>
                  </pic:spPr>
                </pic:pic>
              </a:graphicData>
            </a:graphic>
          </wp:inline>
        </w:drawing>
      </w:r>
    </w:p>
    <w:p w14:paraId="58A06AA7" w14:textId="19BB5105" w:rsidR="00A3596A" w:rsidRPr="00544F93" w:rsidRDefault="0021140A" w:rsidP="002A6A89">
      <w:pPr>
        <w:rPr>
          <w:b/>
          <w:bCs/>
        </w:rPr>
      </w:pPr>
      <w:r w:rsidRPr="00544F93">
        <w:rPr>
          <w:b/>
          <w:bCs/>
        </w:rPr>
        <w:t xml:space="preserve">NOESY of </w:t>
      </w:r>
      <w:r w:rsidR="001058CE" w:rsidRPr="001058CE">
        <w:rPr>
          <w:b/>
          <w:bCs/>
          <w:i/>
          <w:iCs/>
        </w:rPr>
        <w:t>S,R,S,S</w:t>
      </w:r>
      <w:r w:rsidR="001058CE">
        <w:rPr>
          <w:b/>
          <w:bCs/>
        </w:rPr>
        <w:t>-</w:t>
      </w:r>
      <w:r w:rsidRPr="00544F93">
        <w:rPr>
          <w:b/>
          <w:bCs/>
        </w:rPr>
        <w:t xml:space="preserve">drimenol hydrate </w:t>
      </w:r>
      <w:r w:rsidR="001058CE">
        <w:rPr>
          <w:b/>
          <w:bCs/>
        </w:rPr>
        <w:t>9</w:t>
      </w:r>
    </w:p>
    <w:p w14:paraId="0655DA72" w14:textId="63583F7F" w:rsidR="00544F93" w:rsidRPr="0004303A" w:rsidRDefault="00544F93" w:rsidP="002A6A89">
      <w:pPr>
        <w:rPr>
          <w:highlight w:val="yellow"/>
        </w:rPr>
      </w:pPr>
      <w:r>
        <w:rPr>
          <w:noProof/>
        </w:rPr>
        <w:lastRenderedPageBreak/>
        <w:drawing>
          <wp:inline distT="0" distB="0" distL="0" distR="0" wp14:anchorId="4B88D935" wp14:editId="6B3F284B">
            <wp:extent cx="5760720" cy="3743325"/>
            <wp:effectExtent l="0" t="0" r="0" b="9525"/>
            <wp:docPr id="2" name="Picture 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chart&#10;&#10;Description automatically generated"/>
                    <pic:cNvPicPr/>
                  </pic:nvPicPr>
                  <pic:blipFill rotWithShape="1">
                    <a:blip r:embed="rId125"/>
                    <a:srcRect t="24002" b="23593"/>
                    <a:stretch/>
                  </pic:blipFill>
                  <pic:spPr bwMode="auto">
                    <a:xfrm>
                      <a:off x="0" y="0"/>
                      <a:ext cx="5760720" cy="3743325"/>
                    </a:xfrm>
                    <a:prstGeom prst="rect">
                      <a:avLst/>
                    </a:prstGeom>
                    <a:ln>
                      <a:noFill/>
                    </a:ln>
                    <a:extLst>
                      <a:ext uri="{53640926-AAD7-44D8-BBD7-CCE9431645EC}">
                        <a14:shadowObscured xmlns:a14="http://schemas.microsoft.com/office/drawing/2010/main"/>
                      </a:ext>
                    </a:extLst>
                  </pic:spPr>
                </pic:pic>
              </a:graphicData>
            </a:graphic>
          </wp:inline>
        </w:drawing>
      </w:r>
    </w:p>
    <w:p w14:paraId="1CC86F71" w14:textId="611F846A" w:rsidR="0021140A" w:rsidRPr="00544F93" w:rsidRDefault="0021140A" w:rsidP="002A6A89">
      <w:pPr>
        <w:rPr>
          <w:b/>
          <w:bCs/>
        </w:rPr>
      </w:pPr>
      <w:r w:rsidRPr="00544F93">
        <w:rPr>
          <w:b/>
          <w:bCs/>
        </w:rPr>
        <w:t xml:space="preserve">NOESY of </w:t>
      </w:r>
      <w:r w:rsidR="001058CE" w:rsidRPr="001058CE">
        <w:rPr>
          <w:b/>
          <w:bCs/>
          <w:i/>
          <w:iCs/>
        </w:rPr>
        <w:t>S,S,S,S</w:t>
      </w:r>
      <w:r w:rsidR="001058CE">
        <w:rPr>
          <w:b/>
          <w:bCs/>
        </w:rPr>
        <w:t>-</w:t>
      </w:r>
      <w:r w:rsidRPr="00544F93">
        <w:rPr>
          <w:b/>
          <w:bCs/>
        </w:rPr>
        <w:t xml:space="preserve">drimenol hydrate </w:t>
      </w:r>
      <w:r w:rsidR="001058CE">
        <w:rPr>
          <w:b/>
          <w:bCs/>
        </w:rPr>
        <w:t>S1-9</w:t>
      </w:r>
    </w:p>
    <w:p w14:paraId="383588AB" w14:textId="4A8F0EB3" w:rsidR="00544F93" w:rsidRPr="0004303A" w:rsidRDefault="00544F93" w:rsidP="002A6A89">
      <w:pPr>
        <w:rPr>
          <w:highlight w:val="yellow"/>
        </w:rPr>
      </w:pPr>
      <w:r>
        <w:rPr>
          <w:noProof/>
        </w:rPr>
        <w:drawing>
          <wp:inline distT="0" distB="0" distL="0" distR="0" wp14:anchorId="6D33BA79" wp14:editId="28236931">
            <wp:extent cx="5760720" cy="3667125"/>
            <wp:effectExtent l="0" t="0" r="0" b="9525"/>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rotWithShape="1">
                    <a:blip r:embed="rId126"/>
                    <a:srcRect t="24402" b="24260"/>
                    <a:stretch/>
                  </pic:blipFill>
                  <pic:spPr bwMode="auto">
                    <a:xfrm>
                      <a:off x="0" y="0"/>
                      <a:ext cx="5760720" cy="3667125"/>
                    </a:xfrm>
                    <a:prstGeom prst="rect">
                      <a:avLst/>
                    </a:prstGeom>
                    <a:ln>
                      <a:noFill/>
                    </a:ln>
                    <a:extLst>
                      <a:ext uri="{53640926-AAD7-44D8-BBD7-CCE9431645EC}">
                        <a14:shadowObscured xmlns:a14="http://schemas.microsoft.com/office/drawing/2010/main"/>
                      </a:ext>
                    </a:extLst>
                  </pic:spPr>
                </pic:pic>
              </a:graphicData>
            </a:graphic>
          </wp:inline>
        </w:drawing>
      </w:r>
    </w:p>
    <w:p w14:paraId="48AFED76" w14:textId="38501A1A" w:rsidR="0021140A" w:rsidRPr="00544F93" w:rsidRDefault="0021140A" w:rsidP="002A6A89">
      <w:pPr>
        <w:rPr>
          <w:b/>
          <w:bCs/>
        </w:rPr>
      </w:pPr>
      <w:r w:rsidRPr="00544F93">
        <w:rPr>
          <w:b/>
          <w:bCs/>
        </w:rPr>
        <w:t xml:space="preserve">NOESY of </w:t>
      </w:r>
      <w:r w:rsidR="0004303A" w:rsidRPr="00544F93">
        <w:rPr>
          <w:b/>
          <w:bCs/>
        </w:rPr>
        <w:t xml:space="preserve">P-2 </w:t>
      </w:r>
    </w:p>
    <w:p w14:paraId="6C594E2F" w14:textId="1BBBC94E" w:rsidR="00544F93" w:rsidRPr="002A6A89" w:rsidRDefault="00544F93" w:rsidP="002A6A89">
      <w:r>
        <w:rPr>
          <w:noProof/>
        </w:rPr>
        <w:lastRenderedPageBreak/>
        <w:drawing>
          <wp:inline distT="0" distB="0" distL="0" distR="0" wp14:anchorId="0E266BBD" wp14:editId="715CE378">
            <wp:extent cx="5760720" cy="3705225"/>
            <wp:effectExtent l="0" t="0" r="0" b="952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rotWithShape="1">
                    <a:blip r:embed="rId127"/>
                    <a:srcRect t="30003" b="18126"/>
                    <a:stretch/>
                  </pic:blipFill>
                  <pic:spPr bwMode="auto">
                    <a:xfrm>
                      <a:off x="0" y="0"/>
                      <a:ext cx="5760720" cy="3705225"/>
                    </a:xfrm>
                    <a:prstGeom prst="rect">
                      <a:avLst/>
                    </a:prstGeom>
                    <a:ln>
                      <a:noFill/>
                    </a:ln>
                    <a:extLst>
                      <a:ext uri="{53640926-AAD7-44D8-BBD7-CCE9431645EC}">
                        <a14:shadowObscured xmlns:a14="http://schemas.microsoft.com/office/drawing/2010/main"/>
                      </a:ext>
                    </a:extLst>
                  </pic:spPr>
                </pic:pic>
              </a:graphicData>
            </a:graphic>
          </wp:inline>
        </w:drawing>
      </w:r>
    </w:p>
    <w:p w14:paraId="2A72908E" w14:textId="1103A114" w:rsidR="00631006" w:rsidRDefault="00FF3BFB" w:rsidP="00631006">
      <w:pPr>
        <w:pStyle w:val="Heading1"/>
        <w:numPr>
          <w:ilvl w:val="0"/>
          <w:numId w:val="6"/>
        </w:numPr>
      </w:pPr>
      <w:bookmarkStart w:id="145" w:name="_Toc134623428"/>
      <w:r>
        <w:t>Amino acid sequence</w:t>
      </w:r>
      <w:r w:rsidR="00F001B7">
        <w:t>s</w:t>
      </w:r>
      <w:bookmarkEnd w:id="145"/>
    </w:p>
    <w:p w14:paraId="692E4AA4" w14:textId="1731D84A" w:rsidR="00156E64" w:rsidRPr="00156E64" w:rsidRDefault="00156E64" w:rsidP="00156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color w:val="000000"/>
          <w:lang w:eastAsia="de-DE"/>
        </w:rPr>
      </w:pPr>
      <w:r w:rsidRPr="00156E64">
        <w:rPr>
          <w:rFonts w:eastAsia="Times New Roman" w:cs="Arial"/>
          <w:i/>
          <w:iCs/>
          <w:color w:val="000000"/>
          <w:lang w:eastAsia="de-DE"/>
        </w:rPr>
        <w:t>Aac</w:t>
      </w:r>
      <w:r w:rsidRPr="00156E64">
        <w:rPr>
          <w:rFonts w:eastAsia="Times New Roman" w:cs="Arial"/>
          <w:color w:val="000000"/>
          <w:lang w:eastAsia="de-DE"/>
        </w:rPr>
        <w:t xml:space="preserve">SHC </w:t>
      </w:r>
    </w:p>
    <w:p w14:paraId="2FF267EC" w14:textId="77777777" w:rsidR="00156E64" w:rsidRPr="00156E64" w:rsidRDefault="00156E64" w:rsidP="00156E64">
      <w:pPr>
        <w:rPr>
          <w:rFonts w:cs="Arial"/>
        </w:rPr>
      </w:pPr>
      <w:r w:rsidRPr="00156E64">
        <w:rPr>
          <w:rFonts w:cs="Arial"/>
        </w:rPr>
        <w:t>MAEQLVEAPAYARTLDRAVEYLLSCQKDEGYWWGPLLSNVTMEAEYVLLCHILDRVDRDRMEKIRRYLLHEQREDGTWALYPGGPPDLDTTIEAYVALKYIGMSRDEEPMQKALRFIQSQGGIESSRVFTRMWLALVGEYPWEKVPMVPPEIMFLGKRMPLNIYEFGSWARATVVAISIVMSRQPVFPLPERARVPELYDTDVPPRRRGAKGGGGRIFDALDRALHGYQKLSVHPFRRAAEIRALDWLLERQAGDGSWGGIQPPWFYTLIALKILDMTQHPAFIKGWEGLELYGVDLDYGGWMFQASISPVWDTGLAVLALRAAGLPADHDRLVKAGEWLLDRQITVPGDWAVKRPNLKPGGFAFQFDNVYYPDVDDTAVVVWALNSLRLPDERRRRDVMTKGFRWIVGMQSSNGGWGAYDVDNTSDLPNHIPFCDFGEVTDPPSEDVTAHVLECFGSFGYDDAWKVIRRAVEYLKREQRPDGSWFGRWGVNYLYGTGAVVPALKAVGIDVREPFIQKALDWVEQHQNPDGGWGEDCRSYEDPAYAGKGASTPSQTAWALMALIAGGRAESDSVRRGVQYLVETQRPDGGWDEPYYTGTGFPGDFYLGYTMYRHVFPTLALGRYKQAIERR</w:t>
      </w:r>
    </w:p>
    <w:p w14:paraId="01898342" w14:textId="77777777" w:rsidR="00156E64" w:rsidRPr="00156E64" w:rsidRDefault="00156E64" w:rsidP="00156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lang w:eastAsia="de-DE"/>
        </w:rPr>
      </w:pPr>
    </w:p>
    <w:p w14:paraId="439FD2FF" w14:textId="4BC43631" w:rsidR="00156E64" w:rsidRPr="00156E64" w:rsidRDefault="00156E64" w:rsidP="00156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color w:val="000000"/>
          <w:lang w:eastAsia="de-DE"/>
        </w:rPr>
      </w:pPr>
      <w:r w:rsidRPr="00156E64">
        <w:rPr>
          <w:rFonts w:eastAsia="Times New Roman" w:cs="Arial"/>
          <w:i/>
          <w:iCs/>
          <w:color w:val="000000"/>
          <w:lang w:eastAsia="de-DE"/>
        </w:rPr>
        <w:t>Tel</w:t>
      </w:r>
      <w:r w:rsidRPr="00156E64">
        <w:rPr>
          <w:rFonts w:eastAsia="Times New Roman" w:cs="Arial"/>
          <w:color w:val="000000"/>
          <w:lang w:eastAsia="de-DE"/>
        </w:rPr>
        <w:t xml:space="preserve">SHC </w:t>
      </w:r>
    </w:p>
    <w:p w14:paraId="656E5737" w14:textId="77777777" w:rsidR="00156E64" w:rsidRPr="00156E64" w:rsidRDefault="00156E64" w:rsidP="00156E64">
      <w:pPr>
        <w:rPr>
          <w:rFonts w:cs="Arial"/>
        </w:rPr>
      </w:pPr>
      <w:r w:rsidRPr="00156E64">
        <w:rPr>
          <w:rFonts w:cs="Arial"/>
        </w:rPr>
        <w:t>MPTSLATAIDPKQLQQAIRASQDFLFSQQYAEGYWWAELESNVTMTAEVILLHKIWGTEQRLPLAKAEQYLRNHQRDHGGWELFYGDGGDLSTSVEAYMGLRLLGVPETDPALVKARQFILARGGISKTRIFTKLHLALIGCYDWRGIPSLPPWIMLLPEGSPFTIYEMSSWARSSTVPLLIVMDR</w:t>
      </w:r>
      <w:r w:rsidRPr="00156E64">
        <w:rPr>
          <w:rFonts w:cs="Arial"/>
        </w:rPr>
        <w:lastRenderedPageBreak/>
        <w:t>KPVYGMDPPITLDELYSEGRANVVWELPRQGDWRDVFIGLDRVFKLFETLNIHPLREQGLKAAEEWVLERQEASGDWGGIIPAMLNSLLALRALDYAVDDPIVQRGMAAVDRFAIETETEYRVQPCVSPVWDTALVMRAMVDSGVAPDHPALVKAGEWLLSKQILDYGDWHIKNKKGRPGGWAFEFENRFYPDVDDTAVVVMALHAVTLPNENLKRRAIERAVAWIASMQCRPGGWAAFDVDNDQDWLNGIPYGDLKAMIDPNTADVTARVLEMVGRCQLAFDRVALDRALAYLRNEQEPEGCWFGRWGVNYLYGTSGVLTALSLVAPRYDRWRIRRAAEWLMQCQNADGGWGETCWSYHDPSLKGKGDSTASQTAWAIIGLLAAGDATGDYATEAIERGIAYLLETQRPDGTWHEDYFTGTGFPCHFYLKYHYYQQHFPLTALGRYARWRNLLAT</w:t>
      </w:r>
    </w:p>
    <w:p w14:paraId="0C9CC248" w14:textId="06C2E896" w:rsidR="000204D8" w:rsidRDefault="00156E64" w:rsidP="00156E64">
      <w:pPr>
        <w:pStyle w:val="Heading1"/>
        <w:numPr>
          <w:ilvl w:val="0"/>
          <w:numId w:val="6"/>
        </w:numPr>
      </w:pPr>
      <w:bookmarkStart w:id="146" w:name="_Toc134623429"/>
      <w:r>
        <w:t>References</w:t>
      </w:r>
      <w:bookmarkEnd w:id="146"/>
    </w:p>
    <w:p w14:paraId="7A06D438" w14:textId="11150A7E" w:rsidR="00E81BA1" w:rsidRPr="00E81BA1" w:rsidRDefault="00156E64" w:rsidP="00E81BA1">
      <w:pPr>
        <w:widowControl w:val="0"/>
        <w:autoSpaceDE w:val="0"/>
        <w:autoSpaceDN w:val="0"/>
        <w:adjustRightInd w:val="0"/>
        <w:ind w:left="640" w:hanging="640"/>
        <w:rPr>
          <w:rFonts w:cs="Arial"/>
          <w:noProof/>
          <w:szCs w:val="24"/>
        </w:rPr>
      </w:pPr>
      <w:r>
        <w:fldChar w:fldCharType="begin" w:fldLock="1"/>
      </w:r>
      <w:r>
        <w:instrText xml:space="preserve">ADDIN Mendeley Bibliography CSL_BIBLIOGRAPHY </w:instrText>
      </w:r>
      <w:r>
        <w:fldChar w:fldCharType="separate"/>
      </w:r>
      <w:r w:rsidR="00E81BA1" w:rsidRPr="00E81BA1">
        <w:rPr>
          <w:rFonts w:cs="Arial"/>
          <w:noProof/>
          <w:szCs w:val="24"/>
        </w:rPr>
        <w:t>1.</w:t>
      </w:r>
      <w:r w:rsidR="00E81BA1" w:rsidRPr="00E81BA1">
        <w:rPr>
          <w:rFonts w:cs="Arial"/>
          <w:noProof/>
          <w:szCs w:val="24"/>
        </w:rPr>
        <w:tab/>
        <w:t xml:space="preserve">Li, J., Li, F., King-Smith, E. &amp; Renata, H. Merging chemoenzymatic and radical-based retrosynthetic logic for rapid and modular synthesis of oxidized meroterpenoids. </w:t>
      </w:r>
      <w:r w:rsidR="00E81BA1" w:rsidRPr="00E81BA1">
        <w:rPr>
          <w:rFonts w:cs="Arial"/>
          <w:i/>
          <w:iCs/>
          <w:noProof/>
          <w:szCs w:val="24"/>
        </w:rPr>
        <w:t>Nat. Chem.</w:t>
      </w:r>
      <w:r w:rsidR="00E81BA1" w:rsidRPr="00E81BA1">
        <w:rPr>
          <w:rFonts w:cs="Arial"/>
          <w:noProof/>
          <w:szCs w:val="24"/>
        </w:rPr>
        <w:t xml:space="preserve"> </w:t>
      </w:r>
      <w:r w:rsidR="00E81BA1" w:rsidRPr="00E81BA1">
        <w:rPr>
          <w:rFonts w:cs="Arial"/>
          <w:b/>
          <w:bCs/>
          <w:noProof/>
          <w:szCs w:val="24"/>
        </w:rPr>
        <w:t>12</w:t>
      </w:r>
      <w:r w:rsidR="00E81BA1" w:rsidRPr="00E81BA1">
        <w:rPr>
          <w:rFonts w:cs="Arial"/>
          <w:noProof/>
          <w:szCs w:val="24"/>
        </w:rPr>
        <w:t>, 173–179 (2020).</w:t>
      </w:r>
    </w:p>
    <w:p w14:paraId="73087056"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w:t>
      </w:r>
      <w:r w:rsidRPr="00E81BA1">
        <w:rPr>
          <w:rFonts w:cs="Arial"/>
          <w:noProof/>
          <w:szCs w:val="24"/>
        </w:rPr>
        <w:tab/>
        <w:t xml:space="preserve">Basabe, P. </w:t>
      </w:r>
      <w:r w:rsidRPr="00E81BA1">
        <w:rPr>
          <w:rFonts w:cs="Arial"/>
          <w:i/>
          <w:iCs/>
          <w:noProof/>
          <w:szCs w:val="24"/>
        </w:rPr>
        <w:t>et al.</w:t>
      </w:r>
      <w:r w:rsidRPr="00E81BA1">
        <w:rPr>
          <w:rFonts w:cs="Arial"/>
          <w:noProof/>
          <w:szCs w:val="24"/>
        </w:rPr>
        <w:t xml:space="preserve"> Synthesis of (+)-makassaric acid, a protein kinase MK2 inhibitor. </w:t>
      </w:r>
      <w:r w:rsidRPr="00E81BA1">
        <w:rPr>
          <w:rFonts w:cs="Arial"/>
          <w:i/>
          <w:iCs/>
          <w:noProof/>
          <w:szCs w:val="24"/>
        </w:rPr>
        <w:t>Tetrahedron</w:t>
      </w:r>
      <w:r w:rsidRPr="00E81BA1">
        <w:rPr>
          <w:rFonts w:cs="Arial"/>
          <w:noProof/>
          <w:szCs w:val="24"/>
        </w:rPr>
        <w:t xml:space="preserve"> </w:t>
      </w:r>
      <w:r w:rsidRPr="00E81BA1">
        <w:rPr>
          <w:rFonts w:cs="Arial"/>
          <w:b/>
          <w:bCs/>
          <w:noProof/>
          <w:szCs w:val="24"/>
        </w:rPr>
        <w:t>66</w:t>
      </w:r>
      <w:r w:rsidRPr="00E81BA1">
        <w:rPr>
          <w:rFonts w:cs="Arial"/>
          <w:noProof/>
          <w:szCs w:val="24"/>
        </w:rPr>
        <w:t>, 6008–6012 (2010).</w:t>
      </w:r>
    </w:p>
    <w:p w14:paraId="25CA872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w:t>
      </w:r>
      <w:r w:rsidRPr="00E81BA1">
        <w:rPr>
          <w:rFonts w:cs="Arial"/>
          <w:noProof/>
          <w:szCs w:val="24"/>
        </w:rPr>
        <w:tab/>
        <w:t xml:space="preserve">Dethe, D. H., Murhade, G. M., Dherange, B. D. &amp; Sau, S. K. Enantiospecific Syntheses of Hongoquercins A and B and Chromazonarol. </w:t>
      </w:r>
      <w:r w:rsidRPr="00E81BA1">
        <w:rPr>
          <w:rFonts w:cs="Arial"/>
          <w:i/>
          <w:iCs/>
          <w:noProof/>
          <w:szCs w:val="24"/>
        </w:rPr>
        <w:t>European J. Org. Chem.</w:t>
      </w:r>
      <w:r w:rsidRPr="00E81BA1">
        <w:rPr>
          <w:rFonts w:cs="Arial"/>
          <w:noProof/>
          <w:szCs w:val="24"/>
        </w:rPr>
        <w:t xml:space="preserve"> </w:t>
      </w:r>
      <w:r w:rsidRPr="00E81BA1">
        <w:rPr>
          <w:rFonts w:cs="Arial"/>
          <w:b/>
          <w:bCs/>
          <w:noProof/>
          <w:szCs w:val="24"/>
        </w:rPr>
        <w:t>2017</w:t>
      </w:r>
      <w:r w:rsidRPr="00E81BA1">
        <w:rPr>
          <w:rFonts w:cs="Arial"/>
          <w:noProof/>
          <w:szCs w:val="24"/>
        </w:rPr>
        <w:t>, 1143–1150 (2017).</w:t>
      </w:r>
    </w:p>
    <w:p w14:paraId="65AFE35E"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w:t>
      </w:r>
      <w:r w:rsidRPr="00E81BA1">
        <w:rPr>
          <w:rFonts w:cs="Arial"/>
          <w:noProof/>
          <w:szCs w:val="24"/>
        </w:rPr>
        <w:tab/>
        <w:t xml:space="preserve">Yonemura, Y., Ohyama, T. &amp; Hoshino, T. Chemo-enzymatic syntheses of drimane-type sesquiterpenes and the fundamental core of hongoquercin meroterpenoid by recombinant squalene-hopene cyclase. </w:t>
      </w:r>
      <w:r w:rsidRPr="00E81BA1">
        <w:rPr>
          <w:rFonts w:cs="Arial"/>
          <w:i/>
          <w:iCs/>
          <w:noProof/>
          <w:szCs w:val="24"/>
        </w:rPr>
        <w:t>Org. Biomol. Chem.</w:t>
      </w:r>
      <w:r w:rsidRPr="00E81BA1">
        <w:rPr>
          <w:rFonts w:cs="Arial"/>
          <w:noProof/>
          <w:szCs w:val="24"/>
        </w:rPr>
        <w:t xml:space="preserve"> </w:t>
      </w:r>
      <w:r w:rsidRPr="00E81BA1">
        <w:rPr>
          <w:rFonts w:cs="Arial"/>
          <w:b/>
          <w:bCs/>
          <w:noProof/>
          <w:szCs w:val="24"/>
        </w:rPr>
        <w:t>10</w:t>
      </w:r>
      <w:r w:rsidRPr="00E81BA1">
        <w:rPr>
          <w:rFonts w:cs="Arial"/>
          <w:noProof/>
          <w:szCs w:val="24"/>
        </w:rPr>
        <w:t>, 440–446 (2012).</w:t>
      </w:r>
    </w:p>
    <w:p w14:paraId="27B2852F"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w:t>
      </w:r>
      <w:r w:rsidRPr="00E81BA1">
        <w:rPr>
          <w:rFonts w:cs="Arial"/>
          <w:noProof/>
          <w:szCs w:val="24"/>
        </w:rPr>
        <w:tab/>
        <w:t xml:space="preserve">Land, H. &amp; Humble, M. S. YASARA: A tool to obtain structural guidance in biocatalytic investigations. in </w:t>
      </w:r>
      <w:r w:rsidRPr="00E81BA1">
        <w:rPr>
          <w:rFonts w:cs="Arial"/>
          <w:i/>
          <w:iCs/>
          <w:noProof/>
          <w:szCs w:val="24"/>
        </w:rPr>
        <w:t>Methods in Molecular Biology</w:t>
      </w:r>
      <w:r w:rsidRPr="00E81BA1">
        <w:rPr>
          <w:rFonts w:cs="Arial"/>
          <w:noProof/>
          <w:szCs w:val="24"/>
        </w:rPr>
        <w:t xml:space="preserve"> vol. 1685 43–67 (Humana Press Inc., 2018).</w:t>
      </w:r>
    </w:p>
    <w:p w14:paraId="06AC357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w:t>
      </w:r>
      <w:r w:rsidRPr="00E81BA1">
        <w:rPr>
          <w:rFonts w:cs="Arial"/>
          <w:noProof/>
          <w:szCs w:val="24"/>
        </w:rPr>
        <w:tab/>
        <w:t xml:space="preserve">Baek, M. &amp; Baker, D. Deep learning and protein structure modeling. </w:t>
      </w:r>
      <w:r w:rsidRPr="00E81BA1">
        <w:rPr>
          <w:rFonts w:cs="Arial"/>
          <w:i/>
          <w:iCs/>
          <w:noProof/>
          <w:szCs w:val="24"/>
        </w:rPr>
        <w:t>Nat. Methods</w:t>
      </w:r>
      <w:r w:rsidRPr="00E81BA1">
        <w:rPr>
          <w:rFonts w:cs="Arial"/>
          <w:noProof/>
          <w:szCs w:val="24"/>
        </w:rPr>
        <w:t xml:space="preserve"> </w:t>
      </w:r>
      <w:r w:rsidRPr="00E81BA1">
        <w:rPr>
          <w:rFonts w:cs="Arial"/>
          <w:b/>
          <w:bCs/>
          <w:noProof/>
          <w:szCs w:val="24"/>
        </w:rPr>
        <w:t>19</w:t>
      </w:r>
      <w:r w:rsidRPr="00E81BA1">
        <w:rPr>
          <w:rFonts w:cs="Arial"/>
          <w:noProof/>
          <w:szCs w:val="24"/>
        </w:rPr>
        <w:t>, 13–14 (2022).</w:t>
      </w:r>
    </w:p>
    <w:p w14:paraId="178BE475"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7.</w:t>
      </w:r>
      <w:r w:rsidRPr="00E81BA1">
        <w:rPr>
          <w:rFonts w:cs="Arial"/>
          <w:noProof/>
          <w:szCs w:val="24"/>
        </w:rPr>
        <w:tab/>
        <w:t xml:space="preserve">Schneider, A., Jegl, P. &amp; Hauer, B. Stereoselective Directed Cationic Cascades Enabled by Molecular Anchoring in Terpene Cyclases. </w:t>
      </w:r>
      <w:r w:rsidRPr="00E81BA1">
        <w:rPr>
          <w:rFonts w:cs="Arial"/>
          <w:i/>
          <w:iCs/>
          <w:noProof/>
          <w:szCs w:val="24"/>
        </w:rPr>
        <w:t>Angew. Chem. Int. Ed.</w:t>
      </w:r>
      <w:r w:rsidRPr="00E81BA1">
        <w:rPr>
          <w:rFonts w:cs="Arial"/>
          <w:noProof/>
          <w:szCs w:val="24"/>
        </w:rPr>
        <w:t xml:space="preserve"> </w:t>
      </w:r>
      <w:r w:rsidRPr="00E81BA1">
        <w:rPr>
          <w:rFonts w:cs="Arial"/>
          <w:b/>
          <w:bCs/>
          <w:noProof/>
          <w:szCs w:val="24"/>
        </w:rPr>
        <w:t>60</w:t>
      </w:r>
      <w:r w:rsidRPr="00E81BA1">
        <w:rPr>
          <w:rFonts w:cs="Arial"/>
          <w:noProof/>
          <w:szCs w:val="24"/>
        </w:rPr>
        <w:t>, 13251–13256 (2021).</w:t>
      </w:r>
    </w:p>
    <w:p w14:paraId="6CC8284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8.</w:t>
      </w:r>
      <w:r w:rsidRPr="00E81BA1">
        <w:rPr>
          <w:rFonts w:cs="Arial"/>
          <w:noProof/>
          <w:szCs w:val="24"/>
        </w:rPr>
        <w:tab/>
        <w:t xml:space="preserve">Schulte, S., Potter, K., Lemke, C. &amp; Peters, R. J. Catalytic bases and stereo-control in Lamiaceae class II diterpene cyclases. </w:t>
      </w:r>
      <w:r w:rsidRPr="00E81BA1">
        <w:rPr>
          <w:rFonts w:cs="Arial"/>
          <w:i/>
          <w:iCs/>
          <w:noProof/>
          <w:szCs w:val="24"/>
        </w:rPr>
        <w:t>Biochemistry</w:t>
      </w:r>
      <w:r w:rsidRPr="00E81BA1">
        <w:rPr>
          <w:rFonts w:cs="Arial"/>
          <w:noProof/>
          <w:szCs w:val="24"/>
        </w:rPr>
        <w:t xml:space="preserve"> </w:t>
      </w:r>
      <w:r w:rsidRPr="00E81BA1">
        <w:rPr>
          <w:rFonts w:cs="Arial"/>
          <w:b/>
          <w:bCs/>
          <w:noProof/>
          <w:szCs w:val="24"/>
        </w:rPr>
        <w:t>57</w:t>
      </w:r>
      <w:r w:rsidRPr="00E81BA1">
        <w:rPr>
          <w:rFonts w:cs="Arial"/>
          <w:noProof/>
          <w:szCs w:val="24"/>
        </w:rPr>
        <w:t>, 3473–3479 (2018).</w:t>
      </w:r>
    </w:p>
    <w:p w14:paraId="55BD37F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9.</w:t>
      </w:r>
      <w:r w:rsidRPr="00E81BA1">
        <w:rPr>
          <w:rFonts w:cs="Arial"/>
          <w:noProof/>
          <w:szCs w:val="24"/>
        </w:rPr>
        <w:tab/>
        <w:t xml:space="preserve">Chovancova, E. </w:t>
      </w:r>
      <w:r w:rsidRPr="00E81BA1">
        <w:rPr>
          <w:rFonts w:cs="Arial"/>
          <w:i/>
          <w:iCs/>
          <w:noProof/>
          <w:szCs w:val="24"/>
        </w:rPr>
        <w:t>et al.</w:t>
      </w:r>
      <w:r w:rsidRPr="00E81BA1">
        <w:rPr>
          <w:rFonts w:cs="Arial"/>
          <w:noProof/>
          <w:szCs w:val="24"/>
        </w:rPr>
        <w:t xml:space="preserve"> CAVER 3.0: A Tool for the Analysis of Transport Pathways in Dynamic Protein Structures. </w:t>
      </w:r>
      <w:r w:rsidRPr="00E81BA1">
        <w:rPr>
          <w:rFonts w:cs="Arial"/>
          <w:i/>
          <w:iCs/>
          <w:noProof/>
          <w:szCs w:val="24"/>
        </w:rPr>
        <w:t>PLOS Comput. Biol.</w:t>
      </w:r>
      <w:r w:rsidRPr="00E81BA1">
        <w:rPr>
          <w:rFonts w:cs="Arial"/>
          <w:noProof/>
          <w:szCs w:val="24"/>
        </w:rPr>
        <w:t xml:space="preserve"> </w:t>
      </w:r>
      <w:r w:rsidRPr="00E81BA1">
        <w:rPr>
          <w:rFonts w:cs="Arial"/>
          <w:b/>
          <w:bCs/>
          <w:noProof/>
          <w:szCs w:val="24"/>
        </w:rPr>
        <w:t>8</w:t>
      </w:r>
      <w:r w:rsidRPr="00E81BA1">
        <w:rPr>
          <w:rFonts w:cs="Arial"/>
          <w:noProof/>
          <w:szCs w:val="24"/>
        </w:rPr>
        <w:t>, e1002708 (2012).</w:t>
      </w:r>
    </w:p>
    <w:p w14:paraId="57186CAC"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lastRenderedPageBreak/>
        <w:t>10.</w:t>
      </w:r>
      <w:r w:rsidRPr="00E81BA1">
        <w:rPr>
          <w:rFonts w:cs="Arial"/>
          <w:noProof/>
          <w:szCs w:val="24"/>
        </w:rPr>
        <w:tab/>
        <w:t xml:space="preserve">Schneider, A., Curado, C., Lystbaek, T. B., Osuna, S. &amp; Hauer, B. Harnessing the Structure and Dynamics of the Squalene-Hopene Cyclase for (-)-Ambroxide Production. </w:t>
      </w:r>
      <w:r w:rsidRPr="00E81BA1">
        <w:rPr>
          <w:rFonts w:cs="Arial"/>
          <w:i/>
          <w:iCs/>
          <w:noProof/>
          <w:szCs w:val="24"/>
        </w:rPr>
        <w:t>Angew. Chem. Int. Ed.</w:t>
      </w:r>
      <w:r w:rsidRPr="00E81BA1">
        <w:rPr>
          <w:rFonts w:cs="Arial"/>
          <w:noProof/>
          <w:szCs w:val="24"/>
        </w:rPr>
        <w:t xml:space="preserve"> e202301607 (2023) doi:10.1002/ANIE.202301607.</w:t>
      </w:r>
    </w:p>
    <w:p w14:paraId="5F0DE4F0"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11.</w:t>
      </w:r>
      <w:r w:rsidRPr="00E81BA1">
        <w:rPr>
          <w:rFonts w:cs="Arial"/>
          <w:noProof/>
          <w:szCs w:val="24"/>
        </w:rPr>
        <w:tab/>
        <w:t xml:space="preserve">Reetz, M. T., Soni, P., Fernández, L., Gumulya, Y. &amp; Carballeira, J. D. Increasing the stability of an enzyme toward hostile organic solvents by directed evolution based on iterative saturation mutagenesis using the B-FIT method. </w:t>
      </w:r>
      <w:r w:rsidRPr="00E81BA1">
        <w:rPr>
          <w:rFonts w:cs="Arial"/>
          <w:i/>
          <w:iCs/>
          <w:noProof/>
          <w:szCs w:val="24"/>
        </w:rPr>
        <w:t>Chem. Commun.</w:t>
      </w:r>
      <w:r w:rsidRPr="00E81BA1">
        <w:rPr>
          <w:rFonts w:cs="Arial"/>
          <w:noProof/>
          <w:szCs w:val="24"/>
        </w:rPr>
        <w:t xml:space="preserve"> </w:t>
      </w:r>
      <w:r w:rsidRPr="00E81BA1">
        <w:rPr>
          <w:rFonts w:cs="Arial"/>
          <w:b/>
          <w:bCs/>
          <w:noProof/>
          <w:szCs w:val="24"/>
        </w:rPr>
        <w:t>46</w:t>
      </w:r>
      <w:r w:rsidRPr="00E81BA1">
        <w:rPr>
          <w:rFonts w:cs="Arial"/>
          <w:noProof/>
          <w:szCs w:val="24"/>
        </w:rPr>
        <w:t>, 8657–8658 (2010).</w:t>
      </w:r>
    </w:p>
    <w:p w14:paraId="3314BEF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12.</w:t>
      </w:r>
      <w:r w:rsidRPr="00E81BA1">
        <w:rPr>
          <w:rFonts w:cs="Arial"/>
          <w:noProof/>
          <w:szCs w:val="24"/>
        </w:rPr>
        <w:tab/>
        <w:t xml:space="preserve">Lye, G. J. &amp; Woodley, J. M. Application of in situ product-removal techniques to biocatalytic processes. </w:t>
      </w:r>
      <w:r w:rsidRPr="00E81BA1">
        <w:rPr>
          <w:rFonts w:cs="Arial"/>
          <w:i/>
          <w:iCs/>
          <w:noProof/>
          <w:szCs w:val="24"/>
        </w:rPr>
        <w:t>Trends Biotechnol.</w:t>
      </w:r>
      <w:r w:rsidRPr="00E81BA1">
        <w:rPr>
          <w:rFonts w:cs="Arial"/>
          <w:noProof/>
          <w:szCs w:val="24"/>
        </w:rPr>
        <w:t xml:space="preserve"> </w:t>
      </w:r>
      <w:r w:rsidRPr="00E81BA1">
        <w:rPr>
          <w:rFonts w:cs="Arial"/>
          <w:b/>
          <w:bCs/>
          <w:noProof/>
          <w:szCs w:val="24"/>
        </w:rPr>
        <w:t>17</w:t>
      </w:r>
      <w:r w:rsidRPr="00E81BA1">
        <w:rPr>
          <w:rFonts w:cs="Arial"/>
          <w:noProof/>
          <w:szCs w:val="24"/>
        </w:rPr>
        <w:t>, 395–402 (1999).</w:t>
      </w:r>
    </w:p>
    <w:p w14:paraId="3DEE627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13.</w:t>
      </w:r>
      <w:r w:rsidRPr="00E81BA1">
        <w:rPr>
          <w:rFonts w:cs="Arial"/>
          <w:noProof/>
          <w:szCs w:val="24"/>
        </w:rPr>
        <w:tab/>
        <w:t xml:space="preserve">Wachtmeister, J. &amp; Rother, D. Recent advances in whole cell biocatalysis techniques bridging from investigative to industrial scale. </w:t>
      </w:r>
      <w:r w:rsidRPr="00E81BA1">
        <w:rPr>
          <w:rFonts w:cs="Arial"/>
          <w:i/>
          <w:iCs/>
          <w:noProof/>
          <w:szCs w:val="24"/>
        </w:rPr>
        <w:t>Curr. Opin. Biotechnol.</w:t>
      </w:r>
      <w:r w:rsidRPr="00E81BA1">
        <w:rPr>
          <w:rFonts w:cs="Arial"/>
          <w:noProof/>
          <w:szCs w:val="24"/>
        </w:rPr>
        <w:t xml:space="preserve"> </w:t>
      </w:r>
      <w:r w:rsidRPr="00E81BA1">
        <w:rPr>
          <w:rFonts w:cs="Arial"/>
          <w:b/>
          <w:bCs/>
          <w:noProof/>
          <w:szCs w:val="24"/>
        </w:rPr>
        <w:t>42</w:t>
      </w:r>
      <w:r w:rsidRPr="00E81BA1">
        <w:rPr>
          <w:rFonts w:cs="Arial"/>
          <w:noProof/>
          <w:szCs w:val="24"/>
        </w:rPr>
        <w:t>, 169–177 (2016).</w:t>
      </w:r>
    </w:p>
    <w:p w14:paraId="7D44688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14.</w:t>
      </w:r>
      <w:r w:rsidRPr="00E81BA1">
        <w:rPr>
          <w:rFonts w:cs="Arial"/>
          <w:noProof/>
          <w:szCs w:val="24"/>
        </w:rPr>
        <w:tab/>
        <w:t xml:space="preserve">Los, D. A., Mironov, K. S. &amp; Allakhverdiev, S. I. Regulatory role of membrane fluidity in gene expression and physiological functions. </w:t>
      </w:r>
      <w:r w:rsidRPr="00E81BA1">
        <w:rPr>
          <w:rFonts w:cs="Arial"/>
          <w:i/>
          <w:iCs/>
          <w:noProof/>
          <w:szCs w:val="24"/>
        </w:rPr>
        <w:t>Photosynth. Res.</w:t>
      </w:r>
      <w:r w:rsidRPr="00E81BA1">
        <w:rPr>
          <w:rFonts w:cs="Arial"/>
          <w:noProof/>
          <w:szCs w:val="24"/>
        </w:rPr>
        <w:t xml:space="preserve"> </w:t>
      </w:r>
      <w:r w:rsidRPr="00E81BA1">
        <w:rPr>
          <w:rFonts w:cs="Arial"/>
          <w:b/>
          <w:bCs/>
          <w:noProof/>
          <w:szCs w:val="24"/>
        </w:rPr>
        <w:t>116</w:t>
      </w:r>
      <w:r w:rsidRPr="00E81BA1">
        <w:rPr>
          <w:rFonts w:cs="Arial"/>
          <w:noProof/>
          <w:szCs w:val="24"/>
        </w:rPr>
        <w:t>, 489–509 (2013).</w:t>
      </w:r>
    </w:p>
    <w:p w14:paraId="446B52E5"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15.</w:t>
      </w:r>
      <w:r w:rsidRPr="00E81BA1">
        <w:rPr>
          <w:rFonts w:cs="Arial"/>
          <w:noProof/>
          <w:szCs w:val="24"/>
        </w:rPr>
        <w:tab/>
        <w:t xml:space="preserve">Moulines, J., Bats, J. P., Lamidey, A. M. &amp; Da Silva, N. About a practical synthesis of Ambrox® from sclareol: A new preparation of a ketone key intermediate and a close look at its Baeyer-Villiger oxidation. </w:t>
      </w:r>
      <w:r w:rsidRPr="00E81BA1">
        <w:rPr>
          <w:rFonts w:cs="Arial"/>
          <w:i/>
          <w:iCs/>
          <w:noProof/>
          <w:szCs w:val="24"/>
        </w:rPr>
        <w:t>Helv. Chim. Acta</w:t>
      </w:r>
      <w:r w:rsidRPr="00E81BA1">
        <w:rPr>
          <w:rFonts w:cs="Arial"/>
          <w:noProof/>
          <w:szCs w:val="24"/>
        </w:rPr>
        <w:t xml:space="preserve"> </w:t>
      </w:r>
      <w:r w:rsidRPr="00E81BA1">
        <w:rPr>
          <w:rFonts w:cs="Arial"/>
          <w:b/>
          <w:bCs/>
          <w:noProof/>
          <w:szCs w:val="24"/>
        </w:rPr>
        <w:t>87</w:t>
      </w:r>
      <w:r w:rsidRPr="00E81BA1">
        <w:rPr>
          <w:rFonts w:cs="Arial"/>
          <w:noProof/>
          <w:szCs w:val="24"/>
        </w:rPr>
        <w:t>, 2695–2705 (2004).</w:t>
      </w:r>
    </w:p>
    <w:p w14:paraId="6457F03C"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16.</w:t>
      </w:r>
      <w:r w:rsidRPr="00E81BA1">
        <w:rPr>
          <w:rFonts w:cs="Arial"/>
          <w:noProof/>
          <w:szCs w:val="24"/>
        </w:rPr>
        <w:tab/>
        <w:t xml:space="preserve">Vlad, P. F., Ungur, N. D., Van Hung, N. &amp; Perutsky, V. B. Superacidic low-temperature cyclization of terpenols and their acetates. </w:t>
      </w:r>
      <w:r w:rsidRPr="00E81BA1">
        <w:rPr>
          <w:rFonts w:cs="Arial"/>
          <w:i/>
          <w:iCs/>
          <w:noProof/>
          <w:szCs w:val="24"/>
        </w:rPr>
        <w:t>Russ. Chem. Bull.</w:t>
      </w:r>
      <w:r w:rsidRPr="00E81BA1">
        <w:rPr>
          <w:rFonts w:cs="Arial"/>
          <w:noProof/>
          <w:szCs w:val="24"/>
        </w:rPr>
        <w:t xml:space="preserve"> </w:t>
      </w:r>
      <w:r w:rsidRPr="00E81BA1">
        <w:rPr>
          <w:rFonts w:cs="Arial"/>
          <w:b/>
          <w:bCs/>
          <w:noProof/>
          <w:szCs w:val="24"/>
        </w:rPr>
        <w:t>44</w:t>
      </w:r>
      <w:r w:rsidRPr="00E81BA1">
        <w:rPr>
          <w:rFonts w:cs="Arial"/>
          <w:noProof/>
          <w:szCs w:val="24"/>
        </w:rPr>
        <w:t>, 2390–2403 (1995).</w:t>
      </w:r>
    </w:p>
    <w:p w14:paraId="1CA80DDC"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17.</w:t>
      </w:r>
      <w:r w:rsidRPr="00E81BA1">
        <w:rPr>
          <w:rFonts w:cs="Arial"/>
          <w:noProof/>
          <w:szCs w:val="24"/>
        </w:rPr>
        <w:tab/>
        <w:t xml:space="preserve">Kulchitski, V. N., Ungur, N. D. &amp; Vlad, P. F. Electrophilic cyclization of α- and β-geranyl acetates by mercury(II) trifluoroacetate. </w:t>
      </w:r>
      <w:r w:rsidRPr="00E81BA1">
        <w:rPr>
          <w:rFonts w:cs="Arial"/>
          <w:i/>
          <w:iCs/>
          <w:noProof/>
          <w:szCs w:val="24"/>
        </w:rPr>
        <w:t>Russ. Chem. Bull.</w:t>
      </w:r>
      <w:r w:rsidRPr="00E81BA1">
        <w:rPr>
          <w:rFonts w:cs="Arial"/>
          <w:noProof/>
          <w:szCs w:val="24"/>
        </w:rPr>
        <w:t xml:space="preserve"> </w:t>
      </w:r>
      <w:r w:rsidRPr="00E81BA1">
        <w:rPr>
          <w:rFonts w:cs="Arial"/>
          <w:b/>
          <w:bCs/>
          <w:noProof/>
          <w:szCs w:val="24"/>
        </w:rPr>
        <w:t>46</w:t>
      </w:r>
      <w:r w:rsidRPr="00E81BA1">
        <w:rPr>
          <w:rFonts w:cs="Arial"/>
          <w:noProof/>
          <w:szCs w:val="24"/>
        </w:rPr>
        <w:t>, 1264–1268 (1997).</w:t>
      </w:r>
    </w:p>
    <w:p w14:paraId="76285F26"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18.</w:t>
      </w:r>
      <w:r w:rsidRPr="00E81BA1">
        <w:rPr>
          <w:rFonts w:cs="Arial"/>
          <w:noProof/>
          <w:szCs w:val="24"/>
        </w:rPr>
        <w:tab/>
        <w:t xml:space="preserve">Tsangarakis, C. &amp; Stratakis, M. Biomimetic cyclization of small terpenoids promoted by zeolite NaY: Tandem formation of α-ambrinol from geranyl acetone. </w:t>
      </w:r>
      <w:r w:rsidRPr="00E81BA1">
        <w:rPr>
          <w:rFonts w:cs="Arial"/>
          <w:i/>
          <w:iCs/>
          <w:noProof/>
          <w:szCs w:val="24"/>
        </w:rPr>
        <w:t>Adv. Synth. Catal.</w:t>
      </w:r>
      <w:r w:rsidRPr="00E81BA1">
        <w:rPr>
          <w:rFonts w:cs="Arial"/>
          <w:noProof/>
          <w:szCs w:val="24"/>
        </w:rPr>
        <w:t xml:space="preserve"> </w:t>
      </w:r>
      <w:r w:rsidRPr="00E81BA1">
        <w:rPr>
          <w:rFonts w:cs="Arial"/>
          <w:b/>
          <w:bCs/>
          <w:noProof/>
          <w:szCs w:val="24"/>
        </w:rPr>
        <w:t>347</w:t>
      </w:r>
      <w:r w:rsidRPr="00E81BA1">
        <w:rPr>
          <w:rFonts w:cs="Arial"/>
          <w:noProof/>
          <w:szCs w:val="24"/>
        </w:rPr>
        <w:t>, 1280–1284 (2005).</w:t>
      </w:r>
    </w:p>
    <w:p w14:paraId="05D737C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19.</w:t>
      </w:r>
      <w:r w:rsidRPr="00E81BA1">
        <w:rPr>
          <w:rFonts w:cs="Arial"/>
          <w:noProof/>
          <w:szCs w:val="24"/>
        </w:rPr>
        <w:tab/>
        <w:t xml:space="preserve">Ungur, N. D., Popa, N. P., Van Tuen, N. &amp; Vlad, P. F. Cyclization of α-terpenols and their acetates by fluorosulfonic acid. </w:t>
      </w:r>
      <w:r w:rsidRPr="00E81BA1">
        <w:rPr>
          <w:rFonts w:cs="Arial"/>
          <w:i/>
          <w:iCs/>
          <w:noProof/>
          <w:szCs w:val="24"/>
        </w:rPr>
        <w:t>Chem. Nat. Compd.</w:t>
      </w:r>
      <w:r w:rsidRPr="00E81BA1">
        <w:rPr>
          <w:rFonts w:cs="Arial"/>
          <w:noProof/>
          <w:szCs w:val="24"/>
        </w:rPr>
        <w:t xml:space="preserve"> </w:t>
      </w:r>
      <w:r w:rsidRPr="00E81BA1">
        <w:rPr>
          <w:rFonts w:cs="Arial"/>
          <w:b/>
          <w:bCs/>
          <w:noProof/>
          <w:szCs w:val="24"/>
        </w:rPr>
        <w:t>29</w:t>
      </w:r>
      <w:r w:rsidRPr="00E81BA1">
        <w:rPr>
          <w:rFonts w:cs="Arial"/>
          <w:noProof/>
          <w:szCs w:val="24"/>
        </w:rPr>
        <w:t>, 473–478 (1993).</w:t>
      </w:r>
    </w:p>
    <w:p w14:paraId="2C83BA9D"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20.</w:t>
      </w:r>
      <w:r w:rsidRPr="00E81BA1">
        <w:rPr>
          <w:rFonts w:cs="Arial"/>
          <w:noProof/>
          <w:szCs w:val="24"/>
        </w:rPr>
        <w:tab/>
        <w:t xml:space="preserve">Grin’ko, M., Kul’chitskii, V., Ungur, N. &amp; Vlad, P. F. Superacid cyclization of certain aliphatic sesquiterpene derivatives in ionic liquids. </w:t>
      </w:r>
      <w:r w:rsidRPr="00E81BA1">
        <w:rPr>
          <w:rFonts w:cs="Arial"/>
          <w:i/>
          <w:iCs/>
          <w:noProof/>
          <w:szCs w:val="24"/>
        </w:rPr>
        <w:t>Chem. Nat. Compd.</w:t>
      </w:r>
      <w:r w:rsidRPr="00E81BA1">
        <w:rPr>
          <w:rFonts w:cs="Arial"/>
          <w:noProof/>
          <w:szCs w:val="24"/>
        </w:rPr>
        <w:t xml:space="preserve"> </w:t>
      </w:r>
      <w:r w:rsidRPr="00E81BA1">
        <w:rPr>
          <w:rFonts w:cs="Arial"/>
          <w:b/>
          <w:bCs/>
          <w:noProof/>
          <w:szCs w:val="24"/>
        </w:rPr>
        <w:t>42</w:t>
      </w:r>
      <w:r w:rsidRPr="00E81BA1">
        <w:rPr>
          <w:rFonts w:cs="Arial"/>
          <w:noProof/>
          <w:szCs w:val="24"/>
        </w:rPr>
        <w:t>, 439–441 (2006).</w:t>
      </w:r>
    </w:p>
    <w:p w14:paraId="549AF366"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21.</w:t>
      </w:r>
      <w:r w:rsidRPr="00E81BA1">
        <w:rPr>
          <w:rFonts w:cs="Arial"/>
          <w:noProof/>
          <w:szCs w:val="24"/>
        </w:rPr>
        <w:tab/>
        <w:t xml:space="preserve">Parker, K. A. &amp; Resnick, L. The First Total Synthesis of a Pyripyropene-Type ACAT Inhibitor, (±)-GERI-BP00P. </w:t>
      </w:r>
      <w:r w:rsidRPr="00E81BA1">
        <w:rPr>
          <w:rFonts w:cs="Arial"/>
          <w:i/>
          <w:iCs/>
          <w:noProof/>
          <w:szCs w:val="24"/>
        </w:rPr>
        <w:t>J. Org. Chem</w:t>
      </w:r>
      <w:r w:rsidRPr="00E81BA1">
        <w:rPr>
          <w:rFonts w:cs="Arial"/>
          <w:noProof/>
          <w:szCs w:val="24"/>
        </w:rPr>
        <w:t xml:space="preserve"> </w:t>
      </w:r>
      <w:r w:rsidRPr="00E81BA1">
        <w:rPr>
          <w:rFonts w:cs="Arial"/>
          <w:b/>
          <w:bCs/>
          <w:noProof/>
          <w:szCs w:val="24"/>
        </w:rPr>
        <w:t>60</w:t>
      </w:r>
      <w:r w:rsidRPr="00E81BA1">
        <w:rPr>
          <w:rFonts w:cs="Arial"/>
          <w:noProof/>
          <w:szCs w:val="24"/>
        </w:rPr>
        <w:t>, 5726–5728 (1995).</w:t>
      </w:r>
    </w:p>
    <w:p w14:paraId="57786C2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22.</w:t>
      </w:r>
      <w:r w:rsidRPr="00E81BA1">
        <w:rPr>
          <w:rFonts w:cs="Arial"/>
          <w:noProof/>
          <w:szCs w:val="24"/>
        </w:rPr>
        <w:tab/>
        <w:t xml:space="preserve">Kille, S. </w:t>
      </w:r>
      <w:r w:rsidRPr="00E81BA1">
        <w:rPr>
          <w:rFonts w:cs="Arial"/>
          <w:i/>
          <w:iCs/>
          <w:noProof/>
          <w:szCs w:val="24"/>
        </w:rPr>
        <w:t>et al.</w:t>
      </w:r>
      <w:r w:rsidRPr="00E81BA1">
        <w:rPr>
          <w:rFonts w:cs="Arial"/>
          <w:noProof/>
          <w:szCs w:val="24"/>
        </w:rPr>
        <w:t xml:space="preserve"> Reducing codon redundancy and screening effort of combinatorial protein </w:t>
      </w:r>
      <w:r w:rsidRPr="00E81BA1">
        <w:rPr>
          <w:rFonts w:cs="Arial"/>
          <w:noProof/>
          <w:szCs w:val="24"/>
        </w:rPr>
        <w:lastRenderedPageBreak/>
        <w:t xml:space="preserve">libraries created by saturation mutagenesis. </w:t>
      </w:r>
      <w:r w:rsidRPr="00E81BA1">
        <w:rPr>
          <w:rFonts w:cs="Arial"/>
          <w:i/>
          <w:iCs/>
          <w:noProof/>
          <w:szCs w:val="24"/>
        </w:rPr>
        <w:t>ACS Synth. Biol.</w:t>
      </w:r>
      <w:r w:rsidRPr="00E81BA1">
        <w:rPr>
          <w:rFonts w:cs="Arial"/>
          <w:noProof/>
          <w:szCs w:val="24"/>
        </w:rPr>
        <w:t xml:space="preserve"> </w:t>
      </w:r>
      <w:r w:rsidRPr="00E81BA1">
        <w:rPr>
          <w:rFonts w:cs="Arial"/>
          <w:b/>
          <w:bCs/>
          <w:noProof/>
          <w:szCs w:val="24"/>
        </w:rPr>
        <w:t>2</w:t>
      </w:r>
      <w:r w:rsidRPr="00E81BA1">
        <w:rPr>
          <w:rFonts w:cs="Arial"/>
          <w:noProof/>
          <w:szCs w:val="24"/>
        </w:rPr>
        <w:t>, 83–92 (2013).</w:t>
      </w:r>
    </w:p>
    <w:p w14:paraId="41D983FC"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23.</w:t>
      </w:r>
      <w:r w:rsidRPr="00E81BA1">
        <w:rPr>
          <w:rFonts w:cs="Arial"/>
          <w:noProof/>
          <w:szCs w:val="24"/>
        </w:rPr>
        <w:tab/>
        <w:t xml:space="preserve">Gibson, D. G. </w:t>
      </w:r>
      <w:r w:rsidRPr="00E81BA1">
        <w:rPr>
          <w:rFonts w:cs="Arial"/>
          <w:i/>
          <w:iCs/>
          <w:noProof/>
          <w:szCs w:val="24"/>
        </w:rPr>
        <w:t>et al.</w:t>
      </w:r>
      <w:r w:rsidRPr="00E81BA1">
        <w:rPr>
          <w:rFonts w:cs="Arial"/>
          <w:noProof/>
          <w:szCs w:val="24"/>
        </w:rPr>
        <w:t xml:space="preserve"> Enzymatic assembly of DNA molecules up to several hundred kilobases. </w:t>
      </w:r>
      <w:r w:rsidRPr="00E81BA1">
        <w:rPr>
          <w:rFonts w:cs="Arial"/>
          <w:i/>
          <w:iCs/>
          <w:noProof/>
          <w:szCs w:val="24"/>
        </w:rPr>
        <w:t>Nat. Methods</w:t>
      </w:r>
      <w:r w:rsidRPr="00E81BA1">
        <w:rPr>
          <w:rFonts w:cs="Arial"/>
          <w:noProof/>
          <w:szCs w:val="24"/>
        </w:rPr>
        <w:t xml:space="preserve"> </w:t>
      </w:r>
      <w:r w:rsidRPr="00E81BA1">
        <w:rPr>
          <w:rFonts w:cs="Arial"/>
          <w:b/>
          <w:bCs/>
          <w:noProof/>
          <w:szCs w:val="24"/>
        </w:rPr>
        <w:t>6</w:t>
      </w:r>
      <w:r w:rsidRPr="00E81BA1">
        <w:rPr>
          <w:rFonts w:cs="Arial"/>
          <w:noProof/>
          <w:szCs w:val="24"/>
        </w:rPr>
        <w:t>, 343–345 (2009).</w:t>
      </w:r>
    </w:p>
    <w:p w14:paraId="50A92B65"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24.</w:t>
      </w:r>
      <w:r w:rsidRPr="00E81BA1">
        <w:rPr>
          <w:rFonts w:cs="Arial"/>
          <w:noProof/>
          <w:szCs w:val="24"/>
        </w:rPr>
        <w:tab/>
        <w:t xml:space="preserve">Renzette, N. Generation of transformation competent E. coli. </w:t>
      </w:r>
      <w:r w:rsidRPr="00E81BA1">
        <w:rPr>
          <w:rFonts w:cs="Arial"/>
          <w:i/>
          <w:iCs/>
          <w:noProof/>
          <w:szCs w:val="24"/>
        </w:rPr>
        <w:t>Curr. Protoc. Microbiol.</w:t>
      </w:r>
      <w:r w:rsidRPr="00E81BA1">
        <w:rPr>
          <w:rFonts w:cs="Arial"/>
          <w:noProof/>
          <w:szCs w:val="24"/>
        </w:rPr>
        <w:t xml:space="preserve"> </w:t>
      </w:r>
      <w:r w:rsidRPr="00E81BA1">
        <w:rPr>
          <w:rFonts w:cs="Arial"/>
          <w:b/>
          <w:bCs/>
          <w:noProof/>
          <w:szCs w:val="24"/>
        </w:rPr>
        <w:t>22</w:t>
      </w:r>
      <w:r w:rsidRPr="00E81BA1">
        <w:rPr>
          <w:rFonts w:cs="Arial"/>
          <w:noProof/>
          <w:szCs w:val="24"/>
        </w:rPr>
        <w:t>, A.3L.1-A.3L.5 (2011).</w:t>
      </w:r>
    </w:p>
    <w:p w14:paraId="04F29B2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25.</w:t>
      </w:r>
      <w:r w:rsidRPr="00E81BA1">
        <w:rPr>
          <w:rFonts w:cs="Arial"/>
          <w:noProof/>
          <w:szCs w:val="24"/>
        </w:rPr>
        <w:tab/>
        <w:t xml:space="preserve">Ren, X., Yu, D., Han, S. &amp; Feng, Y. Thermolysis of recombinant </w:t>
      </w:r>
      <w:r w:rsidRPr="00E81BA1">
        <w:rPr>
          <w:rFonts w:cs="Arial"/>
          <w:i/>
          <w:iCs/>
          <w:noProof/>
          <w:szCs w:val="24"/>
        </w:rPr>
        <w:t>Escherichia coli</w:t>
      </w:r>
      <w:r w:rsidRPr="00E81BA1">
        <w:rPr>
          <w:rFonts w:cs="Arial"/>
          <w:noProof/>
          <w:szCs w:val="24"/>
        </w:rPr>
        <w:t xml:space="preserve"> for recovering a thermostable enzyme. </w:t>
      </w:r>
      <w:r w:rsidRPr="00E81BA1">
        <w:rPr>
          <w:rFonts w:cs="Arial"/>
          <w:i/>
          <w:iCs/>
          <w:noProof/>
          <w:szCs w:val="24"/>
        </w:rPr>
        <w:t>Biochem. Eng. J.</w:t>
      </w:r>
      <w:r w:rsidRPr="00E81BA1">
        <w:rPr>
          <w:rFonts w:cs="Arial"/>
          <w:noProof/>
          <w:szCs w:val="24"/>
        </w:rPr>
        <w:t xml:space="preserve"> </w:t>
      </w:r>
      <w:r w:rsidRPr="00E81BA1">
        <w:rPr>
          <w:rFonts w:cs="Arial"/>
          <w:b/>
          <w:bCs/>
          <w:noProof/>
          <w:szCs w:val="24"/>
        </w:rPr>
        <w:t>33</w:t>
      </w:r>
      <w:r w:rsidRPr="00E81BA1">
        <w:rPr>
          <w:rFonts w:cs="Arial"/>
          <w:noProof/>
          <w:szCs w:val="24"/>
        </w:rPr>
        <w:t>, 94–98 (2007).</w:t>
      </w:r>
    </w:p>
    <w:p w14:paraId="6A3722B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26.</w:t>
      </w:r>
      <w:r w:rsidRPr="00E81BA1">
        <w:rPr>
          <w:rFonts w:cs="Arial"/>
          <w:noProof/>
          <w:szCs w:val="24"/>
        </w:rPr>
        <w:tab/>
        <w:t xml:space="preserve">Koschorreck, K., Wahrendorff, F., Biemann, S., Jesse, A. &amp; Urlacher, V. B. Cell thermolysis – A simple and fast approach for isolation of bacterial laccases with potential to decolorize industrial dyes. </w:t>
      </w:r>
      <w:r w:rsidRPr="00E81BA1">
        <w:rPr>
          <w:rFonts w:cs="Arial"/>
          <w:i/>
          <w:iCs/>
          <w:noProof/>
          <w:szCs w:val="24"/>
        </w:rPr>
        <w:t>Process Biochem.</w:t>
      </w:r>
      <w:r w:rsidRPr="00E81BA1">
        <w:rPr>
          <w:rFonts w:cs="Arial"/>
          <w:noProof/>
          <w:szCs w:val="24"/>
        </w:rPr>
        <w:t xml:space="preserve"> </w:t>
      </w:r>
      <w:r w:rsidRPr="00E81BA1">
        <w:rPr>
          <w:rFonts w:cs="Arial"/>
          <w:b/>
          <w:bCs/>
          <w:noProof/>
          <w:szCs w:val="24"/>
        </w:rPr>
        <w:t>56</w:t>
      </w:r>
      <w:r w:rsidRPr="00E81BA1">
        <w:rPr>
          <w:rFonts w:cs="Arial"/>
          <w:noProof/>
          <w:szCs w:val="24"/>
        </w:rPr>
        <w:t>, 171–176 (2017).</w:t>
      </w:r>
    </w:p>
    <w:p w14:paraId="603C0133"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27.</w:t>
      </w:r>
      <w:r w:rsidRPr="00E81BA1">
        <w:rPr>
          <w:rFonts w:cs="Arial"/>
          <w:noProof/>
          <w:szCs w:val="24"/>
        </w:rPr>
        <w:tab/>
        <w:t xml:space="preserve">Pol-Fachin, L., Rusu, V. H., Verli, H. &amp; Lins, R. D. GROMOS 53A6 GLYC, an improved GROMOS force field for hexopyranose-based carbohydrates. </w:t>
      </w:r>
      <w:r w:rsidRPr="00E81BA1">
        <w:rPr>
          <w:rFonts w:cs="Arial"/>
          <w:i/>
          <w:iCs/>
          <w:noProof/>
          <w:szCs w:val="24"/>
        </w:rPr>
        <w:t>J. Chem. Theory Comput.</w:t>
      </w:r>
      <w:r w:rsidRPr="00E81BA1">
        <w:rPr>
          <w:rFonts w:cs="Arial"/>
          <w:noProof/>
          <w:szCs w:val="24"/>
        </w:rPr>
        <w:t xml:space="preserve"> </w:t>
      </w:r>
      <w:r w:rsidRPr="00E81BA1">
        <w:rPr>
          <w:rFonts w:cs="Arial"/>
          <w:b/>
          <w:bCs/>
          <w:noProof/>
          <w:szCs w:val="24"/>
        </w:rPr>
        <w:t>8</w:t>
      </w:r>
      <w:r w:rsidRPr="00E81BA1">
        <w:rPr>
          <w:rFonts w:cs="Arial"/>
          <w:noProof/>
          <w:szCs w:val="24"/>
        </w:rPr>
        <w:t>, 4681–4690 (2012).</w:t>
      </w:r>
    </w:p>
    <w:p w14:paraId="7906F43D"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28.</w:t>
      </w:r>
      <w:r w:rsidRPr="00E81BA1">
        <w:rPr>
          <w:rFonts w:cs="Arial"/>
          <w:noProof/>
          <w:szCs w:val="24"/>
        </w:rPr>
        <w:tab/>
        <w:t xml:space="preserve">Oostenbrink, C., Villa, A., Mark, A. E. &amp; Van Gunsteren, W. F. A biomolecular force field based on the free enthalpy of hydration and solvation: The GROMOS force-field parameter sets 53A5 and 53A6. </w:t>
      </w:r>
      <w:r w:rsidRPr="00E81BA1">
        <w:rPr>
          <w:rFonts w:cs="Arial"/>
          <w:i/>
          <w:iCs/>
          <w:noProof/>
          <w:szCs w:val="24"/>
        </w:rPr>
        <w:t>J. Comput. Chem.</w:t>
      </w:r>
      <w:r w:rsidRPr="00E81BA1">
        <w:rPr>
          <w:rFonts w:cs="Arial"/>
          <w:noProof/>
          <w:szCs w:val="24"/>
        </w:rPr>
        <w:t xml:space="preserve"> </w:t>
      </w:r>
      <w:r w:rsidRPr="00E81BA1">
        <w:rPr>
          <w:rFonts w:cs="Arial"/>
          <w:b/>
          <w:bCs/>
          <w:noProof/>
          <w:szCs w:val="24"/>
        </w:rPr>
        <w:t>25</w:t>
      </w:r>
      <w:r w:rsidRPr="00E81BA1">
        <w:rPr>
          <w:rFonts w:cs="Arial"/>
          <w:noProof/>
          <w:szCs w:val="24"/>
        </w:rPr>
        <w:t>, 1656–1676 (2004).</w:t>
      </w:r>
    </w:p>
    <w:p w14:paraId="1AD4CBE3"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29.</w:t>
      </w:r>
      <w:r w:rsidRPr="00E81BA1">
        <w:rPr>
          <w:rFonts w:cs="Arial"/>
          <w:noProof/>
          <w:szCs w:val="24"/>
        </w:rPr>
        <w:tab/>
        <w:t xml:space="preserve">Poger, D., Van Gunsteren, W. F. &amp; Mark, A. E. A new force field for simulating phosphatidylcholine bilayers. </w:t>
      </w:r>
      <w:r w:rsidRPr="00E81BA1">
        <w:rPr>
          <w:rFonts w:cs="Arial"/>
          <w:i/>
          <w:iCs/>
          <w:noProof/>
          <w:szCs w:val="24"/>
        </w:rPr>
        <w:t>J. Comput. Chem.</w:t>
      </w:r>
      <w:r w:rsidRPr="00E81BA1">
        <w:rPr>
          <w:rFonts w:cs="Arial"/>
          <w:noProof/>
          <w:szCs w:val="24"/>
        </w:rPr>
        <w:t xml:space="preserve"> </w:t>
      </w:r>
      <w:r w:rsidRPr="00E81BA1">
        <w:rPr>
          <w:rFonts w:cs="Arial"/>
          <w:b/>
          <w:bCs/>
          <w:noProof/>
          <w:szCs w:val="24"/>
        </w:rPr>
        <w:t>31</w:t>
      </w:r>
      <w:r w:rsidRPr="00E81BA1">
        <w:rPr>
          <w:rFonts w:cs="Arial"/>
          <w:noProof/>
          <w:szCs w:val="24"/>
        </w:rPr>
        <w:t>, 1117–1125 (2010).</w:t>
      </w:r>
    </w:p>
    <w:p w14:paraId="709E8387"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30.</w:t>
      </w:r>
      <w:r w:rsidRPr="00E81BA1">
        <w:rPr>
          <w:rFonts w:cs="Arial"/>
          <w:noProof/>
          <w:szCs w:val="24"/>
        </w:rPr>
        <w:tab/>
        <w:t xml:space="preserve">Schmid, N. </w:t>
      </w:r>
      <w:r w:rsidRPr="00E81BA1">
        <w:rPr>
          <w:rFonts w:cs="Arial"/>
          <w:i/>
          <w:iCs/>
          <w:noProof/>
          <w:szCs w:val="24"/>
        </w:rPr>
        <w:t>et al.</w:t>
      </w:r>
      <w:r w:rsidRPr="00E81BA1">
        <w:rPr>
          <w:rFonts w:cs="Arial"/>
          <w:noProof/>
          <w:szCs w:val="24"/>
        </w:rPr>
        <w:t xml:space="preserve"> Definition and testing of the GROMOS force-field versions 54A7 and 54B7. </w:t>
      </w:r>
      <w:r w:rsidRPr="00E81BA1">
        <w:rPr>
          <w:rFonts w:cs="Arial"/>
          <w:i/>
          <w:iCs/>
          <w:noProof/>
          <w:szCs w:val="24"/>
        </w:rPr>
        <w:t>Eur. Biophys. J.</w:t>
      </w:r>
      <w:r w:rsidRPr="00E81BA1">
        <w:rPr>
          <w:rFonts w:cs="Arial"/>
          <w:noProof/>
          <w:szCs w:val="24"/>
        </w:rPr>
        <w:t xml:space="preserve"> </w:t>
      </w:r>
      <w:r w:rsidRPr="00E81BA1">
        <w:rPr>
          <w:rFonts w:cs="Arial"/>
          <w:b/>
          <w:bCs/>
          <w:noProof/>
          <w:szCs w:val="24"/>
        </w:rPr>
        <w:t>40</w:t>
      </w:r>
      <w:r w:rsidRPr="00E81BA1">
        <w:rPr>
          <w:rFonts w:cs="Arial"/>
          <w:noProof/>
          <w:szCs w:val="24"/>
        </w:rPr>
        <w:t>, 843–856 (2011).</w:t>
      </w:r>
    </w:p>
    <w:p w14:paraId="0C28B780"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31.</w:t>
      </w:r>
      <w:r w:rsidRPr="00E81BA1">
        <w:rPr>
          <w:rFonts w:cs="Arial"/>
          <w:noProof/>
          <w:szCs w:val="24"/>
        </w:rPr>
        <w:tab/>
        <w:t xml:space="preserve">Reif, M. M., Hünenberger, P. H. &amp; Oostenbrink, C. New interaction parameters for charged amino acid side chains in the GROMOS force field. </w:t>
      </w:r>
      <w:r w:rsidRPr="00E81BA1">
        <w:rPr>
          <w:rFonts w:cs="Arial"/>
          <w:i/>
          <w:iCs/>
          <w:noProof/>
          <w:szCs w:val="24"/>
        </w:rPr>
        <w:t>J. Chem. Theory Comput.</w:t>
      </w:r>
      <w:r w:rsidRPr="00E81BA1">
        <w:rPr>
          <w:rFonts w:cs="Arial"/>
          <w:noProof/>
          <w:szCs w:val="24"/>
        </w:rPr>
        <w:t xml:space="preserve"> </w:t>
      </w:r>
      <w:r w:rsidRPr="00E81BA1">
        <w:rPr>
          <w:rFonts w:cs="Arial"/>
          <w:b/>
          <w:bCs/>
          <w:noProof/>
          <w:szCs w:val="24"/>
        </w:rPr>
        <w:t>8</w:t>
      </w:r>
      <w:r w:rsidRPr="00E81BA1">
        <w:rPr>
          <w:rFonts w:cs="Arial"/>
          <w:noProof/>
          <w:szCs w:val="24"/>
        </w:rPr>
        <w:t>, 3705–3723 (2012).</w:t>
      </w:r>
    </w:p>
    <w:p w14:paraId="11145AE2"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32.</w:t>
      </w:r>
      <w:r w:rsidRPr="00E81BA1">
        <w:rPr>
          <w:rFonts w:cs="Arial"/>
          <w:noProof/>
          <w:szCs w:val="24"/>
        </w:rPr>
        <w:tab/>
        <w:t xml:space="preserve">Lins, R. D. &amp; Hünenberger, P. H. A new GROMOS force field for hexopyranose-based carbohydrates. </w:t>
      </w:r>
      <w:r w:rsidRPr="00E81BA1">
        <w:rPr>
          <w:rFonts w:cs="Arial"/>
          <w:i/>
          <w:iCs/>
          <w:noProof/>
          <w:szCs w:val="24"/>
        </w:rPr>
        <w:t>J. Comput. Chem.</w:t>
      </w:r>
      <w:r w:rsidRPr="00E81BA1">
        <w:rPr>
          <w:rFonts w:cs="Arial"/>
          <w:noProof/>
          <w:szCs w:val="24"/>
        </w:rPr>
        <w:t xml:space="preserve"> </w:t>
      </w:r>
      <w:r w:rsidRPr="00E81BA1">
        <w:rPr>
          <w:rFonts w:cs="Arial"/>
          <w:b/>
          <w:bCs/>
          <w:noProof/>
          <w:szCs w:val="24"/>
        </w:rPr>
        <w:t>26</w:t>
      </w:r>
      <w:r w:rsidRPr="00E81BA1">
        <w:rPr>
          <w:rFonts w:cs="Arial"/>
          <w:noProof/>
          <w:szCs w:val="24"/>
        </w:rPr>
        <w:t>, 1400–1412 (2005).</w:t>
      </w:r>
    </w:p>
    <w:p w14:paraId="54EF381D"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33.</w:t>
      </w:r>
      <w:r w:rsidRPr="00E81BA1">
        <w:rPr>
          <w:rFonts w:cs="Arial"/>
          <w:noProof/>
          <w:szCs w:val="24"/>
        </w:rPr>
        <w:tab/>
        <w:t xml:space="preserve">Hansen, H. S. &amp; Hünenberger, P. H. A reoptimized GROMOS force field for hexopyranose-based carbohydrates accounting for the relative free energies of ring conformers, anomers, epimers, hydroxymethyl rotamers, and glycosidic linkage conformers. </w:t>
      </w:r>
      <w:r w:rsidRPr="00E81BA1">
        <w:rPr>
          <w:rFonts w:cs="Arial"/>
          <w:i/>
          <w:iCs/>
          <w:noProof/>
          <w:szCs w:val="24"/>
        </w:rPr>
        <w:t>J. Comput. Chem.</w:t>
      </w:r>
      <w:r w:rsidRPr="00E81BA1">
        <w:rPr>
          <w:rFonts w:cs="Arial"/>
          <w:noProof/>
          <w:szCs w:val="24"/>
        </w:rPr>
        <w:t xml:space="preserve"> </w:t>
      </w:r>
      <w:r w:rsidRPr="00E81BA1">
        <w:rPr>
          <w:rFonts w:cs="Arial"/>
          <w:b/>
          <w:bCs/>
          <w:noProof/>
          <w:szCs w:val="24"/>
        </w:rPr>
        <w:t>32</w:t>
      </w:r>
      <w:r w:rsidRPr="00E81BA1">
        <w:rPr>
          <w:rFonts w:cs="Arial"/>
          <w:noProof/>
          <w:szCs w:val="24"/>
        </w:rPr>
        <w:t>, 998–1032 (2011).</w:t>
      </w:r>
    </w:p>
    <w:p w14:paraId="78488A3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34.</w:t>
      </w:r>
      <w:r w:rsidRPr="00E81BA1">
        <w:rPr>
          <w:rFonts w:cs="Arial"/>
          <w:noProof/>
          <w:szCs w:val="24"/>
        </w:rPr>
        <w:tab/>
        <w:t xml:space="preserve">Malde, A. K. </w:t>
      </w:r>
      <w:r w:rsidRPr="00E81BA1">
        <w:rPr>
          <w:rFonts w:cs="Arial"/>
          <w:i/>
          <w:iCs/>
          <w:noProof/>
          <w:szCs w:val="24"/>
        </w:rPr>
        <w:t>et al.</w:t>
      </w:r>
      <w:r w:rsidRPr="00E81BA1">
        <w:rPr>
          <w:rFonts w:cs="Arial"/>
          <w:noProof/>
          <w:szCs w:val="24"/>
        </w:rPr>
        <w:t xml:space="preserve"> An Automated force field Topology Builder (ATB) and repository: Version 1.0. </w:t>
      </w:r>
      <w:r w:rsidRPr="00E81BA1">
        <w:rPr>
          <w:rFonts w:cs="Arial"/>
          <w:i/>
          <w:iCs/>
          <w:noProof/>
          <w:szCs w:val="24"/>
        </w:rPr>
        <w:t>J. Chem. Theory Comput.</w:t>
      </w:r>
      <w:r w:rsidRPr="00E81BA1">
        <w:rPr>
          <w:rFonts w:cs="Arial"/>
          <w:noProof/>
          <w:szCs w:val="24"/>
        </w:rPr>
        <w:t xml:space="preserve"> </w:t>
      </w:r>
      <w:r w:rsidRPr="00E81BA1">
        <w:rPr>
          <w:rFonts w:cs="Arial"/>
          <w:b/>
          <w:bCs/>
          <w:noProof/>
          <w:szCs w:val="24"/>
        </w:rPr>
        <w:t>7</w:t>
      </w:r>
      <w:r w:rsidRPr="00E81BA1">
        <w:rPr>
          <w:rFonts w:cs="Arial"/>
          <w:noProof/>
          <w:szCs w:val="24"/>
        </w:rPr>
        <w:t>, 4026–4037 (2011).</w:t>
      </w:r>
    </w:p>
    <w:p w14:paraId="11EB96CF"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35.</w:t>
      </w:r>
      <w:r w:rsidRPr="00E81BA1">
        <w:rPr>
          <w:rFonts w:cs="Arial"/>
          <w:noProof/>
          <w:szCs w:val="24"/>
        </w:rPr>
        <w:tab/>
        <w:t xml:space="preserve">Berendsen, H. J. C., Postma, J. P. M., van Gunsteren, W. F. &amp; Hermans, J. </w:t>
      </w:r>
      <w:r w:rsidRPr="00E81BA1">
        <w:rPr>
          <w:rFonts w:cs="Arial"/>
          <w:i/>
          <w:iCs/>
          <w:noProof/>
          <w:szCs w:val="24"/>
        </w:rPr>
        <w:lastRenderedPageBreak/>
        <w:t>Intermolecular Forces</w:t>
      </w:r>
      <w:r w:rsidRPr="00E81BA1">
        <w:rPr>
          <w:rFonts w:cs="Arial"/>
          <w:noProof/>
          <w:szCs w:val="24"/>
        </w:rPr>
        <w:t>. (1981).</w:t>
      </w:r>
    </w:p>
    <w:p w14:paraId="16053E7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36.</w:t>
      </w:r>
      <w:r w:rsidRPr="00E81BA1">
        <w:rPr>
          <w:rFonts w:cs="Arial"/>
          <w:noProof/>
          <w:szCs w:val="24"/>
        </w:rPr>
        <w:tab/>
        <w:t xml:space="preserve">MacCallum, J. L., Drew Bennett, W. F. &amp; Peter Tieleman, D. Distribution of Amino Acids in a Lipid Bilayer from Computer Simulations. </w:t>
      </w:r>
      <w:r w:rsidRPr="00E81BA1">
        <w:rPr>
          <w:rFonts w:cs="Arial"/>
          <w:i/>
          <w:iCs/>
          <w:noProof/>
          <w:szCs w:val="24"/>
        </w:rPr>
        <w:t>Biophys. J.</w:t>
      </w:r>
      <w:r w:rsidRPr="00E81BA1">
        <w:rPr>
          <w:rFonts w:cs="Arial"/>
          <w:noProof/>
          <w:szCs w:val="24"/>
        </w:rPr>
        <w:t xml:space="preserve"> </w:t>
      </w:r>
      <w:r w:rsidRPr="00E81BA1">
        <w:rPr>
          <w:rFonts w:cs="Arial"/>
          <w:b/>
          <w:bCs/>
          <w:noProof/>
          <w:szCs w:val="24"/>
        </w:rPr>
        <w:t>94</w:t>
      </w:r>
      <w:r w:rsidRPr="00E81BA1">
        <w:rPr>
          <w:rFonts w:cs="Arial"/>
          <w:noProof/>
          <w:szCs w:val="24"/>
        </w:rPr>
        <w:t>, 3393–3404 (2008).</w:t>
      </w:r>
    </w:p>
    <w:p w14:paraId="623A4F1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37.</w:t>
      </w:r>
      <w:r w:rsidRPr="00E81BA1">
        <w:rPr>
          <w:rFonts w:cs="Arial"/>
          <w:noProof/>
          <w:szCs w:val="24"/>
        </w:rPr>
        <w:tab/>
        <w:t xml:space="preserve">Gebhardt, J., Kleist, C., Jakobtorweihen, S. &amp; Hansen, N. Validation and Comparison of Force Fields for Native Cyclodextrins in Aqueous Solution. </w:t>
      </w:r>
      <w:r w:rsidRPr="00E81BA1">
        <w:rPr>
          <w:rFonts w:cs="Arial"/>
          <w:i/>
          <w:iCs/>
          <w:noProof/>
          <w:szCs w:val="24"/>
        </w:rPr>
        <w:t>J. Phys. Chem. B</w:t>
      </w:r>
      <w:r w:rsidRPr="00E81BA1">
        <w:rPr>
          <w:rFonts w:cs="Arial"/>
          <w:noProof/>
          <w:szCs w:val="24"/>
        </w:rPr>
        <w:t xml:space="preserve"> </w:t>
      </w:r>
      <w:r w:rsidRPr="00E81BA1">
        <w:rPr>
          <w:rFonts w:cs="Arial"/>
          <w:b/>
          <w:bCs/>
          <w:noProof/>
          <w:szCs w:val="24"/>
        </w:rPr>
        <w:t>122</w:t>
      </w:r>
      <w:r w:rsidRPr="00E81BA1">
        <w:rPr>
          <w:rFonts w:cs="Arial"/>
          <w:noProof/>
          <w:szCs w:val="24"/>
        </w:rPr>
        <w:t>, 1608–1626 (2018).</w:t>
      </w:r>
    </w:p>
    <w:p w14:paraId="71F83855"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38.</w:t>
      </w:r>
      <w:r w:rsidRPr="00E81BA1">
        <w:rPr>
          <w:rFonts w:cs="Arial"/>
          <w:noProof/>
          <w:szCs w:val="24"/>
        </w:rPr>
        <w:tab/>
        <w:t xml:space="preserve">Gebhardt, J. &amp; Hansen, N. Calculation of binding affinities for linear alcohols to α-cyclodextrin by twin-system enveloping distribution sampling simulations. </w:t>
      </w:r>
      <w:r w:rsidRPr="00E81BA1">
        <w:rPr>
          <w:rFonts w:cs="Arial"/>
          <w:i/>
          <w:iCs/>
          <w:noProof/>
          <w:szCs w:val="24"/>
        </w:rPr>
        <w:t>Fluid Phase Equilib.</w:t>
      </w:r>
      <w:r w:rsidRPr="00E81BA1">
        <w:rPr>
          <w:rFonts w:cs="Arial"/>
          <w:noProof/>
          <w:szCs w:val="24"/>
        </w:rPr>
        <w:t xml:space="preserve"> </w:t>
      </w:r>
      <w:r w:rsidRPr="00E81BA1">
        <w:rPr>
          <w:rFonts w:cs="Arial"/>
          <w:b/>
          <w:bCs/>
          <w:noProof/>
          <w:szCs w:val="24"/>
        </w:rPr>
        <w:t>422</w:t>
      </w:r>
      <w:r w:rsidRPr="00E81BA1">
        <w:rPr>
          <w:rFonts w:cs="Arial"/>
          <w:noProof/>
          <w:szCs w:val="24"/>
        </w:rPr>
        <w:t>, 1–17 (2016).</w:t>
      </w:r>
    </w:p>
    <w:p w14:paraId="5A960A1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39.</w:t>
      </w:r>
      <w:r w:rsidRPr="00E81BA1">
        <w:rPr>
          <w:rFonts w:cs="Arial"/>
          <w:noProof/>
          <w:szCs w:val="24"/>
        </w:rPr>
        <w:tab/>
        <w:t xml:space="preserve">Markthaler, D., Gebhardt, J., Jakobtorweihen, S. &amp; Hansen, N. Molecular Simulations of Thermodynamic Properties for the System α-Cyclodextrin/Alcohol in Aqueous Solution. </w:t>
      </w:r>
      <w:r w:rsidRPr="00E81BA1">
        <w:rPr>
          <w:rFonts w:cs="Arial"/>
          <w:i/>
          <w:iCs/>
          <w:noProof/>
          <w:szCs w:val="24"/>
        </w:rPr>
        <w:t>Chemie Ing. Tech.</w:t>
      </w:r>
      <w:r w:rsidRPr="00E81BA1">
        <w:rPr>
          <w:rFonts w:cs="Arial"/>
          <w:noProof/>
          <w:szCs w:val="24"/>
        </w:rPr>
        <w:t xml:space="preserve"> </w:t>
      </w:r>
      <w:r w:rsidRPr="00E81BA1">
        <w:rPr>
          <w:rFonts w:cs="Arial"/>
          <w:b/>
          <w:bCs/>
          <w:noProof/>
          <w:szCs w:val="24"/>
        </w:rPr>
        <w:t>89</w:t>
      </w:r>
      <w:r w:rsidRPr="00E81BA1">
        <w:rPr>
          <w:rFonts w:cs="Arial"/>
          <w:noProof/>
          <w:szCs w:val="24"/>
        </w:rPr>
        <w:t>, 1306–1314 (2017).</w:t>
      </w:r>
    </w:p>
    <w:p w14:paraId="490D0B50"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40.</w:t>
      </w:r>
      <w:r w:rsidRPr="00E81BA1">
        <w:rPr>
          <w:rFonts w:cs="Arial"/>
          <w:noProof/>
          <w:szCs w:val="24"/>
        </w:rPr>
        <w:tab/>
        <w:t xml:space="preserve">Baz, J., Gebhardt, J., Kraus, H., Markthaler, D. &amp; Hansen, N. Insights into Noncovalent Binding Obtained from Molecular Dynamics Simulations. </w:t>
      </w:r>
      <w:r w:rsidRPr="00E81BA1">
        <w:rPr>
          <w:rFonts w:cs="Arial"/>
          <w:i/>
          <w:iCs/>
          <w:noProof/>
          <w:szCs w:val="24"/>
        </w:rPr>
        <w:t>Chemie Ing. Tech.</w:t>
      </w:r>
      <w:r w:rsidRPr="00E81BA1">
        <w:rPr>
          <w:rFonts w:cs="Arial"/>
          <w:noProof/>
          <w:szCs w:val="24"/>
        </w:rPr>
        <w:t xml:space="preserve"> </w:t>
      </w:r>
      <w:r w:rsidRPr="00E81BA1">
        <w:rPr>
          <w:rFonts w:cs="Arial"/>
          <w:b/>
          <w:bCs/>
          <w:noProof/>
          <w:szCs w:val="24"/>
        </w:rPr>
        <w:t>90</w:t>
      </w:r>
      <w:r w:rsidRPr="00E81BA1">
        <w:rPr>
          <w:rFonts w:cs="Arial"/>
          <w:noProof/>
          <w:szCs w:val="24"/>
        </w:rPr>
        <w:t>, 1864–1875 (2018).</w:t>
      </w:r>
    </w:p>
    <w:p w14:paraId="1477CD70"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41.</w:t>
      </w:r>
      <w:r w:rsidRPr="00E81BA1">
        <w:rPr>
          <w:rFonts w:cs="Arial"/>
          <w:noProof/>
          <w:szCs w:val="24"/>
        </w:rPr>
        <w:tab/>
        <w:t xml:space="preserve">Abraham, M. J. </w:t>
      </w:r>
      <w:r w:rsidRPr="00E81BA1">
        <w:rPr>
          <w:rFonts w:cs="Arial"/>
          <w:i/>
          <w:iCs/>
          <w:noProof/>
          <w:szCs w:val="24"/>
        </w:rPr>
        <w:t>et al.</w:t>
      </w:r>
      <w:r w:rsidRPr="00E81BA1">
        <w:rPr>
          <w:rFonts w:cs="Arial"/>
          <w:noProof/>
          <w:szCs w:val="24"/>
        </w:rPr>
        <w:t xml:space="preserve"> GROMACS: High performance molecular simulations through multi-level parallelism from laptops to supercomputers. </w:t>
      </w:r>
      <w:r w:rsidRPr="00E81BA1">
        <w:rPr>
          <w:rFonts w:cs="Arial"/>
          <w:i/>
          <w:iCs/>
          <w:noProof/>
          <w:szCs w:val="24"/>
        </w:rPr>
        <w:t>SoftwareX</w:t>
      </w:r>
      <w:r w:rsidRPr="00E81BA1">
        <w:rPr>
          <w:rFonts w:cs="Arial"/>
          <w:noProof/>
          <w:szCs w:val="24"/>
        </w:rPr>
        <w:t xml:space="preserve"> </w:t>
      </w:r>
      <w:r w:rsidRPr="00E81BA1">
        <w:rPr>
          <w:rFonts w:cs="Arial"/>
          <w:b/>
          <w:bCs/>
          <w:noProof/>
          <w:szCs w:val="24"/>
        </w:rPr>
        <w:t>1</w:t>
      </w:r>
      <w:r w:rsidRPr="00E81BA1">
        <w:rPr>
          <w:rFonts w:cs="Arial"/>
          <w:noProof/>
          <w:szCs w:val="24"/>
        </w:rPr>
        <w:t>–</w:t>
      </w:r>
      <w:r w:rsidRPr="00E81BA1">
        <w:rPr>
          <w:rFonts w:cs="Arial"/>
          <w:b/>
          <w:bCs/>
          <w:noProof/>
          <w:szCs w:val="24"/>
        </w:rPr>
        <w:t>2</w:t>
      </w:r>
      <w:r w:rsidRPr="00E81BA1">
        <w:rPr>
          <w:rFonts w:cs="Arial"/>
          <w:noProof/>
          <w:szCs w:val="24"/>
        </w:rPr>
        <w:t>, 19–25 (2015).</w:t>
      </w:r>
    </w:p>
    <w:p w14:paraId="5310FF3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42.</w:t>
      </w:r>
      <w:r w:rsidRPr="00E81BA1">
        <w:rPr>
          <w:rFonts w:cs="Arial"/>
          <w:noProof/>
          <w:szCs w:val="24"/>
        </w:rPr>
        <w:tab/>
        <w:t xml:space="preserve">Tribello, G. A., Bonomi, M., Branduardi, D., Camilloni, C. &amp; Bussi, G. PLUMED 2: New feathers for an old bird. </w:t>
      </w:r>
      <w:r w:rsidRPr="00E81BA1">
        <w:rPr>
          <w:rFonts w:cs="Arial"/>
          <w:i/>
          <w:iCs/>
          <w:noProof/>
          <w:szCs w:val="24"/>
        </w:rPr>
        <w:t>Comput. Phys. Commun.</w:t>
      </w:r>
      <w:r w:rsidRPr="00E81BA1">
        <w:rPr>
          <w:rFonts w:cs="Arial"/>
          <w:noProof/>
          <w:szCs w:val="24"/>
        </w:rPr>
        <w:t xml:space="preserve"> </w:t>
      </w:r>
      <w:r w:rsidRPr="00E81BA1">
        <w:rPr>
          <w:rFonts w:cs="Arial"/>
          <w:b/>
          <w:bCs/>
          <w:noProof/>
          <w:szCs w:val="24"/>
        </w:rPr>
        <w:t>185</w:t>
      </w:r>
      <w:r w:rsidRPr="00E81BA1">
        <w:rPr>
          <w:rFonts w:cs="Arial"/>
          <w:noProof/>
          <w:szCs w:val="24"/>
        </w:rPr>
        <w:t>, 604–613 (2014).</w:t>
      </w:r>
    </w:p>
    <w:p w14:paraId="4E1B4C9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43.</w:t>
      </w:r>
      <w:r w:rsidRPr="00E81BA1">
        <w:rPr>
          <w:rFonts w:cs="Arial"/>
          <w:noProof/>
          <w:szCs w:val="24"/>
        </w:rPr>
        <w:tab/>
        <w:t xml:space="preserve">Nosé, S. &amp; Nosi~, S. A molecular dynamics method for simulations in the canonical ensemble. </w:t>
      </w:r>
      <w:r w:rsidRPr="00E81BA1">
        <w:rPr>
          <w:rFonts w:cs="Arial"/>
          <w:i/>
          <w:iCs/>
          <w:noProof/>
          <w:szCs w:val="24"/>
        </w:rPr>
        <w:t>http://dx.doi.org/10.1080/00268978400101201</w:t>
      </w:r>
      <w:r w:rsidRPr="00E81BA1">
        <w:rPr>
          <w:rFonts w:cs="Arial"/>
          <w:noProof/>
          <w:szCs w:val="24"/>
        </w:rPr>
        <w:t xml:space="preserve"> </w:t>
      </w:r>
      <w:r w:rsidRPr="00E81BA1">
        <w:rPr>
          <w:rFonts w:cs="Arial"/>
          <w:b/>
          <w:bCs/>
          <w:noProof/>
          <w:szCs w:val="24"/>
        </w:rPr>
        <w:t>52</w:t>
      </w:r>
      <w:r w:rsidRPr="00E81BA1">
        <w:rPr>
          <w:rFonts w:cs="Arial"/>
          <w:noProof/>
          <w:szCs w:val="24"/>
        </w:rPr>
        <w:t>, 255–268 (2006).</w:t>
      </w:r>
    </w:p>
    <w:p w14:paraId="08567A3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44.</w:t>
      </w:r>
      <w:r w:rsidRPr="00E81BA1">
        <w:rPr>
          <w:rFonts w:cs="Arial"/>
          <w:noProof/>
          <w:szCs w:val="24"/>
        </w:rPr>
        <w:tab/>
        <w:t xml:space="preserve">Hoover, W. G. Canonical dynamics: Equilibrium phase-space distributions. </w:t>
      </w:r>
      <w:r w:rsidRPr="00E81BA1">
        <w:rPr>
          <w:rFonts w:cs="Arial"/>
          <w:i/>
          <w:iCs/>
          <w:noProof/>
          <w:szCs w:val="24"/>
        </w:rPr>
        <w:t>Phys. Rev. A</w:t>
      </w:r>
      <w:r w:rsidRPr="00E81BA1">
        <w:rPr>
          <w:rFonts w:cs="Arial"/>
          <w:noProof/>
          <w:szCs w:val="24"/>
        </w:rPr>
        <w:t xml:space="preserve"> </w:t>
      </w:r>
      <w:r w:rsidRPr="00E81BA1">
        <w:rPr>
          <w:rFonts w:cs="Arial"/>
          <w:b/>
          <w:bCs/>
          <w:noProof/>
          <w:szCs w:val="24"/>
        </w:rPr>
        <w:t>31</w:t>
      </w:r>
      <w:r w:rsidRPr="00E81BA1">
        <w:rPr>
          <w:rFonts w:cs="Arial"/>
          <w:noProof/>
          <w:szCs w:val="24"/>
        </w:rPr>
        <w:t>, 1695 (1985).</w:t>
      </w:r>
    </w:p>
    <w:p w14:paraId="789AD097"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45.</w:t>
      </w:r>
      <w:r w:rsidRPr="00E81BA1">
        <w:rPr>
          <w:rFonts w:cs="Arial"/>
          <w:noProof/>
          <w:szCs w:val="24"/>
        </w:rPr>
        <w:tab/>
        <w:t xml:space="preserve">Parrinello, M. &amp; Rahman, A. Polymorphic transitions in single crystals: A new molecular dynamics method. </w:t>
      </w:r>
      <w:r w:rsidRPr="00E81BA1">
        <w:rPr>
          <w:rFonts w:cs="Arial"/>
          <w:i/>
          <w:iCs/>
          <w:noProof/>
          <w:szCs w:val="24"/>
        </w:rPr>
        <w:t>J. Appl. Phys.</w:t>
      </w:r>
      <w:r w:rsidRPr="00E81BA1">
        <w:rPr>
          <w:rFonts w:cs="Arial"/>
          <w:noProof/>
          <w:szCs w:val="24"/>
        </w:rPr>
        <w:t xml:space="preserve"> </w:t>
      </w:r>
      <w:r w:rsidRPr="00E81BA1">
        <w:rPr>
          <w:rFonts w:cs="Arial"/>
          <w:b/>
          <w:bCs/>
          <w:noProof/>
          <w:szCs w:val="24"/>
        </w:rPr>
        <w:t>52</w:t>
      </w:r>
      <w:r w:rsidRPr="00E81BA1">
        <w:rPr>
          <w:rFonts w:cs="Arial"/>
          <w:noProof/>
          <w:szCs w:val="24"/>
        </w:rPr>
        <w:t>, 7182 (1998).</w:t>
      </w:r>
    </w:p>
    <w:p w14:paraId="6641176E"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46.</w:t>
      </w:r>
      <w:r w:rsidRPr="00E81BA1">
        <w:rPr>
          <w:rFonts w:cs="Arial"/>
          <w:noProof/>
          <w:szCs w:val="24"/>
        </w:rPr>
        <w:tab/>
        <w:t xml:space="preserve">Páll, S. &amp; Hess, B. A flexible algorithm for calculating pair interactions on SIMD architectures. </w:t>
      </w:r>
      <w:r w:rsidRPr="00E81BA1">
        <w:rPr>
          <w:rFonts w:cs="Arial"/>
          <w:i/>
          <w:iCs/>
          <w:noProof/>
          <w:szCs w:val="24"/>
        </w:rPr>
        <w:t>Comput. Phys. Commun.</w:t>
      </w:r>
      <w:r w:rsidRPr="00E81BA1">
        <w:rPr>
          <w:rFonts w:cs="Arial"/>
          <w:noProof/>
          <w:szCs w:val="24"/>
        </w:rPr>
        <w:t xml:space="preserve"> </w:t>
      </w:r>
      <w:r w:rsidRPr="00E81BA1">
        <w:rPr>
          <w:rFonts w:cs="Arial"/>
          <w:b/>
          <w:bCs/>
          <w:noProof/>
          <w:szCs w:val="24"/>
        </w:rPr>
        <w:t>184</w:t>
      </w:r>
      <w:r w:rsidRPr="00E81BA1">
        <w:rPr>
          <w:rFonts w:cs="Arial"/>
          <w:noProof/>
          <w:szCs w:val="24"/>
        </w:rPr>
        <w:t>, 2641–2650 (2013).</w:t>
      </w:r>
    </w:p>
    <w:p w14:paraId="6A2CCA6C"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47.</w:t>
      </w:r>
      <w:r w:rsidRPr="00E81BA1">
        <w:rPr>
          <w:rFonts w:cs="Arial"/>
          <w:noProof/>
          <w:szCs w:val="24"/>
        </w:rPr>
        <w:tab/>
        <w:t xml:space="preserve">Essmann, U. </w:t>
      </w:r>
      <w:r w:rsidRPr="00E81BA1">
        <w:rPr>
          <w:rFonts w:cs="Arial"/>
          <w:i/>
          <w:iCs/>
          <w:noProof/>
          <w:szCs w:val="24"/>
        </w:rPr>
        <w:t>et al.</w:t>
      </w:r>
      <w:r w:rsidRPr="00E81BA1">
        <w:rPr>
          <w:rFonts w:cs="Arial"/>
          <w:noProof/>
          <w:szCs w:val="24"/>
        </w:rPr>
        <w:t xml:space="preserve"> A smooth particle mesh Ewald method. </w:t>
      </w:r>
      <w:r w:rsidRPr="00E81BA1">
        <w:rPr>
          <w:rFonts w:cs="Arial"/>
          <w:i/>
          <w:iCs/>
          <w:noProof/>
          <w:szCs w:val="24"/>
        </w:rPr>
        <w:t>J. Chem. Phys.</w:t>
      </w:r>
      <w:r w:rsidRPr="00E81BA1">
        <w:rPr>
          <w:rFonts w:cs="Arial"/>
          <w:noProof/>
          <w:szCs w:val="24"/>
        </w:rPr>
        <w:t xml:space="preserve"> </w:t>
      </w:r>
      <w:r w:rsidRPr="00E81BA1">
        <w:rPr>
          <w:rFonts w:cs="Arial"/>
          <w:b/>
          <w:bCs/>
          <w:noProof/>
          <w:szCs w:val="24"/>
        </w:rPr>
        <w:t>103</w:t>
      </w:r>
      <w:r w:rsidRPr="00E81BA1">
        <w:rPr>
          <w:rFonts w:cs="Arial"/>
          <w:noProof/>
          <w:szCs w:val="24"/>
        </w:rPr>
        <w:t>, 8577 (1998).</w:t>
      </w:r>
    </w:p>
    <w:p w14:paraId="535E8DEA"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48.</w:t>
      </w:r>
      <w:r w:rsidRPr="00E81BA1">
        <w:rPr>
          <w:rFonts w:cs="Arial"/>
          <w:noProof/>
          <w:szCs w:val="24"/>
        </w:rPr>
        <w:tab/>
        <w:t xml:space="preserve">Hess, B., Bekker, H., Berendsen, H. J. C. &amp; Fraaije, J. G. E. M. LINCS: A Linear Constraint Solver for Molecular Simulations. </w:t>
      </w:r>
      <w:r w:rsidRPr="00E81BA1">
        <w:rPr>
          <w:rFonts w:cs="Arial"/>
          <w:i/>
          <w:iCs/>
          <w:noProof/>
          <w:szCs w:val="24"/>
        </w:rPr>
        <w:t>J Comput Chem</w:t>
      </w:r>
      <w:r w:rsidRPr="00E81BA1">
        <w:rPr>
          <w:rFonts w:cs="Arial"/>
          <w:noProof/>
          <w:szCs w:val="24"/>
        </w:rPr>
        <w:t xml:space="preserve"> </w:t>
      </w:r>
      <w:r w:rsidRPr="00E81BA1">
        <w:rPr>
          <w:rFonts w:cs="Arial"/>
          <w:b/>
          <w:bCs/>
          <w:noProof/>
          <w:szCs w:val="24"/>
        </w:rPr>
        <w:t>18</w:t>
      </w:r>
      <w:r w:rsidRPr="00E81BA1">
        <w:rPr>
          <w:rFonts w:cs="Arial"/>
          <w:noProof/>
          <w:szCs w:val="24"/>
        </w:rPr>
        <w:t>, 14631472 (1997).</w:t>
      </w:r>
    </w:p>
    <w:p w14:paraId="6D772D6F"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lastRenderedPageBreak/>
        <w:t>49.</w:t>
      </w:r>
      <w:r w:rsidRPr="00E81BA1">
        <w:rPr>
          <w:rFonts w:cs="Arial"/>
          <w:noProof/>
          <w:szCs w:val="24"/>
        </w:rPr>
        <w:tab/>
        <w:t xml:space="preserve">Deng, Y. &amp; Roux, B. Computations of standard binding free energies with molecular dynamics simulations. </w:t>
      </w:r>
      <w:r w:rsidRPr="00E81BA1">
        <w:rPr>
          <w:rFonts w:cs="Arial"/>
          <w:i/>
          <w:iCs/>
          <w:noProof/>
          <w:szCs w:val="24"/>
        </w:rPr>
        <w:t>J. Phys. Chem. B</w:t>
      </w:r>
      <w:r w:rsidRPr="00E81BA1">
        <w:rPr>
          <w:rFonts w:cs="Arial"/>
          <w:noProof/>
          <w:szCs w:val="24"/>
        </w:rPr>
        <w:t xml:space="preserve"> </w:t>
      </w:r>
      <w:r w:rsidRPr="00E81BA1">
        <w:rPr>
          <w:rFonts w:cs="Arial"/>
          <w:b/>
          <w:bCs/>
          <w:noProof/>
          <w:szCs w:val="24"/>
        </w:rPr>
        <w:t>113</w:t>
      </w:r>
      <w:r w:rsidRPr="00E81BA1">
        <w:rPr>
          <w:rFonts w:cs="Arial"/>
          <w:noProof/>
          <w:szCs w:val="24"/>
        </w:rPr>
        <w:t>, 2234–2246 (2009).</w:t>
      </w:r>
    </w:p>
    <w:p w14:paraId="1016FCF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50.</w:t>
      </w:r>
      <w:r w:rsidRPr="00E81BA1">
        <w:rPr>
          <w:rFonts w:cs="Arial"/>
          <w:noProof/>
          <w:szCs w:val="24"/>
        </w:rPr>
        <w:tab/>
        <w:t>Hermans, J. &amp; Wang, L. Inclusion of Loss of Translational and Rotational Freedom in Theoretical Estimates of Free Energies of Binding. Application to a Complex of Benzene and Mutant T4 Lysozyme. (1997) doi:10.1021/JA963568.</w:t>
      </w:r>
    </w:p>
    <w:p w14:paraId="5CF2D96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51.</w:t>
      </w:r>
      <w:r w:rsidRPr="00E81BA1">
        <w:rPr>
          <w:rFonts w:cs="Arial"/>
          <w:noProof/>
          <w:szCs w:val="24"/>
        </w:rPr>
        <w:tab/>
        <w:t xml:space="preserve">Sugita, Y., Kitao, A. &amp; Okamoto, Y. Multidimensional replica-exchange method for free-energy calculations. </w:t>
      </w:r>
      <w:r w:rsidRPr="00E81BA1">
        <w:rPr>
          <w:rFonts w:cs="Arial"/>
          <w:i/>
          <w:iCs/>
          <w:noProof/>
          <w:szCs w:val="24"/>
        </w:rPr>
        <w:t>J. Chem. Phys.</w:t>
      </w:r>
      <w:r w:rsidRPr="00E81BA1">
        <w:rPr>
          <w:rFonts w:cs="Arial"/>
          <w:noProof/>
          <w:szCs w:val="24"/>
        </w:rPr>
        <w:t xml:space="preserve"> </w:t>
      </w:r>
      <w:r w:rsidRPr="00E81BA1">
        <w:rPr>
          <w:rFonts w:cs="Arial"/>
          <w:b/>
          <w:bCs/>
          <w:noProof/>
          <w:szCs w:val="24"/>
        </w:rPr>
        <w:t>113</w:t>
      </w:r>
      <w:r w:rsidRPr="00E81BA1">
        <w:rPr>
          <w:rFonts w:cs="Arial"/>
          <w:noProof/>
          <w:szCs w:val="24"/>
        </w:rPr>
        <w:t>, 6042 (2000).</w:t>
      </w:r>
    </w:p>
    <w:p w14:paraId="6B8B508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52.</w:t>
      </w:r>
      <w:r w:rsidRPr="00E81BA1">
        <w:rPr>
          <w:rFonts w:cs="Arial"/>
          <w:noProof/>
          <w:szCs w:val="24"/>
        </w:rPr>
        <w:tab/>
        <w:t xml:space="preserve">Bussi, G. Hamiltonian replica exchange in GROMACS: a flexible implementation. </w:t>
      </w:r>
      <w:r w:rsidRPr="00E81BA1">
        <w:rPr>
          <w:rFonts w:cs="Arial"/>
          <w:i/>
          <w:iCs/>
          <w:noProof/>
          <w:szCs w:val="24"/>
        </w:rPr>
        <w:t>https://doi.org/10.1080/00268976.2013.824126</w:t>
      </w:r>
      <w:r w:rsidRPr="00E81BA1">
        <w:rPr>
          <w:rFonts w:cs="Arial"/>
          <w:noProof/>
          <w:szCs w:val="24"/>
        </w:rPr>
        <w:t xml:space="preserve"> </w:t>
      </w:r>
      <w:r w:rsidRPr="00E81BA1">
        <w:rPr>
          <w:rFonts w:cs="Arial"/>
          <w:b/>
          <w:bCs/>
          <w:noProof/>
          <w:szCs w:val="24"/>
        </w:rPr>
        <w:t>112</w:t>
      </w:r>
      <w:r w:rsidRPr="00E81BA1">
        <w:rPr>
          <w:rFonts w:cs="Arial"/>
          <w:noProof/>
          <w:szCs w:val="24"/>
        </w:rPr>
        <w:t>, 379–384 (2013).</w:t>
      </w:r>
    </w:p>
    <w:p w14:paraId="5A9D64DF"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53.</w:t>
      </w:r>
      <w:r w:rsidRPr="00E81BA1">
        <w:rPr>
          <w:rFonts w:cs="Arial"/>
          <w:noProof/>
          <w:szCs w:val="24"/>
        </w:rPr>
        <w:tab/>
        <w:t xml:space="preserve">Shirts, M. R. &amp; Chodera, J. D. Statistically optimal analysis of samples from multiple equilibrium states. </w:t>
      </w:r>
      <w:r w:rsidRPr="00E81BA1">
        <w:rPr>
          <w:rFonts w:cs="Arial"/>
          <w:i/>
          <w:iCs/>
          <w:noProof/>
          <w:szCs w:val="24"/>
        </w:rPr>
        <w:t>J. Chem. Phys.</w:t>
      </w:r>
      <w:r w:rsidRPr="00E81BA1">
        <w:rPr>
          <w:rFonts w:cs="Arial"/>
          <w:noProof/>
          <w:szCs w:val="24"/>
        </w:rPr>
        <w:t xml:space="preserve"> </w:t>
      </w:r>
      <w:r w:rsidRPr="00E81BA1">
        <w:rPr>
          <w:rFonts w:cs="Arial"/>
          <w:b/>
          <w:bCs/>
          <w:noProof/>
          <w:szCs w:val="24"/>
        </w:rPr>
        <w:t>129</w:t>
      </w:r>
      <w:r w:rsidRPr="00E81BA1">
        <w:rPr>
          <w:rFonts w:cs="Arial"/>
          <w:noProof/>
          <w:szCs w:val="24"/>
        </w:rPr>
        <w:t>, 124105 (2008).</w:t>
      </w:r>
    </w:p>
    <w:p w14:paraId="63339567"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54.</w:t>
      </w:r>
      <w:r w:rsidRPr="00E81BA1">
        <w:rPr>
          <w:rFonts w:cs="Arial"/>
          <w:noProof/>
          <w:szCs w:val="24"/>
        </w:rPr>
        <w:tab/>
        <w:t xml:space="preserve">Klimovich, P. V., Shirts, M. R. &amp; Mobley, D. L. Guidelines for the analysis of free energy calculations. </w:t>
      </w:r>
      <w:r w:rsidRPr="00E81BA1">
        <w:rPr>
          <w:rFonts w:cs="Arial"/>
          <w:i/>
          <w:iCs/>
          <w:noProof/>
          <w:szCs w:val="24"/>
        </w:rPr>
        <w:t>J. Comput. Aided. Mol. Des.</w:t>
      </w:r>
      <w:r w:rsidRPr="00E81BA1">
        <w:rPr>
          <w:rFonts w:cs="Arial"/>
          <w:noProof/>
          <w:szCs w:val="24"/>
        </w:rPr>
        <w:t xml:space="preserve"> </w:t>
      </w:r>
      <w:r w:rsidRPr="00E81BA1">
        <w:rPr>
          <w:rFonts w:cs="Arial"/>
          <w:b/>
          <w:bCs/>
          <w:noProof/>
          <w:szCs w:val="24"/>
        </w:rPr>
        <w:t>29</w:t>
      </w:r>
      <w:r w:rsidRPr="00E81BA1">
        <w:rPr>
          <w:rFonts w:cs="Arial"/>
          <w:noProof/>
          <w:szCs w:val="24"/>
        </w:rPr>
        <w:t>, 397–411 (2015).</w:t>
      </w:r>
    </w:p>
    <w:p w14:paraId="4CF77AD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55.</w:t>
      </w:r>
      <w:r w:rsidRPr="00E81BA1">
        <w:rPr>
          <w:rFonts w:cs="Arial"/>
          <w:noProof/>
          <w:szCs w:val="24"/>
        </w:rPr>
        <w:tab/>
        <w:t xml:space="preserve">Markthaler, D., Jakobtorweihen, S. &amp; Hansen, N. Lessons Learned from the Calculation of One-Dimensional Potentials of Mean Force [Article v1.0]. </w:t>
      </w:r>
      <w:r w:rsidRPr="00E81BA1">
        <w:rPr>
          <w:rFonts w:cs="Arial"/>
          <w:i/>
          <w:iCs/>
          <w:noProof/>
          <w:szCs w:val="24"/>
        </w:rPr>
        <w:t>Living J. Comput. Mol. Sci.</w:t>
      </w:r>
      <w:r w:rsidRPr="00E81BA1">
        <w:rPr>
          <w:rFonts w:cs="Arial"/>
          <w:noProof/>
          <w:szCs w:val="24"/>
        </w:rPr>
        <w:t xml:space="preserve"> </w:t>
      </w:r>
      <w:r w:rsidRPr="00E81BA1">
        <w:rPr>
          <w:rFonts w:cs="Arial"/>
          <w:b/>
          <w:bCs/>
          <w:noProof/>
          <w:szCs w:val="24"/>
        </w:rPr>
        <w:t>1</w:t>
      </w:r>
      <w:r w:rsidRPr="00E81BA1">
        <w:rPr>
          <w:rFonts w:cs="Arial"/>
          <w:noProof/>
          <w:szCs w:val="24"/>
        </w:rPr>
        <w:t>, 11073–11073 (2019).</w:t>
      </w:r>
    </w:p>
    <w:p w14:paraId="4D2F7B1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56.</w:t>
      </w:r>
      <w:r w:rsidRPr="00E81BA1">
        <w:rPr>
          <w:rFonts w:cs="Arial"/>
          <w:noProof/>
          <w:szCs w:val="24"/>
        </w:rPr>
        <w:tab/>
        <w:t xml:space="preserve">Reinert, D. J., Balliano, G. &amp; Schulz, G. E. Conversion of Squalene to the Pentacarbocyclic Hopene. </w:t>
      </w:r>
      <w:r w:rsidRPr="00E81BA1">
        <w:rPr>
          <w:rFonts w:cs="Arial"/>
          <w:i/>
          <w:iCs/>
          <w:noProof/>
          <w:szCs w:val="24"/>
        </w:rPr>
        <w:t>Chem. Biol.</w:t>
      </w:r>
      <w:r w:rsidRPr="00E81BA1">
        <w:rPr>
          <w:rFonts w:cs="Arial"/>
          <w:noProof/>
          <w:szCs w:val="24"/>
        </w:rPr>
        <w:t xml:space="preserve"> </w:t>
      </w:r>
      <w:r w:rsidRPr="00E81BA1">
        <w:rPr>
          <w:rFonts w:cs="Arial"/>
          <w:b/>
          <w:bCs/>
          <w:noProof/>
          <w:szCs w:val="24"/>
        </w:rPr>
        <w:t>11</w:t>
      </w:r>
      <w:r w:rsidRPr="00E81BA1">
        <w:rPr>
          <w:rFonts w:cs="Arial"/>
          <w:noProof/>
          <w:szCs w:val="24"/>
        </w:rPr>
        <w:t>, 121–126 (2004).</w:t>
      </w:r>
    </w:p>
    <w:p w14:paraId="31911E88"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57.</w:t>
      </w:r>
      <w:r w:rsidRPr="00E81BA1">
        <w:rPr>
          <w:rFonts w:cs="Arial"/>
          <w:noProof/>
          <w:szCs w:val="24"/>
        </w:rPr>
        <w:tab/>
        <w:t xml:space="preserve">Seitz, M. </w:t>
      </w:r>
      <w:r w:rsidRPr="00E81BA1">
        <w:rPr>
          <w:rFonts w:cs="Arial"/>
          <w:i/>
          <w:iCs/>
          <w:noProof/>
          <w:szCs w:val="24"/>
        </w:rPr>
        <w:t>et al.</w:t>
      </w:r>
      <w:r w:rsidRPr="00E81BA1">
        <w:rPr>
          <w:rFonts w:cs="Arial"/>
          <w:noProof/>
          <w:szCs w:val="24"/>
        </w:rPr>
        <w:t xml:space="preserve"> Synthesis of Heterocyclic Terpenoids by Promiscuous Squalene-Hopene Cyclases. </w:t>
      </w:r>
      <w:r w:rsidRPr="00E81BA1">
        <w:rPr>
          <w:rFonts w:cs="Arial"/>
          <w:i/>
          <w:iCs/>
          <w:noProof/>
          <w:szCs w:val="24"/>
        </w:rPr>
        <w:t>ChemBioChem</w:t>
      </w:r>
      <w:r w:rsidRPr="00E81BA1">
        <w:rPr>
          <w:rFonts w:cs="Arial"/>
          <w:noProof/>
          <w:szCs w:val="24"/>
        </w:rPr>
        <w:t xml:space="preserve"> </w:t>
      </w:r>
      <w:r w:rsidRPr="00E81BA1">
        <w:rPr>
          <w:rFonts w:cs="Arial"/>
          <w:b/>
          <w:bCs/>
          <w:noProof/>
          <w:szCs w:val="24"/>
        </w:rPr>
        <w:t>14</w:t>
      </w:r>
      <w:r w:rsidRPr="00E81BA1">
        <w:rPr>
          <w:rFonts w:cs="Arial"/>
          <w:noProof/>
          <w:szCs w:val="24"/>
        </w:rPr>
        <w:t>, 436–439 (2013).</w:t>
      </w:r>
    </w:p>
    <w:p w14:paraId="274D1BB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58.</w:t>
      </w:r>
      <w:r w:rsidRPr="00E81BA1">
        <w:rPr>
          <w:rFonts w:cs="Arial"/>
          <w:noProof/>
          <w:szCs w:val="24"/>
        </w:rPr>
        <w:tab/>
        <w:t xml:space="preserve">Bolster, M. G., Jansen, B. J. M. &amp; De Groot, A. The synthesis of (-)-Ambrox® starting from labdanolic acid. </w:t>
      </w:r>
      <w:r w:rsidRPr="00E81BA1">
        <w:rPr>
          <w:rFonts w:cs="Arial"/>
          <w:i/>
          <w:iCs/>
          <w:noProof/>
          <w:szCs w:val="24"/>
        </w:rPr>
        <w:t>Tetrahedron</w:t>
      </w:r>
      <w:r w:rsidRPr="00E81BA1">
        <w:rPr>
          <w:rFonts w:cs="Arial"/>
          <w:noProof/>
          <w:szCs w:val="24"/>
        </w:rPr>
        <w:t xml:space="preserve"> </w:t>
      </w:r>
      <w:r w:rsidRPr="00E81BA1">
        <w:rPr>
          <w:rFonts w:cs="Arial"/>
          <w:b/>
          <w:bCs/>
          <w:noProof/>
          <w:szCs w:val="24"/>
        </w:rPr>
        <w:t>57</w:t>
      </w:r>
      <w:r w:rsidRPr="00E81BA1">
        <w:rPr>
          <w:rFonts w:cs="Arial"/>
          <w:noProof/>
          <w:szCs w:val="24"/>
        </w:rPr>
        <w:t>, 5657–5662 (2001).</w:t>
      </w:r>
    </w:p>
    <w:p w14:paraId="542C892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59.</w:t>
      </w:r>
      <w:r w:rsidRPr="00E81BA1">
        <w:rPr>
          <w:rFonts w:cs="Arial"/>
          <w:noProof/>
          <w:szCs w:val="24"/>
        </w:rPr>
        <w:tab/>
        <w:t xml:space="preserve">Serra, S. An expedient preparation of enantio-enriched ambergris odorants starting from commercial ionone alpha. </w:t>
      </w:r>
      <w:r w:rsidRPr="00E81BA1">
        <w:rPr>
          <w:rFonts w:cs="Arial"/>
          <w:i/>
          <w:iCs/>
          <w:noProof/>
          <w:szCs w:val="24"/>
        </w:rPr>
        <w:t>Flavour Fragr. J.</w:t>
      </w:r>
      <w:r w:rsidRPr="00E81BA1">
        <w:rPr>
          <w:rFonts w:cs="Arial"/>
          <w:noProof/>
          <w:szCs w:val="24"/>
        </w:rPr>
        <w:t xml:space="preserve"> </w:t>
      </w:r>
      <w:r w:rsidRPr="00E81BA1">
        <w:rPr>
          <w:rFonts w:cs="Arial"/>
          <w:b/>
          <w:bCs/>
          <w:noProof/>
          <w:szCs w:val="24"/>
        </w:rPr>
        <w:t>28</w:t>
      </w:r>
      <w:r w:rsidRPr="00E81BA1">
        <w:rPr>
          <w:rFonts w:cs="Arial"/>
          <w:noProof/>
          <w:szCs w:val="24"/>
        </w:rPr>
        <w:t>, 46–52 (2013).</w:t>
      </w:r>
    </w:p>
    <w:p w14:paraId="4B958E6E"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60.</w:t>
      </w:r>
      <w:r w:rsidRPr="00E81BA1">
        <w:rPr>
          <w:rFonts w:cs="Arial"/>
          <w:noProof/>
          <w:szCs w:val="24"/>
        </w:rPr>
        <w:tab/>
        <w:t xml:space="preserve">Kulciţki, V., Ungur, N., Gavagnin, M., Carbone, M. &amp; Cimino, G. Further Synthetic Studies Towards the Austrodorane Skeleton: Synthesis of Austrodoral. </w:t>
      </w:r>
      <w:r w:rsidRPr="00E81BA1">
        <w:rPr>
          <w:rFonts w:cs="Arial"/>
          <w:i/>
          <w:iCs/>
          <w:noProof/>
          <w:szCs w:val="24"/>
        </w:rPr>
        <w:t>European J. Org. Chem.</w:t>
      </w:r>
      <w:r w:rsidRPr="00E81BA1">
        <w:rPr>
          <w:rFonts w:cs="Arial"/>
          <w:noProof/>
          <w:szCs w:val="24"/>
        </w:rPr>
        <w:t xml:space="preserve"> </w:t>
      </w:r>
      <w:r w:rsidRPr="00E81BA1">
        <w:rPr>
          <w:rFonts w:cs="Arial"/>
          <w:b/>
          <w:bCs/>
          <w:noProof/>
          <w:szCs w:val="24"/>
        </w:rPr>
        <w:t>2005</w:t>
      </w:r>
      <w:r w:rsidRPr="00E81BA1">
        <w:rPr>
          <w:rFonts w:cs="Arial"/>
          <w:noProof/>
          <w:szCs w:val="24"/>
        </w:rPr>
        <w:t>, 1816–1822 (2005).</w:t>
      </w:r>
    </w:p>
    <w:p w14:paraId="4385EAD3"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61.</w:t>
      </w:r>
      <w:r w:rsidRPr="00E81BA1">
        <w:rPr>
          <w:rFonts w:cs="Arial"/>
          <w:noProof/>
          <w:szCs w:val="24"/>
        </w:rPr>
        <w:tab/>
        <w:t xml:space="preserve">Tanimoto, H. &amp; Oritani, T. Practical synthesis of Ambrox® from farnesyl acetate involving lipase catalyzed resolution. </w:t>
      </w:r>
      <w:r w:rsidRPr="00E81BA1">
        <w:rPr>
          <w:rFonts w:cs="Arial"/>
          <w:i/>
          <w:iCs/>
          <w:noProof/>
          <w:szCs w:val="24"/>
        </w:rPr>
        <w:t>Tetrahedron: Asymmetry</w:t>
      </w:r>
      <w:r w:rsidRPr="00E81BA1">
        <w:rPr>
          <w:rFonts w:cs="Arial"/>
          <w:noProof/>
          <w:szCs w:val="24"/>
        </w:rPr>
        <w:t xml:space="preserve"> </w:t>
      </w:r>
      <w:r w:rsidRPr="00E81BA1">
        <w:rPr>
          <w:rFonts w:cs="Arial"/>
          <w:b/>
          <w:bCs/>
          <w:noProof/>
          <w:szCs w:val="24"/>
        </w:rPr>
        <w:t>7</w:t>
      </w:r>
      <w:r w:rsidRPr="00E81BA1">
        <w:rPr>
          <w:rFonts w:cs="Arial"/>
          <w:noProof/>
          <w:szCs w:val="24"/>
        </w:rPr>
        <w:t>, 1695–1704 (1996).</w:t>
      </w:r>
    </w:p>
    <w:p w14:paraId="038E8AD4"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62.</w:t>
      </w:r>
      <w:r w:rsidRPr="00E81BA1">
        <w:rPr>
          <w:rFonts w:cs="Arial"/>
          <w:noProof/>
          <w:szCs w:val="24"/>
        </w:rPr>
        <w:tab/>
        <w:t xml:space="preserve">Urban, S. &amp; Capon, R. J. Absolute stereochemistry of puupehenone and related metabolites. </w:t>
      </w:r>
      <w:r w:rsidRPr="00E81BA1">
        <w:rPr>
          <w:rFonts w:cs="Arial"/>
          <w:i/>
          <w:iCs/>
          <w:noProof/>
          <w:szCs w:val="24"/>
        </w:rPr>
        <w:t>J. Nat. Prod.</w:t>
      </w:r>
      <w:r w:rsidRPr="00E81BA1">
        <w:rPr>
          <w:rFonts w:cs="Arial"/>
          <w:noProof/>
          <w:szCs w:val="24"/>
        </w:rPr>
        <w:t xml:space="preserve"> </w:t>
      </w:r>
      <w:r w:rsidRPr="00E81BA1">
        <w:rPr>
          <w:rFonts w:cs="Arial"/>
          <w:b/>
          <w:bCs/>
          <w:noProof/>
          <w:szCs w:val="24"/>
        </w:rPr>
        <w:t>59</w:t>
      </w:r>
      <w:r w:rsidRPr="00E81BA1">
        <w:rPr>
          <w:rFonts w:cs="Arial"/>
          <w:noProof/>
          <w:szCs w:val="24"/>
        </w:rPr>
        <w:t>, 900–901 (1996).</w:t>
      </w:r>
    </w:p>
    <w:p w14:paraId="0E70A94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lastRenderedPageBreak/>
        <w:t>63.</w:t>
      </w:r>
      <w:r w:rsidRPr="00E81BA1">
        <w:rPr>
          <w:rFonts w:cs="Arial"/>
          <w:noProof/>
          <w:szCs w:val="24"/>
        </w:rPr>
        <w:tab/>
        <w:t xml:space="preserve">Novaes, L. F. T., Gonçalves, K. D. A., Trivella, D. B. B. &amp; Pastre, J. C. Formal Total Synthesis of Actinoranone: Synthesis Approaches and Cytotoxic Studies. </w:t>
      </w:r>
      <w:r w:rsidRPr="00E81BA1">
        <w:rPr>
          <w:rFonts w:cs="Arial"/>
          <w:i/>
          <w:iCs/>
          <w:noProof/>
          <w:szCs w:val="24"/>
        </w:rPr>
        <w:t>J. Org. Chem.</w:t>
      </w:r>
      <w:r w:rsidRPr="00E81BA1">
        <w:rPr>
          <w:rFonts w:cs="Arial"/>
          <w:noProof/>
          <w:szCs w:val="24"/>
        </w:rPr>
        <w:t xml:space="preserve"> </w:t>
      </w:r>
      <w:r w:rsidRPr="00E81BA1">
        <w:rPr>
          <w:rFonts w:cs="Arial"/>
          <w:b/>
          <w:bCs/>
          <w:noProof/>
          <w:szCs w:val="24"/>
        </w:rPr>
        <w:t>83</w:t>
      </w:r>
      <w:r w:rsidRPr="00E81BA1">
        <w:rPr>
          <w:rFonts w:cs="Arial"/>
          <w:noProof/>
          <w:szCs w:val="24"/>
        </w:rPr>
        <w:t>, 5160–5176 (2018).</w:t>
      </w:r>
    </w:p>
    <w:p w14:paraId="1319EBF9"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64.</w:t>
      </w:r>
      <w:r w:rsidRPr="00E81BA1">
        <w:rPr>
          <w:rFonts w:cs="Arial"/>
          <w:noProof/>
          <w:szCs w:val="24"/>
        </w:rPr>
        <w:tab/>
        <w:t xml:space="preserve">Hoshino, T., Kumai, Y., Kudo, I., Nakano, S. I. &amp; Ohashi, S. Enzymatic cyclization reactions of geraniol, farnesol and geranylgeraniol, and those of truncated squalene analogs having C20 and C25 by recombinant squalene cyclase. </w:t>
      </w:r>
      <w:r w:rsidRPr="00E81BA1">
        <w:rPr>
          <w:rFonts w:cs="Arial"/>
          <w:i/>
          <w:iCs/>
          <w:noProof/>
          <w:szCs w:val="24"/>
        </w:rPr>
        <w:t>Org. Biomol. Chem.</w:t>
      </w:r>
      <w:r w:rsidRPr="00E81BA1">
        <w:rPr>
          <w:rFonts w:cs="Arial"/>
          <w:noProof/>
          <w:szCs w:val="24"/>
        </w:rPr>
        <w:t xml:space="preserve"> </w:t>
      </w:r>
      <w:r w:rsidRPr="00E81BA1">
        <w:rPr>
          <w:rFonts w:cs="Arial"/>
          <w:b/>
          <w:bCs/>
          <w:noProof/>
          <w:szCs w:val="24"/>
        </w:rPr>
        <w:t>2</w:t>
      </w:r>
      <w:r w:rsidRPr="00E81BA1">
        <w:rPr>
          <w:rFonts w:cs="Arial"/>
          <w:noProof/>
          <w:szCs w:val="24"/>
        </w:rPr>
        <w:t>, 2650–2657 (2004).</w:t>
      </w:r>
    </w:p>
    <w:p w14:paraId="647E5C43"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65.</w:t>
      </w:r>
      <w:r w:rsidRPr="00E81BA1">
        <w:rPr>
          <w:rFonts w:cs="Arial"/>
          <w:noProof/>
          <w:szCs w:val="24"/>
        </w:rPr>
        <w:tab/>
        <w:t xml:space="preserve">Basabe, P. </w:t>
      </w:r>
      <w:r w:rsidRPr="00E81BA1">
        <w:rPr>
          <w:rFonts w:cs="Arial"/>
          <w:i/>
          <w:iCs/>
          <w:noProof/>
          <w:szCs w:val="24"/>
        </w:rPr>
        <w:t>et al.</w:t>
      </w:r>
      <w:r w:rsidRPr="00E81BA1">
        <w:rPr>
          <w:rFonts w:cs="Arial"/>
          <w:noProof/>
          <w:szCs w:val="24"/>
        </w:rPr>
        <w:t xml:space="preserve"> Synthesis of three marine natural sesterterpenolides from methyl isoanticopalate. First enantioselective synthesis of luffolide. </w:t>
      </w:r>
      <w:r w:rsidRPr="00E81BA1">
        <w:rPr>
          <w:rFonts w:cs="Arial"/>
          <w:i/>
          <w:iCs/>
          <w:noProof/>
          <w:szCs w:val="24"/>
        </w:rPr>
        <w:t>J. Org. Chem.</w:t>
      </w:r>
      <w:r w:rsidRPr="00E81BA1">
        <w:rPr>
          <w:rFonts w:cs="Arial"/>
          <w:noProof/>
          <w:szCs w:val="24"/>
        </w:rPr>
        <w:t xml:space="preserve"> </w:t>
      </w:r>
      <w:r w:rsidRPr="00E81BA1">
        <w:rPr>
          <w:rFonts w:cs="Arial"/>
          <w:b/>
          <w:bCs/>
          <w:noProof/>
          <w:szCs w:val="24"/>
        </w:rPr>
        <w:t>70</w:t>
      </w:r>
      <w:r w:rsidRPr="00E81BA1">
        <w:rPr>
          <w:rFonts w:cs="Arial"/>
          <w:noProof/>
          <w:szCs w:val="24"/>
        </w:rPr>
        <w:t>, 9480–9485 (2005).</w:t>
      </w:r>
    </w:p>
    <w:p w14:paraId="5EA66801" w14:textId="77777777" w:rsidR="00E81BA1" w:rsidRPr="00E81BA1" w:rsidRDefault="00E81BA1" w:rsidP="00E81BA1">
      <w:pPr>
        <w:widowControl w:val="0"/>
        <w:autoSpaceDE w:val="0"/>
        <w:autoSpaceDN w:val="0"/>
        <w:adjustRightInd w:val="0"/>
        <w:ind w:left="640" w:hanging="640"/>
        <w:rPr>
          <w:rFonts w:cs="Arial"/>
          <w:noProof/>
          <w:szCs w:val="24"/>
        </w:rPr>
      </w:pPr>
      <w:r w:rsidRPr="00E81BA1">
        <w:rPr>
          <w:rFonts w:cs="Arial"/>
          <w:noProof/>
          <w:szCs w:val="24"/>
        </w:rPr>
        <w:t>66.</w:t>
      </w:r>
      <w:r w:rsidRPr="00E81BA1">
        <w:rPr>
          <w:rFonts w:cs="Arial"/>
          <w:noProof/>
          <w:szCs w:val="24"/>
        </w:rPr>
        <w:tab/>
        <w:t xml:space="preserve">Imamura, P. M. &amp; Santiago, G. M. P. Chlorosulfonic acid mediated cyclization of homoterpenic acid. </w:t>
      </w:r>
      <w:r w:rsidRPr="00E81BA1">
        <w:rPr>
          <w:rFonts w:cs="Arial"/>
          <w:i/>
          <w:iCs/>
          <w:noProof/>
          <w:szCs w:val="24"/>
        </w:rPr>
        <w:t>Synth. Commun.</w:t>
      </w:r>
      <w:r w:rsidRPr="00E81BA1">
        <w:rPr>
          <w:rFonts w:cs="Arial"/>
          <w:noProof/>
          <w:szCs w:val="24"/>
        </w:rPr>
        <w:t xml:space="preserve"> </w:t>
      </w:r>
      <w:r w:rsidRPr="00E81BA1">
        <w:rPr>
          <w:rFonts w:cs="Arial"/>
          <w:b/>
          <w:bCs/>
          <w:noProof/>
          <w:szCs w:val="24"/>
        </w:rPr>
        <w:t>27</w:t>
      </w:r>
      <w:r w:rsidRPr="00E81BA1">
        <w:rPr>
          <w:rFonts w:cs="Arial"/>
          <w:noProof/>
          <w:szCs w:val="24"/>
        </w:rPr>
        <w:t>, 2479–2485 (1997).</w:t>
      </w:r>
    </w:p>
    <w:p w14:paraId="30F0DD42" w14:textId="77777777" w:rsidR="00E81BA1" w:rsidRPr="00E81BA1" w:rsidRDefault="00E81BA1" w:rsidP="00E81BA1">
      <w:pPr>
        <w:widowControl w:val="0"/>
        <w:autoSpaceDE w:val="0"/>
        <w:autoSpaceDN w:val="0"/>
        <w:adjustRightInd w:val="0"/>
        <w:ind w:left="640" w:hanging="640"/>
        <w:rPr>
          <w:rFonts w:cs="Arial"/>
          <w:noProof/>
        </w:rPr>
      </w:pPr>
      <w:r w:rsidRPr="00E81BA1">
        <w:rPr>
          <w:rFonts w:cs="Arial"/>
          <w:noProof/>
          <w:szCs w:val="24"/>
        </w:rPr>
        <w:t>67.</w:t>
      </w:r>
      <w:r w:rsidRPr="00E81BA1">
        <w:rPr>
          <w:rFonts w:cs="Arial"/>
          <w:noProof/>
          <w:szCs w:val="24"/>
        </w:rPr>
        <w:tab/>
        <w:t xml:space="preserve">Shulcts, E. E., Mironov, M. E., Kharitonov, Y. V &amp; Vorozhtsov, N. N. FURANODITERPENOIDS OF THE LABDANE SERIES: OCCURRENCE IN PLANTS, TOTAL SYNTHESIS, SEVERAL TRANSFORMATIONS, AND BIOLOGICAL ACTIVITY. </w:t>
      </w:r>
      <w:r w:rsidRPr="00E81BA1">
        <w:rPr>
          <w:rFonts w:cs="Arial"/>
          <w:i/>
          <w:iCs/>
          <w:noProof/>
          <w:szCs w:val="24"/>
        </w:rPr>
        <w:t>Chem. Nat. Compd.</w:t>
      </w:r>
      <w:r w:rsidRPr="00E81BA1">
        <w:rPr>
          <w:rFonts w:cs="Arial"/>
          <w:noProof/>
          <w:szCs w:val="24"/>
        </w:rPr>
        <w:t xml:space="preserve"> </w:t>
      </w:r>
      <w:r w:rsidRPr="00E81BA1">
        <w:rPr>
          <w:rFonts w:cs="Arial"/>
          <w:b/>
          <w:bCs/>
          <w:noProof/>
          <w:szCs w:val="24"/>
        </w:rPr>
        <w:t>50</w:t>
      </w:r>
      <w:r w:rsidRPr="00E81BA1">
        <w:rPr>
          <w:rFonts w:cs="Arial"/>
          <w:noProof/>
          <w:szCs w:val="24"/>
        </w:rPr>
        <w:t>, 5–22 (2014).</w:t>
      </w:r>
    </w:p>
    <w:p w14:paraId="7E6180F5" w14:textId="0F6B76D4" w:rsidR="00156E64" w:rsidRPr="00156E64" w:rsidRDefault="00156E64" w:rsidP="00156E64">
      <w:r>
        <w:fldChar w:fldCharType="end"/>
      </w:r>
    </w:p>
    <w:sectPr w:rsidR="00156E64" w:rsidRPr="00156E64" w:rsidSect="0073206E">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B812EF" w14:textId="77777777" w:rsidR="00BF2A69" w:rsidRDefault="00BF2A69" w:rsidP="003E1CDE">
      <w:pPr>
        <w:spacing w:after="0" w:line="240" w:lineRule="auto"/>
      </w:pPr>
      <w:r>
        <w:separator/>
      </w:r>
    </w:p>
  </w:endnote>
  <w:endnote w:type="continuationSeparator" w:id="0">
    <w:p w14:paraId="1267CBE2" w14:textId="77777777" w:rsidR="00BF2A69" w:rsidRDefault="00BF2A69" w:rsidP="003E1C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00"/>
    <w:family w:val="roman"/>
    <w:pitch w:val="default"/>
  </w:font>
  <w:font w:name="Helvetica">
    <w:panose1 w:val="020B0604020202020204"/>
    <w:charset w:val="00"/>
    <w:family w:val="swiss"/>
    <w:pitch w:val="variable"/>
    <w:sig w:usb0="20002A87" w:usb1="00000000" w:usb2="00000000" w:usb3="00000000" w:csb0="000001F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4135153"/>
      <w:docPartObj>
        <w:docPartGallery w:val="Page Numbers (Bottom of Page)"/>
        <w:docPartUnique/>
      </w:docPartObj>
    </w:sdtPr>
    <w:sdtEndPr/>
    <w:sdtContent>
      <w:p w14:paraId="7F9947E3" w14:textId="52B380A0" w:rsidR="00377CDA" w:rsidRDefault="00377CDA">
        <w:pPr>
          <w:pStyle w:val="Footer"/>
          <w:jc w:val="center"/>
        </w:pPr>
        <w:r>
          <w:fldChar w:fldCharType="begin"/>
        </w:r>
        <w:r>
          <w:instrText>PAGE   \* MERGEFORMAT</w:instrText>
        </w:r>
        <w:r>
          <w:fldChar w:fldCharType="separate"/>
        </w:r>
        <w:r>
          <w:t>2</w:t>
        </w:r>
        <w:r>
          <w:fldChar w:fldCharType="end"/>
        </w:r>
      </w:p>
    </w:sdtContent>
  </w:sdt>
  <w:p w14:paraId="6A88B769" w14:textId="77777777" w:rsidR="00377CDA" w:rsidRDefault="00377C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F50E02" w14:textId="77777777" w:rsidR="00BF2A69" w:rsidRDefault="00BF2A69" w:rsidP="003E1CDE">
      <w:pPr>
        <w:spacing w:after="0" w:line="240" w:lineRule="auto"/>
      </w:pPr>
      <w:r>
        <w:separator/>
      </w:r>
    </w:p>
  </w:footnote>
  <w:footnote w:type="continuationSeparator" w:id="0">
    <w:p w14:paraId="77A7D6BC" w14:textId="77777777" w:rsidR="00BF2A69" w:rsidRDefault="00BF2A69" w:rsidP="003E1C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225D18"/>
    <w:multiLevelType w:val="hybridMultilevel"/>
    <w:tmpl w:val="49BC4852"/>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0B633F"/>
    <w:multiLevelType w:val="hybridMultilevel"/>
    <w:tmpl w:val="37C27AA8"/>
    <w:lvl w:ilvl="0" w:tplc="223A8594">
      <w:start w:val="1"/>
      <w:numFmt w:val="upperRoman"/>
      <w:lvlText w:val="%1."/>
      <w:lvlJc w:val="right"/>
      <w:pPr>
        <w:ind w:left="720" w:hanging="360"/>
      </w:pPr>
      <w:rPr>
        <w:rFonts w:ascii="Arial" w:hAnsi="Arial" w:cs="Arial"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08A5BF4"/>
    <w:multiLevelType w:val="hybridMultilevel"/>
    <w:tmpl w:val="F88A88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86F19F9"/>
    <w:multiLevelType w:val="multilevel"/>
    <w:tmpl w:val="0407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563B4DE7"/>
    <w:multiLevelType w:val="hybridMultilevel"/>
    <w:tmpl w:val="81C03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32D0727"/>
    <w:multiLevelType w:val="multilevel"/>
    <w:tmpl w:val="EA90481A"/>
    <w:lvl w:ilvl="0">
      <w:start w:val="1"/>
      <w:numFmt w:val="decimal"/>
      <w:lvlText w:val="%1."/>
      <w:lvlJc w:val="left"/>
      <w:pPr>
        <w:ind w:left="360" w:hanging="360"/>
      </w:pPr>
      <w:rPr>
        <w:rFonts w:hint="default"/>
        <w:b/>
        <w:bCs w:val="0"/>
        <w:i w:val="0"/>
        <w:spacing w:val="0"/>
        <w:position w:val="0"/>
        <w:sz w:val="28"/>
        <w:szCs w:val="28"/>
      </w:rPr>
    </w:lvl>
    <w:lvl w:ilvl="1">
      <w:start w:val="1"/>
      <w:numFmt w:val="decimal"/>
      <w:lvlText w:val="%1.%2."/>
      <w:lvlJc w:val="left"/>
      <w:pPr>
        <w:ind w:left="794" w:hanging="43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633E13C1"/>
    <w:multiLevelType w:val="hybridMultilevel"/>
    <w:tmpl w:val="11AAF9DE"/>
    <w:lvl w:ilvl="0" w:tplc="01E884BC">
      <w:start w:val="1"/>
      <w:numFmt w:val="decimal"/>
      <w:pStyle w:val="Anhang"/>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66C73431"/>
    <w:multiLevelType w:val="hybridMultilevel"/>
    <w:tmpl w:val="7408DACC"/>
    <w:lvl w:ilvl="0" w:tplc="0E04F7C2">
      <w:start w:val="1"/>
      <w:numFmt w:val="decimal"/>
      <w:lvlText w:val="%1."/>
      <w:lvlJc w:val="left"/>
      <w:pPr>
        <w:ind w:left="710" w:hanging="71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6740555C"/>
    <w:multiLevelType w:val="hybridMultilevel"/>
    <w:tmpl w:val="58506E68"/>
    <w:lvl w:ilvl="0" w:tplc="3FA4D928">
      <w:start w:val="4"/>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6D4A6CAB"/>
    <w:multiLevelType w:val="hybridMultilevel"/>
    <w:tmpl w:val="4A26FFE4"/>
    <w:lvl w:ilvl="0" w:tplc="7B4EF54E">
      <w:start w:val="1"/>
      <w:numFmt w:val="decimal"/>
      <w:pStyle w:val="Heading3"/>
      <w:lvlText w:val="%1.1.1"/>
      <w:lvlJc w:val="left"/>
      <w:pPr>
        <w:ind w:left="720" w:hanging="360"/>
      </w:pPr>
      <w:rPr>
        <w:rFonts w:ascii="Garamond" w:hAnsi="Garamond" w:hint="default"/>
        <w:b w:val="0"/>
        <w:bCs w:val="0"/>
        <w:i w:val="0"/>
        <w: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D40DF9"/>
    <w:multiLevelType w:val="hybridMultilevel"/>
    <w:tmpl w:val="F8F2F7EE"/>
    <w:lvl w:ilvl="0" w:tplc="FCCA86E4">
      <w:start w:val="1"/>
      <w:numFmt w:val="upperLetter"/>
      <w:lvlText w:val="%1."/>
      <w:lvlJc w:val="left"/>
      <w:pPr>
        <w:ind w:left="360" w:hanging="360"/>
      </w:pPr>
      <w:rPr>
        <w:rFonts w:ascii="Arial" w:hAnsi="Arial" w:cs="Arial" w:hint="default"/>
        <w:sz w:val="24"/>
        <w:szCs w:val="24"/>
      </w:rPr>
    </w:lvl>
    <w:lvl w:ilvl="1" w:tplc="BC8A9DD0">
      <w:start w:val="1"/>
      <w:numFmt w:val="lowerLetter"/>
      <w:lvlText w:val="%2."/>
      <w:lvlJc w:val="left"/>
      <w:pPr>
        <w:ind w:left="1080" w:hanging="360"/>
      </w:pPr>
      <w:rPr>
        <w:b/>
        <w:bCs/>
      </w:rPr>
    </w:lvl>
    <w:lvl w:ilvl="2" w:tplc="0407001B">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7ABF51F4"/>
    <w:multiLevelType w:val="multilevel"/>
    <w:tmpl w:val="6F047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DD240AB"/>
    <w:multiLevelType w:val="multilevel"/>
    <w:tmpl w:val="68A8548E"/>
    <w:lvl w:ilvl="0">
      <w:start w:val="1"/>
      <w:numFmt w:val="decimal"/>
      <w:lvlText w:val="Chapter %1"/>
      <w:lvlJc w:val="left"/>
      <w:pPr>
        <w:ind w:left="851" w:hanging="851"/>
      </w:pPr>
      <w:rPr>
        <w:rFonts w:hint="default"/>
        <w:b w:val="0"/>
        <w:i/>
        <w:sz w:val="28"/>
      </w:rPr>
    </w:lvl>
    <w:lvl w:ilvl="1">
      <w:start w:val="1"/>
      <w:numFmt w:val="decimal"/>
      <w:lvlText w:val="%1.%2"/>
      <w:lvlJc w:val="left"/>
      <w:pPr>
        <w:tabs>
          <w:tab w:val="num" w:pos="851"/>
        </w:tabs>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851"/>
        </w:tabs>
        <w:ind w:left="851" w:hanging="851"/>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851"/>
        </w:tabs>
        <w:ind w:left="851" w:hanging="851"/>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FE125FB"/>
    <w:multiLevelType w:val="hybridMultilevel"/>
    <w:tmpl w:val="71FC73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90332431">
    <w:abstractNumId w:val="12"/>
    <w:lvlOverride w:ilvl="0">
      <w:lvl w:ilvl="0">
        <w:start w:val="1"/>
        <w:numFmt w:val="decimal"/>
        <w:lvlText w:val="Chapter %1"/>
        <w:lvlJc w:val="left"/>
        <w:pPr>
          <w:ind w:left="851" w:hanging="851"/>
        </w:pPr>
        <w:rPr>
          <w:rFonts w:hint="default"/>
          <w:i/>
          <w:smallCaps w:val="0"/>
          <w:sz w:val="32"/>
        </w:rPr>
      </w:lvl>
    </w:lvlOverride>
    <w:lvlOverride w:ilvl="1">
      <w:lvl w:ilvl="1">
        <w:start w:val="1"/>
        <w:numFmt w:val="decimal"/>
        <w:lvlText w:val="%1.%2"/>
        <w:lvlJc w:val="left"/>
        <w:pPr>
          <w:tabs>
            <w:tab w:val="num" w:pos="851"/>
          </w:tabs>
          <w:ind w:left="851" w:hanging="851"/>
        </w:pPr>
        <w:rPr>
          <w:rFonts w:hint="default"/>
          <w:lang w:val="en-GB"/>
        </w:rPr>
      </w:lvl>
    </w:lvlOverride>
    <w:lvlOverride w:ilvl="2">
      <w:lvl w:ilvl="2">
        <w:start w:val="1"/>
        <w:numFmt w:val="decimal"/>
        <w:lvlText w:val="%1.%2.%3"/>
        <w:lvlJc w:val="left"/>
        <w:pPr>
          <w:tabs>
            <w:tab w:val="num" w:pos="851"/>
          </w:tabs>
          <w:ind w:left="851" w:hanging="851"/>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851"/>
          </w:tabs>
          <w:ind w:left="851" w:hanging="851"/>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2" w16cid:durableId="1949194640">
    <w:abstractNumId w:val="5"/>
  </w:num>
  <w:num w:numId="3" w16cid:durableId="1373380906">
    <w:abstractNumId w:val="9"/>
  </w:num>
  <w:num w:numId="4" w16cid:durableId="1729066925">
    <w:abstractNumId w:val="3"/>
  </w:num>
  <w:num w:numId="5" w16cid:durableId="47144838">
    <w:abstractNumId w:val="1"/>
  </w:num>
  <w:num w:numId="6" w16cid:durableId="1842158580">
    <w:abstractNumId w:val="10"/>
  </w:num>
  <w:num w:numId="7" w16cid:durableId="1393891067">
    <w:abstractNumId w:val="4"/>
  </w:num>
  <w:num w:numId="8" w16cid:durableId="653686212">
    <w:abstractNumId w:val="13"/>
  </w:num>
  <w:num w:numId="9" w16cid:durableId="1550801299">
    <w:abstractNumId w:val="0"/>
  </w:num>
  <w:num w:numId="10" w16cid:durableId="275716939">
    <w:abstractNumId w:val="6"/>
  </w:num>
  <w:num w:numId="11" w16cid:durableId="730034416">
    <w:abstractNumId w:val="8"/>
  </w:num>
  <w:num w:numId="12" w16cid:durableId="1700811176">
    <w:abstractNumId w:val="7"/>
  </w:num>
  <w:num w:numId="13" w16cid:durableId="1758013179">
    <w:abstractNumId w:val="2"/>
  </w:num>
  <w:num w:numId="14" w16cid:durableId="62149607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defaultTabStop w:val="720"/>
  <w:hyphenationZone w:val="425"/>
  <w:characterSpacingControl w:val="doNotCompress"/>
  <w:hdrShapeDefaults>
    <o:shapedefaults v:ext="edit" spidmax="2072"/>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F6A"/>
    <w:rsid w:val="000038BD"/>
    <w:rsid w:val="00004375"/>
    <w:rsid w:val="0000654A"/>
    <w:rsid w:val="00007FD7"/>
    <w:rsid w:val="000109C3"/>
    <w:rsid w:val="00012234"/>
    <w:rsid w:val="00012BFA"/>
    <w:rsid w:val="00013F1D"/>
    <w:rsid w:val="00016F9C"/>
    <w:rsid w:val="000204D8"/>
    <w:rsid w:val="0002273F"/>
    <w:rsid w:val="00022C98"/>
    <w:rsid w:val="00023A3C"/>
    <w:rsid w:val="00025AC0"/>
    <w:rsid w:val="000269C4"/>
    <w:rsid w:val="00027A4A"/>
    <w:rsid w:val="0003116A"/>
    <w:rsid w:val="000313D2"/>
    <w:rsid w:val="0003381F"/>
    <w:rsid w:val="00033C2D"/>
    <w:rsid w:val="0003507D"/>
    <w:rsid w:val="00041752"/>
    <w:rsid w:val="0004303A"/>
    <w:rsid w:val="00043597"/>
    <w:rsid w:val="00044D26"/>
    <w:rsid w:val="00045817"/>
    <w:rsid w:val="00047217"/>
    <w:rsid w:val="00050CB4"/>
    <w:rsid w:val="00051726"/>
    <w:rsid w:val="00051B39"/>
    <w:rsid w:val="00052268"/>
    <w:rsid w:val="00052EBB"/>
    <w:rsid w:val="000553B0"/>
    <w:rsid w:val="000577F2"/>
    <w:rsid w:val="000603E0"/>
    <w:rsid w:val="0006066D"/>
    <w:rsid w:val="0006195F"/>
    <w:rsid w:val="000623BD"/>
    <w:rsid w:val="00062797"/>
    <w:rsid w:val="00064700"/>
    <w:rsid w:val="000647CA"/>
    <w:rsid w:val="00064AF3"/>
    <w:rsid w:val="000656EE"/>
    <w:rsid w:val="00066A56"/>
    <w:rsid w:val="00066E80"/>
    <w:rsid w:val="00067CD9"/>
    <w:rsid w:val="00071493"/>
    <w:rsid w:val="00072355"/>
    <w:rsid w:val="00072D7D"/>
    <w:rsid w:val="000741A3"/>
    <w:rsid w:val="00076937"/>
    <w:rsid w:val="00077B51"/>
    <w:rsid w:val="0008083D"/>
    <w:rsid w:val="00080B87"/>
    <w:rsid w:val="0008163A"/>
    <w:rsid w:val="0008375E"/>
    <w:rsid w:val="000846F6"/>
    <w:rsid w:val="0009174C"/>
    <w:rsid w:val="00096066"/>
    <w:rsid w:val="00096C1C"/>
    <w:rsid w:val="000A02BD"/>
    <w:rsid w:val="000A1FE6"/>
    <w:rsid w:val="000A30D4"/>
    <w:rsid w:val="000A39F7"/>
    <w:rsid w:val="000A3E79"/>
    <w:rsid w:val="000A407F"/>
    <w:rsid w:val="000A57C4"/>
    <w:rsid w:val="000A707D"/>
    <w:rsid w:val="000B0500"/>
    <w:rsid w:val="000B5BFE"/>
    <w:rsid w:val="000B6948"/>
    <w:rsid w:val="000B7051"/>
    <w:rsid w:val="000B7A8B"/>
    <w:rsid w:val="000B7C76"/>
    <w:rsid w:val="000C1A12"/>
    <w:rsid w:val="000C3C48"/>
    <w:rsid w:val="000C53A9"/>
    <w:rsid w:val="000C72BD"/>
    <w:rsid w:val="000C7EAC"/>
    <w:rsid w:val="000C7FAC"/>
    <w:rsid w:val="000D43AB"/>
    <w:rsid w:val="000D610E"/>
    <w:rsid w:val="000E0AD5"/>
    <w:rsid w:val="000E3B79"/>
    <w:rsid w:val="000E43F1"/>
    <w:rsid w:val="000E486F"/>
    <w:rsid w:val="000E657C"/>
    <w:rsid w:val="000E672A"/>
    <w:rsid w:val="000F215A"/>
    <w:rsid w:val="000F2BE0"/>
    <w:rsid w:val="000F43B6"/>
    <w:rsid w:val="000F5B42"/>
    <w:rsid w:val="000F778A"/>
    <w:rsid w:val="000F7F32"/>
    <w:rsid w:val="00101DC7"/>
    <w:rsid w:val="00103C55"/>
    <w:rsid w:val="001054DC"/>
    <w:rsid w:val="0010571B"/>
    <w:rsid w:val="001058CE"/>
    <w:rsid w:val="0010775E"/>
    <w:rsid w:val="00107E73"/>
    <w:rsid w:val="00112382"/>
    <w:rsid w:val="00113E9F"/>
    <w:rsid w:val="00115002"/>
    <w:rsid w:val="001166D5"/>
    <w:rsid w:val="0011767A"/>
    <w:rsid w:val="0011786E"/>
    <w:rsid w:val="00121C6E"/>
    <w:rsid w:val="0012202C"/>
    <w:rsid w:val="00122614"/>
    <w:rsid w:val="00122FB4"/>
    <w:rsid w:val="0012314C"/>
    <w:rsid w:val="00124670"/>
    <w:rsid w:val="0012678C"/>
    <w:rsid w:val="00127742"/>
    <w:rsid w:val="00130B50"/>
    <w:rsid w:val="0013231A"/>
    <w:rsid w:val="0013315C"/>
    <w:rsid w:val="00133A7C"/>
    <w:rsid w:val="0013570F"/>
    <w:rsid w:val="00135E4F"/>
    <w:rsid w:val="00136129"/>
    <w:rsid w:val="001404F9"/>
    <w:rsid w:val="001410B5"/>
    <w:rsid w:val="00144538"/>
    <w:rsid w:val="00145ED1"/>
    <w:rsid w:val="00147276"/>
    <w:rsid w:val="00147592"/>
    <w:rsid w:val="00147C7B"/>
    <w:rsid w:val="00153F78"/>
    <w:rsid w:val="00154526"/>
    <w:rsid w:val="00154D15"/>
    <w:rsid w:val="00155B52"/>
    <w:rsid w:val="00156E64"/>
    <w:rsid w:val="0015726C"/>
    <w:rsid w:val="00160618"/>
    <w:rsid w:val="00160A8D"/>
    <w:rsid w:val="00162C2B"/>
    <w:rsid w:val="00163F6F"/>
    <w:rsid w:val="001646FD"/>
    <w:rsid w:val="0016564C"/>
    <w:rsid w:val="00165F04"/>
    <w:rsid w:val="00165F9F"/>
    <w:rsid w:val="00171805"/>
    <w:rsid w:val="00173C09"/>
    <w:rsid w:val="001745AD"/>
    <w:rsid w:val="001745D9"/>
    <w:rsid w:val="00177545"/>
    <w:rsid w:val="00177975"/>
    <w:rsid w:val="00182F44"/>
    <w:rsid w:val="001830D6"/>
    <w:rsid w:val="0018524C"/>
    <w:rsid w:val="00186718"/>
    <w:rsid w:val="00187055"/>
    <w:rsid w:val="0018795D"/>
    <w:rsid w:val="001907F2"/>
    <w:rsid w:val="00196AF6"/>
    <w:rsid w:val="001975C8"/>
    <w:rsid w:val="001A011B"/>
    <w:rsid w:val="001A092B"/>
    <w:rsid w:val="001A2280"/>
    <w:rsid w:val="001A27BF"/>
    <w:rsid w:val="001A2DF6"/>
    <w:rsid w:val="001A408F"/>
    <w:rsid w:val="001A50E7"/>
    <w:rsid w:val="001A580E"/>
    <w:rsid w:val="001A71F8"/>
    <w:rsid w:val="001B068A"/>
    <w:rsid w:val="001B0FB2"/>
    <w:rsid w:val="001B25BC"/>
    <w:rsid w:val="001B44D4"/>
    <w:rsid w:val="001C0830"/>
    <w:rsid w:val="001C2940"/>
    <w:rsid w:val="001C2A1A"/>
    <w:rsid w:val="001C4B67"/>
    <w:rsid w:val="001C5059"/>
    <w:rsid w:val="001C55B0"/>
    <w:rsid w:val="001C69DE"/>
    <w:rsid w:val="001D2AFB"/>
    <w:rsid w:val="001D53BF"/>
    <w:rsid w:val="001D5E0E"/>
    <w:rsid w:val="001D7E96"/>
    <w:rsid w:val="001E1D9D"/>
    <w:rsid w:val="001E2591"/>
    <w:rsid w:val="001E3F6D"/>
    <w:rsid w:val="001E7DAF"/>
    <w:rsid w:val="001F0A15"/>
    <w:rsid w:val="001F0BEA"/>
    <w:rsid w:val="001F1243"/>
    <w:rsid w:val="001F14D9"/>
    <w:rsid w:val="001F3A8A"/>
    <w:rsid w:val="001F40AD"/>
    <w:rsid w:val="001F4A47"/>
    <w:rsid w:val="001F7BF2"/>
    <w:rsid w:val="001F7C72"/>
    <w:rsid w:val="001F7D92"/>
    <w:rsid w:val="002020C6"/>
    <w:rsid w:val="002020E7"/>
    <w:rsid w:val="00203E80"/>
    <w:rsid w:val="0020793B"/>
    <w:rsid w:val="0021055F"/>
    <w:rsid w:val="0021140A"/>
    <w:rsid w:val="00211E13"/>
    <w:rsid w:val="0021266D"/>
    <w:rsid w:val="00212FC4"/>
    <w:rsid w:val="00213F28"/>
    <w:rsid w:val="00216A39"/>
    <w:rsid w:val="00216D25"/>
    <w:rsid w:val="002170CD"/>
    <w:rsid w:val="00217E22"/>
    <w:rsid w:val="002208D1"/>
    <w:rsid w:val="002233A4"/>
    <w:rsid w:val="00223551"/>
    <w:rsid w:val="00225099"/>
    <w:rsid w:val="0022631F"/>
    <w:rsid w:val="00231760"/>
    <w:rsid w:val="00233A63"/>
    <w:rsid w:val="00233D9B"/>
    <w:rsid w:val="0023440B"/>
    <w:rsid w:val="00234C74"/>
    <w:rsid w:val="00235914"/>
    <w:rsid w:val="0023638E"/>
    <w:rsid w:val="002366B9"/>
    <w:rsid w:val="00236A5F"/>
    <w:rsid w:val="00237D1E"/>
    <w:rsid w:val="00240602"/>
    <w:rsid w:val="002410C0"/>
    <w:rsid w:val="00242613"/>
    <w:rsid w:val="00243764"/>
    <w:rsid w:val="00245A5F"/>
    <w:rsid w:val="00246FD9"/>
    <w:rsid w:val="002516AD"/>
    <w:rsid w:val="00251726"/>
    <w:rsid w:val="0025246A"/>
    <w:rsid w:val="00252F36"/>
    <w:rsid w:val="00254158"/>
    <w:rsid w:val="00255146"/>
    <w:rsid w:val="00255C92"/>
    <w:rsid w:val="002569D3"/>
    <w:rsid w:val="00260EF3"/>
    <w:rsid w:val="002614DE"/>
    <w:rsid w:val="00262ED7"/>
    <w:rsid w:val="00263299"/>
    <w:rsid w:val="00267EC1"/>
    <w:rsid w:val="002700A0"/>
    <w:rsid w:val="00271369"/>
    <w:rsid w:val="002717C4"/>
    <w:rsid w:val="00271E66"/>
    <w:rsid w:val="00273D7E"/>
    <w:rsid w:val="002751A5"/>
    <w:rsid w:val="0027618F"/>
    <w:rsid w:val="002777B2"/>
    <w:rsid w:val="00280A5E"/>
    <w:rsid w:val="0028163D"/>
    <w:rsid w:val="002825AC"/>
    <w:rsid w:val="00282B46"/>
    <w:rsid w:val="00282E5E"/>
    <w:rsid w:val="0028396F"/>
    <w:rsid w:val="002843EE"/>
    <w:rsid w:val="0028543B"/>
    <w:rsid w:val="002866BF"/>
    <w:rsid w:val="0028793D"/>
    <w:rsid w:val="0029072C"/>
    <w:rsid w:val="002909D0"/>
    <w:rsid w:val="00290BC4"/>
    <w:rsid w:val="0029491F"/>
    <w:rsid w:val="002959EF"/>
    <w:rsid w:val="002959FD"/>
    <w:rsid w:val="00295FCD"/>
    <w:rsid w:val="00296FCD"/>
    <w:rsid w:val="00297A21"/>
    <w:rsid w:val="00297BF4"/>
    <w:rsid w:val="002A0379"/>
    <w:rsid w:val="002A0E6D"/>
    <w:rsid w:val="002A0EB0"/>
    <w:rsid w:val="002A1748"/>
    <w:rsid w:val="002A4C49"/>
    <w:rsid w:val="002A4E42"/>
    <w:rsid w:val="002A6A89"/>
    <w:rsid w:val="002A7D4A"/>
    <w:rsid w:val="002B1F49"/>
    <w:rsid w:val="002B4FE8"/>
    <w:rsid w:val="002B556F"/>
    <w:rsid w:val="002B5EC9"/>
    <w:rsid w:val="002B5ED3"/>
    <w:rsid w:val="002B60B1"/>
    <w:rsid w:val="002B6115"/>
    <w:rsid w:val="002B6F80"/>
    <w:rsid w:val="002B7927"/>
    <w:rsid w:val="002C1244"/>
    <w:rsid w:val="002C50EA"/>
    <w:rsid w:val="002C5D2E"/>
    <w:rsid w:val="002C6F04"/>
    <w:rsid w:val="002D12A4"/>
    <w:rsid w:val="002D2FA2"/>
    <w:rsid w:val="002D38FB"/>
    <w:rsid w:val="002D44D5"/>
    <w:rsid w:val="002D540E"/>
    <w:rsid w:val="002D67C8"/>
    <w:rsid w:val="002D687E"/>
    <w:rsid w:val="002E02F1"/>
    <w:rsid w:val="002E2462"/>
    <w:rsid w:val="002E3D70"/>
    <w:rsid w:val="002E4237"/>
    <w:rsid w:val="002E62C7"/>
    <w:rsid w:val="002E6E9E"/>
    <w:rsid w:val="002E71B9"/>
    <w:rsid w:val="002E7443"/>
    <w:rsid w:val="002F0272"/>
    <w:rsid w:val="002F29D2"/>
    <w:rsid w:val="002F340D"/>
    <w:rsid w:val="002F3F1F"/>
    <w:rsid w:val="002F42E6"/>
    <w:rsid w:val="002F56BB"/>
    <w:rsid w:val="002F6005"/>
    <w:rsid w:val="002F6E57"/>
    <w:rsid w:val="003007E3"/>
    <w:rsid w:val="00300B3F"/>
    <w:rsid w:val="00303556"/>
    <w:rsid w:val="00303B46"/>
    <w:rsid w:val="00304A51"/>
    <w:rsid w:val="00305800"/>
    <w:rsid w:val="00307304"/>
    <w:rsid w:val="0031079D"/>
    <w:rsid w:val="00310B17"/>
    <w:rsid w:val="003122AE"/>
    <w:rsid w:val="00312A77"/>
    <w:rsid w:val="00313651"/>
    <w:rsid w:val="00313B85"/>
    <w:rsid w:val="0032226B"/>
    <w:rsid w:val="0032359A"/>
    <w:rsid w:val="00323C34"/>
    <w:rsid w:val="00324472"/>
    <w:rsid w:val="0032653F"/>
    <w:rsid w:val="00327851"/>
    <w:rsid w:val="00327DE0"/>
    <w:rsid w:val="00330966"/>
    <w:rsid w:val="00330A84"/>
    <w:rsid w:val="00331068"/>
    <w:rsid w:val="00332025"/>
    <w:rsid w:val="00332427"/>
    <w:rsid w:val="00332A89"/>
    <w:rsid w:val="003334F6"/>
    <w:rsid w:val="00333CA5"/>
    <w:rsid w:val="003449F3"/>
    <w:rsid w:val="0034708F"/>
    <w:rsid w:val="00347B13"/>
    <w:rsid w:val="00351DCF"/>
    <w:rsid w:val="00352E9E"/>
    <w:rsid w:val="003554C4"/>
    <w:rsid w:val="00355DB8"/>
    <w:rsid w:val="0035683A"/>
    <w:rsid w:val="003643FC"/>
    <w:rsid w:val="00364F65"/>
    <w:rsid w:val="00366C38"/>
    <w:rsid w:val="00367434"/>
    <w:rsid w:val="00374BC7"/>
    <w:rsid w:val="00375E0B"/>
    <w:rsid w:val="00376D1A"/>
    <w:rsid w:val="0037777C"/>
    <w:rsid w:val="00377CDA"/>
    <w:rsid w:val="003800CA"/>
    <w:rsid w:val="003815A4"/>
    <w:rsid w:val="0038186B"/>
    <w:rsid w:val="00382EC0"/>
    <w:rsid w:val="0038389B"/>
    <w:rsid w:val="00384D95"/>
    <w:rsid w:val="00387EFF"/>
    <w:rsid w:val="00390C6E"/>
    <w:rsid w:val="00391C49"/>
    <w:rsid w:val="00391CE8"/>
    <w:rsid w:val="003926A5"/>
    <w:rsid w:val="00393C31"/>
    <w:rsid w:val="003968E8"/>
    <w:rsid w:val="0039715B"/>
    <w:rsid w:val="00397594"/>
    <w:rsid w:val="003A03A6"/>
    <w:rsid w:val="003A0AE8"/>
    <w:rsid w:val="003A2965"/>
    <w:rsid w:val="003A3DDC"/>
    <w:rsid w:val="003A3DEA"/>
    <w:rsid w:val="003B0F6C"/>
    <w:rsid w:val="003B1804"/>
    <w:rsid w:val="003B56B5"/>
    <w:rsid w:val="003B5E18"/>
    <w:rsid w:val="003B6FB1"/>
    <w:rsid w:val="003C0310"/>
    <w:rsid w:val="003C05AE"/>
    <w:rsid w:val="003C084C"/>
    <w:rsid w:val="003C794C"/>
    <w:rsid w:val="003D1ACC"/>
    <w:rsid w:val="003D455E"/>
    <w:rsid w:val="003E01C8"/>
    <w:rsid w:val="003E1CDE"/>
    <w:rsid w:val="003E225A"/>
    <w:rsid w:val="003E603C"/>
    <w:rsid w:val="003E6950"/>
    <w:rsid w:val="003E6F7D"/>
    <w:rsid w:val="003F12E1"/>
    <w:rsid w:val="003F1CA8"/>
    <w:rsid w:val="003F3A0D"/>
    <w:rsid w:val="003F3AB2"/>
    <w:rsid w:val="003F5DCB"/>
    <w:rsid w:val="0040217A"/>
    <w:rsid w:val="00405D55"/>
    <w:rsid w:val="00407FE9"/>
    <w:rsid w:val="00410516"/>
    <w:rsid w:val="00410CC1"/>
    <w:rsid w:val="00415F48"/>
    <w:rsid w:val="004169A3"/>
    <w:rsid w:val="00420014"/>
    <w:rsid w:val="00421025"/>
    <w:rsid w:val="004215BA"/>
    <w:rsid w:val="0042209D"/>
    <w:rsid w:val="00430229"/>
    <w:rsid w:val="00430B93"/>
    <w:rsid w:val="00434ACC"/>
    <w:rsid w:val="00435900"/>
    <w:rsid w:val="00436DD0"/>
    <w:rsid w:val="0044001A"/>
    <w:rsid w:val="00440A50"/>
    <w:rsid w:val="00441BFB"/>
    <w:rsid w:val="00442C8A"/>
    <w:rsid w:val="00442EDA"/>
    <w:rsid w:val="0044308F"/>
    <w:rsid w:val="00444D39"/>
    <w:rsid w:val="0044510F"/>
    <w:rsid w:val="00447ACA"/>
    <w:rsid w:val="0045189D"/>
    <w:rsid w:val="0045379B"/>
    <w:rsid w:val="004551E7"/>
    <w:rsid w:val="00455A98"/>
    <w:rsid w:val="00455D82"/>
    <w:rsid w:val="00455E65"/>
    <w:rsid w:val="00460CC2"/>
    <w:rsid w:val="00460D5B"/>
    <w:rsid w:val="004613A2"/>
    <w:rsid w:val="0046268C"/>
    <w:rsid w:val="00465DFF"/>
    <w:rsid w:val="00467C5F"/>
    <w:rsid w:val="00467D9E"/>
    <w:rsid w:val="004701B4"/>
    <w:rsid w:val="00470CF9"/>
    <w:rsid w:val="00470DF9"/>
    <w:rsid w:val="00471912"/>
    <w:rsid w:val="00471F44"/>
    <w:rsid w:val="00473297"/>
    <w:rsid w:val="00473ECB"/>
    <w:rsid w:val="00474D28"/>
    <w:rsid w:val="004765AF"/>
    <w:rsid w:val="004771B9"/>
    <w:rsid w:val="004801EB"/>
    <w:rsid w:val="0048022B"/>
    <w:rsid w:val="004830E5"/>
    <w:rsid w:val="004854BA"/>
    <w:rsid w:val="00490403"/>
    <w:rsid w:val="00491F65"/>
    <w:rsid w:val="00492F92"/>
    <w:rsid w:val="00493000"/>
    <w:rsid w:val="00495B1F"/>
    <w:rsid w:val="00497B17"/>
    <w:rsid w:val="004A0410"/>
    <w:rsid w:val="004A1607"/>
    <w:rsid w:val="004A198B"/>
    <w:rsid w:val="004A1B0B"/>
    <w:rsid w:val="004A1CEC"/>
    <w:rsid w:val="004A1FEC"/>
    <w:rsid w:val="004A4255"/>
    <w:rsid w:val="004A49B0"/>
    <w:rsid w:val="004B195C"/>
    <w:rsid w:val="004B1A76"/>
    <w:rsid w:val="004B4FAB"/>
    <w:rsid w:val="004B5E81"/>
    <w:rsid w:val="004B6F89"/>
    <w:rsid w:val="004B78A5"/>
    <w:rsid w:val="004B7F2A"/>
    <w:rsid w:val="004C05F6"/>
    <w:rsid w:val="004C373F"/>
    <w:rsid w:val="004C47CA"/>
    <w:rsid w:val="004C63CC"/>
    <w:rsid w:val="004C6591"/>
    <w:rsid w:val="004C751D"/>
    <w:rsid w:val="004D0E50"/>
    <w:rsid w:val="004D3EA8"/>
    <w:rsid w:val="004D51AD"/>
    <w:rsid w:val="004D55EA"/>
    <w:rsid w:val="004D685D"/>
    <w:rsid w:val="004D71B5"/>
    <w:rsid w:val="004D7697"/>
    <w:rsid w:val="004E6DEF"/>
    <w:rsid w:val="004F0939"/>
    <w:rsid w:val="004F0CE9"/>
    <w:rsid w:val="004F0E5E"/>
    <w:rsid w:val="004F508B"/>
    <w:rsid w:val="004F52B7"/>
    <w:rsid w:val="004F557A"/>
    <w:rsid w:val="004F6EF5"/>
    <w:rsid w:val="005043CC"/>
    <w:rsid w:val="00506A45"/>
    <w:rsid w:val="00507877"/>
    <w:rsid w:val="00507E00"/>
    <w:rsid w:val="005113F7"/>
    <w:rsid w:val="00514A4F"/>
    <w:rsid w:val="00514E8C"/>
    <w:rsid w:val="00516BE0"/>
    <w:rsid w:val="00516F5B"/>
    <w:rsid w:val="005201C5"/>
    <w:rsid w:val="00520A8C"/>
    <w:rsid w:val="0052219A"/>
    <w:rsid w:val="00523BE4"/>
    <w:rsid w:val="005246BA"/>
    <w:rsid w:val="00524B1E"/>
    <w:rsid w:val="005261B7"/>
    <w:rsid w:val="00530033"/>
    <w:rsid w:val="0053337D"/>
    <w:rsid w:val="00533647"/>
    <w:rsid w:val="0053439F"/>
    <w:rsid w:val="00536C25"/>
    <w:rsid w:val="00536D9B"/>
    <w:rsid w:val="0054169F"/>
    <w:rsid w:val="00541E21"/>
    <w:rsid w:val="00542606"/>
    <w:rsid w:val="00542747"/>
    <w:rsid w:val="00544F1A"/>
    <w:rsid w:val="00544F93"/>
    <w:rsid w:val="00545221"/>
    <w:rsid w:val="005463FE"/>
    <w:rsid w:val="005466F8"/>
    <w:rsid w:val="00552DB0"/>
    <w:rsid w:val="00554512"/>
    <w:rsid w:val="00554AD9"/>
    <w:rsid w:val="00555791"/>
    <w:rsid w:val="0056280F"/>
    <w:rsid w:val="00562BE8"/>
    <w:rsid w:val="0056306A"/>
    <w:rsid w:val="005635B1"/>
    <w:rsid w:val="0056474B"/>
    <w:rsid w:val="00564E70"/>
    <w:rsid w:val="00565FDE"/>
    <w:rsid w:val="00566D06"/>
    <w:rsid w:val="00567549"/>
    <w:rsid w:val="00567726"/>
    <w:rsid w:val="0057124A"/>
    <w:rsid w:val="00572F77"/>
    <w:rsid w:val="005739CA"/>
    <w:rsid w:val="005741AC"/>
    <w:rsid w:val="005743FC"/>
    <w:rsid w:val="0057450D"/>
    <w:rsid w:val="005754B9"/>
    <w:rsid w:val="00582C85"/>
    <w:rsid w:val="0058501B"/>
    <w:rsid w:val="0059235A"/>
    <w:rsid w:val="00592F46"/>
    <w:rsid w:val="00593680"/>
    <w:rsid w:val="00593ADF"/>
    <w:rsid w:val="00594733"/>
    <w:rsid w:val="0059516D"/>
    <w:rsid w:val="0059534D"/>
    <w:rsid w:val="005957A6"/>
    <w:rsid w:val="005A0360"/>
    <w:rsid w:val="005A0DED"/>
    <w:rsid w:val="005A2281"/>
    <w:rsid w:val="005A5D48"/>
    <w:rsid w:val="005A6188"/>
    <w:rsid w:val="005B267F"/>
    <w:rsid w:val="005B4D0F"/>
    <w:rsid w:val="005B60AE"/>
    <w:rsid w:val="005B6280"/>
    <w:rsid w:val="005B78AC"/>
    <w:rsid w:val="005C1181"/>
    <w:rsid w:val="005C3684"/>
    <w:rsid w:val="005C657F"/>
    <w:rsid w:val="005C676F"/>
    <w:rsid w:val="005C7E2D"/>
    <w:rsid w:val="005D5DC7"/>
    <w:rsid w:val="005D753D"/>
    <w:rsid w:val="005E248E"/>
    <w:rsid w:val="005E28F3"/>
    <w:rsid w:val="005E3987"/>
    <w:rsid w:val="005E7534"/>
    <w:rsid w:val="005F0113"/>
    <w:rsid w:val="005F445B"/>
    <w:rsid w:val="005F4F95"/>
    <w:rsid w:val="005F5F1D"/>
    <w:rsid w:val="005F7574"/>
    <w:rsid w:val="0060101B"/>
    <w:rsid w:val="006014CE"/>
    <w:rsid w:val="006041E2"/>
    <w:rsid w:val="00605261"/>
    <w:rsid w:val="006064BF"/>
    <w:rsid w:val="0061358E"/>
    <w:rsid w:val="006149ED"/>
    <w:rsid w:val="0061586D"/>
    <w:rsid w:val="00615DDB"/>
    <w:rsid w:val="006176ED"/>
    <w:rsid w:val="00621573"/>
    <w:rsid w:val="00621C7A"/>
    <w:rsid w:val="00622118"/>
    <w:rsid w:val="00622AD1"/>
    <w:rsid w:val="0062437A"/>
    <w:rsid w:val="00627F66"/>
    <w:rsid w:val="00631006"/>
    <w:rsid w:val="00631246"/>
    <w:rsid w:val="006318BC"/>
    <w:rsid w:val="006327CB"/>
    <w:rsid w:val="0063280E"/>
    <w:rsid w:val="00633013"/>
    <w:rsid w:val="0063634B"/>
    <w:rsid w:val="00640BAA"/>
    <w:rsid w:val="0064188F"/>
    <w:rsid w:val="0064213D"/>
    <w:rsid w:val="00650210"/>
    <w:rsid w:val="00650B4C"/>
    <w:rsid w:val="00651F7A"/>
    <w:rsid w:val="00652104"/>
    <w:rsid w:val="00652318"/>
    <w:rsid w:val="0065554B"/>
    <w:rsid w:val="006566D5"/>
    <w:rsid w:val="0066405F"/>
    <w:rsid w:val="00664361"/>
    <w:rsid w:val="00664CC4"/>
    <w:rsid w:val="0066549E"/>
    <w:rsid w:val="00665995"/>
    <w:rsid w:val="00665A4B"/>
    <w:rsid w:val="00665E22"/>
    <w:rsid w:val="0067147E"/>
    <w:rsid w:val="00676596"/>
    <w:rsid w:val="00677E8C"/>
    <w:rsid w:val="0068060D"/>
    <w:rsid w:val="00684281"/>
    <w:rsid w:val="00685409"/>
    <w:rsid w:val="006868A3"/>
    <w:rsid w:val="00686EB7"/>
    <w:rsid w:val="0069098A"/>
    <w:rsid w:val="00691A33"/>
    <w:rsid w:val="0069499C"/>
    <w:rsid w:val="006967AD"/>
    <w:rsid w:val="006A13E5"/>
    <w:rsid w:val="006A2F15"/>
    <w:rsid w:val="006A34D7"/>
    <w:rsid w:val="006A3F7F"/>
    <w:rsid w:val="006A60C5"/>
    <w:rsid w:val="006A6282"/>
    <w:rsid w:val="006A6C71"/>
    <w:rsid w:val="006B0B10"/>
    <w:rsid w:val="006B1A52"/>
    <w:rsid w:val="006B58F7"/>
    <w:rsid w:val="006B5E3E"/>
    <w:rsid w:val="006B716F"/>
    <w:rsid w:val="006B7C49"/>
    <w:rsid w:val="006C028B"/>
    <w:rsid w:val="006C12BE"/>
    <w:rsid w:val="006C2A8B"/>
    <w:rsid w:val="006C3300"/>
    <w:rsid w:val="006C3AE4"/>
    <w:rsid w:val="006C4241"/>
    <w:rsid w:val="006C465C"/>
    <w:rsid w:val="006C4B78"/>
    <w:rsid w:val="006C6FF6"/>
    <w:rsid w:val="006D69D4"/>
    <w:rsid w:val="006D6C23"/>
    <w:rsid w:val="006D7351"/>
    <w:rsid w:val="006E0274"/>
    <w:rsid w:val="006E054F"/>
    <w:rsid w:val="006E3762"/>
    <w:rsid w:val="006E4985"/>
    <w:rsid w:val="006E4B60"/>
    <w:rsid w:val="006E5157"/>
    <w:rsid w:val="006E540B"/>
    <w:rsid w:val="006E5A26"/>
    <w:rsid w:val="006E5C18"/>
    <w:rsid w:val="006E5FB4"/>
    <w:rsid w:val="006E615E"/>
    <w:rsid w:val="006E64A9"/>
    <w:rsid w:val="006F17DB"/>
    <w:rsid w:val="006F1A19"/>
    <w:rsid w:val="006F33E6"/>
    <w:rsid w:val="007001B0"/>
    <w:rsid w:val="00703423"/>
    <w:rsid w:val="007037B2"/>
    <w:rsid w:val="00703CC9"/>
    <w:rsid w:val="007044E4"/>
    <w:rsid w:val="0071020E"/>
    <w:rsid w:val="007118F7"/>
    <w:rsid w:val="0071458E"/>
    <w:rsid w:val="00716043"/>
    <w:rsid w:val="007160B7"/>
    <w:rsid w:val="00717A2C"/>
    <w:rsid w:val="007200B1"/>
    <w:rsid w:val="007204CB"/>
    <w:rsid w:val="0072517D"/>
    <w:rsid w:val="007300A2"/>
    <w:rsid w:val="00731865"/>
    <w:rsid w:val="0073206E"/>
    <w:rsid w:val="00732B71"/>
    <w:rsid w:val="00732C21"/>
    <w:rsid w:val="00732F91"/>
    <w:rsid w:val="0073406C"/>
    <w:rsid w:val="007350D1"/>
    <w:rsid w:val="00735390"/>
    <w:rsid w:val="00737205"/>
    <w:rsid w:val="0074125A"/>
    <w:rsid w:val="00741EF5"/>
    <w:rsid w:val="00742FB6"/>
    <w:rsid w:val="00743209"/>
    <w:rsid w:val="00744566"/>
    <w:rsid w:val="00745125"/>
    <w:rsid w:val="00745471"/>
    <w:rsid w:val="00746001"/>
    <w:rsid w:val="00746022"/>
    <w:rsid w:val="00747BEC"/>
    <w:rsid w:val="00750D9A"/>
    <w:rsid w:val="007516F4"/>
    <w:rsid w:val="00753147"/>
    <w:rsid w:val="00753C64"/>
    <w:rsid w:val="00753E62"/>
    <w:rsid w:val="00753ED5"/>
    <w:rsid w:val="007601BE"/>
    <w:rsid w:val="0076020B"/>
    <w:rsid w:val="00761B98"/>
    <w:rsid w:val="00762F78"/>
    <w:rsid w:val="00763EAF"/>
    <w:rsid w:val="00764468"/>
    <w:rsid w:val="007655D2"/>
    <w:rsid w:val="007656C8"/>
    <w:rsid w:val="00765C7F"/>
    <w:rsid w:val="007707CE"/>
    <w:rsid w:val="00774DF6"/>
    <w:rsid w:val="00775BA5"/>
    <w:rsid w:val="007779AF"/>
    <w:rsid w:val="0078125D"/>
    <w:rsid w:val="00782271"/>
    <w:rsid w:val="00784A77"/>
    <w:rsid w:val="00786512"/>
    <w:rsid w:val="00786B9D"/>
    <w:rsid w:val="0079071E"/>
    <w:rsid w:val="007913DE"/>
    <w:rsid w:val="0079162F"/>
    <w:rsid w:val="00791BF0"/>
    <w:rsid w:val="00791EDF"/>
    <w:rsid w:val="00793F7B"/>
    <w:rsid w:val="0079506C"/>
    <w:rsid w:val="00795757"/>
    <w:rsid w:val="00795827"/>
    <w:rsid w:val="00796F7E"/>
    <w:rsid w:val="0079784A"/>
    <w:rsid w:val="007B07D2"/>
    <w:rsid w:val="007B07EF"/>
    <w:rsid w:val="007B1F39"/>
    <w:rsid w:val="007B5198"/>
    <w:rsid w:val="007B79D2"/>
    <w:rsid w:val="007B7D46"/>
    <w:rsid w:val="007C2E10"/>
    <w:rsid w:val="007C2F98"/>
    <w:rsid w:val="007C71F1"/>
    <w:rsid w:val="007C7EA2"/>
    <w:rsid w:val="007D0044"/>
    <w:rsid w:val="007D0408"/>
    <w:rsid w:val="007D0754"/>
    <w:rsid w:val="007D1102"/>
    <w:rsid w:val="007D24C1"/>
    <w:rsid w:val="007D2A0D"/>
    <w:rsid w:val="007D3543"/>
    <w:rsid w:val="007D35E8"/>
    <w:rsid w:val="007D74A4"/>
    <w:rsid w:val="007E1A6D"/>
    <w:rsid w:val="007E4527"/>
    <w:rsid w:val="007F0142"/>
    <w:rsid w:val="007F0EF3"/>
    <w:rsid w:val="007F5029"/>
    <w:rsid w:val="007F6244"/>
    <w:rsid w:val="008002BD"/>
    <w:rsid w:val="00801032"/>
    <w:rsid w:val="0080168A"/>
    <w:rsid w:val="00801E93"/>
    <w:rsid w:val="008044FB"/>
    <w:rsid w:val="00806AC4"/>
    <w:rsid w:val="00807CB9"/>
    <w:rsid w:val="00810C74"/>
    <w:rsid w:val="00815D08"/>
    <w:rsid w:val="008164FC"/>
    <w:rsid w:val="0081693C"/>
    <w:rsid w:val="008174B3"/>
    <w:rsid w:val="0082075D"/>
    <w:rsid w:val="00820FB2"/>
    <w:rsid w:val="00821B67"/>
    <w:rsid w:val="00823947"/>
    <w:rsid w:val="00823985"/>
    <w:rsid w:val="00825794"/>
    <w:rsid w:val="00825A80"/>
    <w:rsid w:val="0082784F"/>
    <w:rsid w:val="00827D3D"/>
    <w:rsid w:val="00833471"/>
    <w:rsid w:val="00834F67"/>
    <w:rsid w:val="00841281"/>
    <w:rsid w:val="00843AAB"/>
    <w:rsid w:val="00844907"/>
    <w:rsid w:val="008460F9"/>
    <w:rsid w:val="008468CD"/>
    <w:rsid w:val="00846E3D"/>
    <w:rsid w:val="00846F06"/>
    <w:rsid w:val="0084777F"/>
    <w:rsid w:val="00850115"/>
    <w:rsid w:val="00851DA6"/>
    <w:rsid w:val="00853B38"/>
    <w:rsid w:val="00857485"/>
    <w:rsid w:val="00857B12"/>
    <w:rsid w:val="008606E4"/>
    <w:rsid w:val="00861E02"/>
    <w:rsid w:val="008623FD"/>
    <w:rsid w:val="00863986"/>
    <w:rsid w:val="0086681C"/>
    <w:rsid w:val="008674D5"/>
    <w:rsid w:val="008708B9"/>
    <w:rsid w:val="00871A2A"/>
    <w:rsid w:val="00873B91"/>
    <w:rsid w:val="00874F6A"/>
    <w:rsid w:val="00875DB8"/>
    <w:rsid w:val="008803F5"/>
    <w:rsid w:val="00883FE1"/>
    <w:rsid w:val="00886BF2"/>
    <w:rsid w:val="00886D67"/>
    <w:rsid w:val="00886DB2"/>
    <w:rsid w:val="008871A6"/>
    <w:rsid w:val="00887EBF"/>
    <w:rsid w:val="00887F60"/>
    <w:rsid w:val="00890775"/>
    <w:rsid w:val="0089186E"/>
    <w:rsid w:val="00892582"/>
    <w:rsid w:val="008931CC"/>
    <w:rsid w:val="008949F5"/>
    <w:rsid w:val="00894AC8"/>
    <w:rsid w:val="00897135"/>
    <w:rsid w:val="008A0AA9"/>
    <w:rsid w:val="008A15A4"/>
    <w:rsid w:val="008A1DC7"/>
    <w:rsid w:val="008A3714"/>
    <w:rsid w:val="008A4CE0"/>
    <w:rsid w:val="008A5F58"/>
    <w:rsid w:val="008A740F"/>
    <w:rsid w:val="008B08AE"/>
    <w:rsid w:val="008B08EB"/>
    <w:rsid w:val="008B6C68"/>
    <w:rsid w:val="008C4DDE"/>
    <w:rsid w:val="008C7982"/>
    <w:rsid w:val="008D0AF2"/>
    <w:rsid w:val="008D0EB3"/>
    <w:rsid w:val="008D4BC1"/>
    <w:rsid w:val="008D6A4F"/>
    <w:rsid w:val="008D6E95"/>
    <w:rsid w:val="008D72AE"/>
    <w:rsid w:val="008D76EA"/>
    <w:rsid w:val="008E4519"/>
    <w:rsid w:val="008E4C75"/>
    <w:rsid w:val="008E6A76"/>
    <w:rsid w:val="008E6FD8"/>
    <w:rsid w:val="008F10F8"/>
    <w:rsid w:val="008F1189"/>
    <w:rsid w:val="008F61F7"/>
    <w:rsid w:val="008F6CFA"/>
    <w:rsid w:val="009007F9"/>
    <w:rsid w:val="009024F3"/>
    <w:rsid w:val="00903858"/>
    <w:rsid w:val="00907EDA"/>
    <w:rsid w:val="009112EB"/>
    <w:rsid w:val="00914688"/>
    <w:rsid w:val="009151E1"/>
    <w:rsid w:val="009163B6"/>
    <w:rsid w:val="00917055"/>
    <w:rsid w:val="009204E4"/>
    <w:rsid w:val="00920A68"/>
    <w:rsid w:val="009276AF"/>
    <w:rsid w:val="00930533"/>
    <w:rsid w:val="00930E12"/>
    <w:rsid w:val="009317E8"/>
    <w:rsid w:val="00932A41"/>
    <w:rsid w:val="00934193"/>
    <w:rsid w:val="009348A4"/>
    <w:rsid w:val="00935032"/>
    <w:rsid w:val="00940D2C"/>
    <w:rsid w:val="00940D5E"/>
    <w:rsid w:val="00942160"/>
    <w:rsid w:val="00943F96"/>
    <w:rsid w:val="00944950"/>
    <w:rsid w:val="00944DD7"/>
    <w:rsid w:val="00945617"/>
    <w:rsid w:val="00946472"/>
    <w:rsid w:val="0094711F"/>
    <w:rsid w:val="00947CC1"/>
    <w:rsid w:val="0095153D"/>
    <w:rsid w:val="0095256B"/>
    <w:rsid w:val="00953C00"/>
    <w:rsid w:val="00953F63"/>
    <w:rsid w:val="00956207"/>
    <w:rsid w:val="009563B4"/>
    <w:rsid w:val="00961920"/>
    <w:rsid w:val="009622D7"/>
    <w:rsid w:val="00965B65"/>
    <w:rsid w:val="00966D21"/>
    <w:rsid w:val="00967447"/>
    <w:rsid w:val="00967BC3"/>
    <w:rsid w:val="00967D77"/>
    <w:rsid w:val="00971CE0"/>
    <w:rsid w:val="00972B8C"/>
    <w:rsid w:val="00972E4F"/>
    <w:rsid w:val="00975803"/>
    <w:rsid w:val="009768D7"/>
    <w:rsid w:val="00981585"/>
    <w:rsid w:val="00982E68"/>
    <w:rsid w:val="0098380C"/>
    <w:rsid w:val="0098461F"/>
    <w:rsid w:val="009854F6"/>
    <w:rsid w:val="00990AAA"/>
    <w:rsid w:val="00994F9B"/>
    <w:rsid w:val="00995DC1"/>
    <w:rsid w:val="009A1E8E"/>
    <w:rsid w:val="009A4824"/>
    <w:rsid w:val="009A5E96"/>
    <w:rsid w:val="009A5F2B"/>
    <w:rsid w:val="009A7094"/>
    <w:rsid w:val="009B0E10"/>
    <w:rsid w:val="009B3876"/>
    <w:rsid w:val="009B3A08"/>
    <w:rsid w:val="009B3CEF"/>
    <w:rsid w:val="009B42F0"/>
    <w:rsid w:val="009B5CEF"/>
    <w:rsid w:val="009B6224"/>
    <w:rsid w:val="009B65B5"/>
    <w:rsid w:val="009B6601"/>
    <w:rsid w:val="009C1F1C"/>
    <w:rsid w:val="009C2F35"/>
    <w:rsid w:val="009C39C2"/>
    <w:rsid w:val="009C68D1"/>
    <w:rsid w:val="009C7134"/>
    <w:rsid w:val="009C76F1"/>
    <w:rsid w:val="009C7E67"/>
    <w:rsid w:val="009D1FAC"/>
    <w:rsid w:val="009D3789"/>
    <w:rsid w:val="009D446A"/>
    <w:rsid w:val="009D5A26"/>
    <w:rsid w:val="009D64FB"/>
    <w:rsid w:val="009D7B69"/>
    <w:rsid w:val="009E23C1"/>
    <w:rsid w:val="009E5C03"/>
    <w:rsid w:val="009E6A54"/>
    <w:rsid w:val="009E72E5"/>
    <w:rsid w:val="009E782E"/>
    <w:rsid w:val="009F0CFA"/>
    <w:rsid w:val="009F28A3"/>
    <w:rsid w:val="009F36AB"/>
    <w:rsid w:val="009F3E73"/>
    <w:rsid w:val="009F759D"/>
    <w:rsid w:val="00A07DCB"/>
    <w:rsid w:val="00A109E0"/>
    <w:rsid w:val="00A11759"/>
    <w:rsid w:val="00A11B05"/>
    <w:rsid w:val="00A12E8E"/>
    <w:rsid w:val="00A13C82"/>
    <w:rsid w:val="00A16570"/>
    <w:rsid w:val="00A17D8C"/>
    <w:rsid w:val="00A203AA"/>
    <w:rsid w:val="00A22BF2"/>
    <w:rsid w:val="00A26DFA"/>
    <w:rsid w:val="00A3142E"/>
    <w:rsid w:val="00A3215E"/>
    <w:rsid w:val="00A3596A"/>
    <w:rsid w:val="00A36127"/>
    <w:rsid w:val="00A3637B"/>
    <w:rsid w:val="00A36881"/>
    <w:rsid w:val="00A4084F"/>
    <w:rsid w:val="00A431EC"/>
    <w:rsid w:val="00A43923"/>
    <w:rsid w:val="00A44515"/>
    <w:rsid w:val="00A44A7A"/>
    <w:rsid w:val="00A452E0"/>
    <w:rsid w:val="00A46BC0"/>
    <w:rsid w:val="00A46E17"/>
    <w:rsid w:val="00A471E4"/>
    <w:rsid w:val="00A5034E"/>
    <w:rsid w:val="00A50FB1"/>
    <w:rsid w:val="00A512A5"/>
    <w:rsid w:val="00A52587"/>
    <w:rsid w:val="00A53AA6"/>
    <w:rsid w:val="00A60016"/>
    <w:rsid w:val="00A60D1E"/>
    <w:rsid w:val="00A65786"/>
    <w:rsid w:val="00A675FB"/>
    <w:rsid w:val="00A70422"/>
    <w:rsid w:val="00A727B0"/>
    <w:rsid w:val="00A73662"/>
    <w:rsid w:val="00A76533"/>
    <w:rsid w:val="00A81846"/>
    <w:rsid w:val="00A8227C"/>
    <w:rsid w:val="00A82AF2"/>
    <w:rsid w:val="00A82F32"/>
    <w:rsid w:val="00A84AFA"/>
    <w:rsid w:val="00A859B8"/>
    <w:rsid w:val="00A86F86"/>
    <w:rsid w:val="00A87618"/>
    <w:rsid w:val="00A906F9"/>
    <w:rsid w:val="00A9115A"/>
    <w:rsid w:val="00A91509"/>
    <w:rsid w:val="00A91949"/>
    <w:rsid w:val="00A91A80"/>
    <w:rsid w:val="00A9234E"/>
    <w:rsid w:val="00A966D6"/>
    <w:rsid w:val="00AA0C45"/>
    <w:rsid w:val="00AA237A"/>
    <w:rsid w:val="00AA286B"/>
    <w:rsid w:val="00AA5E09"/>
    <w:rsid w:val="00AA7481"/>
    <w:rsid w:val="00AA7F69"/>
    <w:rsid w:val="00AA7FA8"/>
    <w:rsid w:val="00AB0C59"/>
    <w:rsid w:val="00AB273E"/>
    <w:rsid w:val="00AB3DAF"/>
    <w:rsid w:val="00AB4F86"/>
    <w:rsid w:val="00AB6059"/>
    <w:rsid w:val="00AB6DCB"/>
    <w:rsid w:val="00AB7794"/>
    <w:rsid w:val="00AB77C1"/>
    <w:rsid w:val="00AC150A"/>
    <w:rsid w:val="00AC17F4"/>
    <w:rsid w:val="00AC2EA1"/>
    <w:rsid w:val="00AC49FE"/>
    <w:rsid w:val="00AD121F"/>
    <w:rsid w:val="00AD14E2"/>
    <w:rsid w:val="00AD2DF3"/>
    <w:rsid w:val="00AD7853"/>
    <w:rsid w:val="00AE09A5"/>
    <w:rsid w:val="00AE0A37"/>
    <w:rsid w:val="00AE28C2"/>
    <w:rsid w:val="00AE420B"/>
    <w:rsid w:val="00AE4DF2"/>
    <w:rsid w:val="00AF0381"/>
    <w:rsid w:val="00AF0C32"/>
    <w:rsid w:val="00AF2932"/>
    <w:rsid w:val="00AF4D93"/>
    <w:rsid w:val="00AF5675"/>
    <w:rsid w:val="00AF710C"/>
    <w:rsid w:val="00AF7B2F"/>
    <w:rsid w:val="00B0110E"/>
    <w:rsid w:val="00B0505C"/>
    <w:rsid w:val="00B1031A"/>
    <w:rsid w:val="00B10731"/>
    <w:rsid w:val="00B1086B"/>
    <w:rsid w:val="00B121ED"/>
    <w:rsid w:val="00B13C01"/>
    <w:rsid w:val="00B14FCF"/>
    <w:rsid w:val="00B16761"/>
    <w:rsid w:val="00B21C88"/>
    <w:rsid w:val="00B225F1"/>
    <w:rsid w:val="00B22D51"/>
    <w:rsid w:val="00B22E26"/>
    <w:rsid w:val="00B2309B"/>
    <w:rsid w:val="00B24DB4"/>
    <w:rsid w:val="00B25397"/>
    <w:rsid w:val="00B25808"/>
    <w:rsid w:val="00B25C9D"/>
    <w:rsid w:val="00B26A6B"/>
    <w:rsid w:val="00B34FEE"/>
    <w:rsid w:val="00B35119"/>
    <w:rsid w:val="00B37A74"/>
    <w:rsid w:val="00B402A7"/>
    <w:rsid w:val="00B40B5F"/>
    <w:rsid w:val="00B41EB8"/>
    <w:rsid w:val="00B47825"/>
    <w:rsid w:val="00B50EA0"/>
    <w:rsid w:val="00B51BE1"/>
    <w:rsid w:val="00B54C1E"/>
    <w:rsid w:val="00B6057A"/>
    <w:rsid w:val="00B61CF1"/>
    <w:rsid w:val="00B634D3"/>
    <w:rsid w:val="00B63724"/>
    <w:rsid w:val="00B63A40"/>
    <w:rsid w:val="00B670E9"/>
    <w:rsid w:val="00B67760"/>
    <w:rsid w:val="00B71EDB"/>
    <w:rsid w:val="00B753B9"/>
    <w:rsid w:val="00B77C0B"/>
    <w:rsid w:val="00B81800"/>
    <w:rsid w:val="00B83BFD"/>
    <w:rsid w:val="00B84C0B"/>
    <w:rsid w:val="00B907B0"/>
    <w:rsid w:val="00B932EB"/>
    <w:rsid w:val="00B93C70"/>
    <w:rsid w:val="00B960AA"/>
    <w:rsid w:val="00B97920"/>
    <w:rsid w:val="00BA3286"/>
    <w:rsid w:val="00BA462F"/>
    <w:rsid w:val="00BA4B0B"/>
    <w:rsid w:val="00BB0A20"/>
    <w:rsid w:val="00BB0FE8"/>
    <w:rsid w:val="00BB34C3"/>
    <w:rsid w:val="00BB3CFE"/>
    <w:rsid w:val="00BB4E22"/>
    <w:rsid w:val="00BB53AE"/>
    <w:rsid w:val="00BB6B27"/>
    <w:rsid w:val="00BC2777"/>
    <w:rsid w:val="00BC325C"/>
    <w:rsid w:val="00BC415A"/>
    <w:rsid w:val="00BC70FA"/>
    <w:rsid w:val="00BC7573"/>
    <w:rsid w:val="00BC7688"/>
    <w:rsid w:val="00BD3EA7"/>
    <w:rsid w:val="00BD65D7"/>
    <w:rsid w:val="00BD6BE2"/>
    <w:rsid w:val="00BD7BAC"/>
    <w:rsid w:val="00BE0F1F"/>
    <w:rsid w:val="00BE3DD3"/>
    <w:rsid w:val="00BE4352"/>
    <w:rsid w:val="00BE468A"/>
    <w:rsid w:val="00BE52A2"/>
    <w:rsid w:val="00BE5796"/>
    <w:rsid w:val="00BE5AAB"/>
    <w:rsid w:val="00BE6021"/>
    <w:rsid w:val="00BE6E78"/>
    <w:rsid w:val="00BE798B"/>
    <w:rsid w:val="00BF02A0"/>
    <w:rsid w:val="00BF02C5"/>
    <w:rsid w:val="00BF1489"/>
    <w:rsid w:val="00BF1D90"/>
    <w:rsid w:val="00BF2A69"/>
    <w:rsid w:val="00BF3BA2"/>
    <w:rsid w:val="00BF45A0"/>
    <w:rsid w:val="00BF4F69"/>
    <w:rsid w:val="00C00D0C"/>
    <w:rsid w:val="00C01E64"/>
    <w:rsid w:val="00C02C19"/>
    <w:rsid w:val="00C03996"/>
    <w:rsid w:val="00C056AC"/>
    <w:rsid w:val="00C069B5"/>
    <w:rsid w:val="00C077CD"/>
    <w:rsid w:val="00C12937"/>
    <w:rsid w:val="00C13EC0"/>
    <w:rsid w:val="00C14CCF"/>
    <w:rsid w:val="00C15A0F"/>
    <w:rsid w:val="00C16374"/>
    <w:rsid w:val="00C167D2"/>
    <w:rsid w:val="00C17BB8"/>
    <w:rsid w:val="00C17E83"/>
    <w:rsid w:val="00C20FE5"/>
    <w:rsid w:val="00C225BA"/>
    <w:rsid w:val="00C268D8"/>
    <w:rsid w:val="00C31954"/>
    <w:rsid w:val="00C31D30"/>
    <w:rsid w:val="00C345D1"/>
    <w:rsid w:val="00C34812"/>
    <w:rsid w:val="00C357FB"/>
    <w:rsid w:val="00C36F8B"/>
    <w:rsid w:val="00C37554"/>
    <w:rsid w:val="00C434FB"/>
    <w:rsid w:val="00C44FD3"/>
    <w:rsid w:val="00C46ED9"/>
    <w:rsid w:val="00C47B9E"/>
    <w:rsid w:val="00C47F4B"/>
    <w:rsid w:val="00C52A47"/>
    <w:rsid w:val="00C551F2"/>
    <w:rsid w:val="00C604EC"/>
    <w:rsid w:val="00C60809"/>
    <w:rsid w:val="00C65000"/>
    <w:rsid w:val="00C71957"/>
    <w:rsid w:val="00C73534"/>
    <w:rsid w:val="00C73C9E"/>
    <w:rsid w:val="00C75140"/>
    <w:rsid w:val="00C81BC3"/>
    <w:rsid w:val="00C84EFB"/>
    <w:rsid w:val="00C85144"/>
    <w:rsid w:val="00C86727"/>
    <w:rsid w:val="00C907A7"/>
    <w:rsid w:val="00C91060"/>
    <w:rsid w:val="00C922CC"/>
    <w:rsid w:val="00C92780"/>
    <w:rsid w:val="00C94886"/>
    <w:rsid w:val="00C95AFA"/>
    <w:rsid w:val="00CA2285"/>
    <w:rsid w:val="00CA2E70"/>
    <w:rsid w:val="00CA574E"/>
    <w:rsid w:val="00CA5A95"/>
    <w:rsid w:val="00CA5C09"/>
    <w:rsid w:val="00CA73AA"/>
    <w:rsid w:val="00CA7DF2"/>
    <w:rsid w:val="00CB1064"/>
    <w:rsid w:val="00CB4A15"/>
    <w:rsid w:val="00CB4E61"/>
    <w:rsid w:val="00CB7E45"/>
    <w:rsid w:val="00CB7F28"/>
    <w:rsid w:val="00CB7F96"/>
    <w:rsid w:val="00CC0546"/>
    <w:rsid w:val="00CC0F29"/>
    <w:rsid w:val="00CC1ACA"/>
    <w:rsid w:val="00CC32CD"/>
    <w:rsid w:val="00CC342F"/>
    <w:rsid w:val="00CC3F2D"/>
    <w:rsid w:val="00CC702E"/>
    <w:rsid w:val="00CD23D4"/>
    <w:rsid w:val="00CD31A0"/>
    <w:rsid w:val="00CD6565"/>
    <w:rsid w:val="00CE12C5"/>
    <w:rsid w:val="00CE4928"/>
    <w:rsid w:val="00CE5DC9"/>
    <w:rsid w:val="00CE60C3"/>
    <w:rsid w:val="00CF0977"/>
    <w:rsid w:val="00CF0AD2"/>
    <w:rsid w:val="00CF0C86"/>
    <w:rsid w:val="00CF2F0A"/>
    <w:rsid w:val="00CF3539"/>
    <w:rsid w:val="00CF4C6A"/>
    <w:rsid w:val="00CF5595"/>
    <w:rsid w:val="00CF5A6C"/>
    <w:rsid w:val="00CF5D61"/>
    <w:rsid w:val="00CF7242"/>
    <w:rsid w:val="00D010EF"/>
    <w:rsid w:val="00D03447"/>
    <w:rsid w:val="00D03733"/>
    <w:rsid w:val="00D03D6C"/>
    <w:rsid w:val="00D06A55"/>
    <w:rsid w:val="00D079A8"/>
    <w:rsid w:val="00D10F6A"/>
    <w:rsid w:val="00D14AB1"/>
    <w:rsid w:val="00D17A77"/>
    <w:rsid w:val="00D204AC"/>
    <w:rsid w:val="00D2110D"/>
    <w:rsid w:val="00D2361C"/>
    <w:rsid w:val="00D23C91"/>
    <w:rsid w:val="00D25823"/>
    <w:rsid w:val="00D27093"/>
    <w:rsid w:val="00D27464"/>
    <w:rsid w:val="00D27C2A"/>
    <w:rsid w:val="00D27E10"/>
    <w:rsid w:val="00D321FE"/>
    <w:rsid w:val="00D32352"/>
    <w:rsid w:val="00D32E78"/>
    <w:rsid w:val="00D3362E"/>
    <w:rsid w:val="00D34830"/>
    <w:rsid w:val="00D37FD9"/>
    <w:rsid w:val="00D401CF"/>
    <w:rsid w:val="00D41E98"/>
    <w:rsid w:val="00D43DD2"/>
    <w:rsid w:val="00D4738E"/>
    <w:rsid w:val="00D515AF"/>
    <w:rsid w:val="00D540A9"/>
    <w:rsid w:val="00D56067"/>
    <w:rsid w:val="00D56D16"/>
    <w:rsid w:val="00D5732B"/>
    <w:rsid w:val="00D62CFF"/>
    <w:rsid w:val="00D6506D"/>
    <w:rsid w:val="00D66E8F"/>
    <w:rsid w:val="00D71E3A"/>
    <w:rsid w:val="00D73371"/>
    <w:rsid w:val="00D7668B"/>
    <w:rsid w:val="00D816B4"/>
    <w:rsid w:val="00D81E31"/>
    <w:rsid w:val="00D85145"/>
    <w:rsid w:val="00D85408"/>
    <w:rsid w:val="00D86F5A"/>
    <w:rsid w:val="00D902DB"/>
    <w:rsid w:val="00D9086E"/>
    <w:rsid w:val="00D90ED2"/>
    <w:rsid w:val="00D93415"/>
    <w:rsid w:val="00DA0F69"/>
    <w:rsid w:val="00DA357E"/>
    <w:rsid w:val="00DA4771"/>
    <w:rsid w:val="00DA51E9"/>
    <w:rsid w:val="00DA743A"/>
    <w:rsid w:val="00DB0415"/>
    <w:rsid w:val="00DB4F00"/>
    <w:rsid w:val="00DB586F"/>
    <w:rsid w:val="00DB589D"/>
    <w:rsid w:val="00DB73C8"/>
    <w:rsid w:val="00DC2173"/>
    <w:rsid w:val="00DC3BD3"/>
    <w:rsid w:val="00DC4CE6"/>
    <w:rsid w:val="00DC4E27"/>
    <w:rsid w:val="00DC545C"/>
    <w:rsid w:val="00DC776A"/>
    <w:rsid w:val="00DD1D59"/>
    <w:rsid w:val="00DD279F"/>
    <w:rsid w:val="00DD2ADF"/>
    <w:rsid w:val="00DD35CD"/>
    <w:rsid w:val="00DD5F25"/>
    <w:rsid w:val="00DE0E57"/>
    <w:rsid w:val="00DE1183"/>
    <w:rsid w:val="00DE499B"/>
    <w:rsid w:val="00DE5DC1"/>
    <w:rsid w:val="00DE7410"/>
    <w:rsid w:val="00DF15C9"/>
    <w:rsid w:val="00DF1E0D"/>
    <w:rsid w:val="00E00826"/>
    <w:rsid w:val="00E02D60"/>
    <w:rsid w:val="00E03B1A"/>
    <w:rsid w:val="00E03F8B"/>
    <w:rsid w:val="00E04245"/>
    <w:rsid w:val="00E112CE"/>
    <w:rsid w:val="00E12F39"/>
    <w:rsid w:val="00E13605"/>
    <w:rsid w:val="00E1437A"/>
    <w:rsid w:val="00E15429"/>
    <w:rsid w:val="00E16049"/>
    <w:rsid w:val="00E166E2"/>
    <w:rsid w:val="00E16C8B"/>
    <w:rsid w:val="00E17A9B"/>
    <w:rsid w:val="00E20C1A"/>
    <w:rsid w:val="00E22855"/>
    <w:rsid w:val="00E257C1"/>
    <w:rsid w:val="00E305B2"/>
    <w:rsid w:val="00E312DF"/>
    <w:rsid w:val="00E33D08"/>
    <w:rsid w:val="00E35210"/>
    <w:rsid w:val="00E35670"/>
    <w:rsid w:val="00E37CA5"/>
    <w:rsid w:val="00E41747"/>
    <w:rsid w:val="00E42366"/>
    <w:rsid w:val="00E447AE"/>
    <w:rsid w:val="00E45548"/>
    <w:rsid w:val="00E468EE"/>
    <w:rsid w:val="00E52211"/>
    <w:rsid w:val="00E52B07"/>
    <w:rsid w:val="00E53167"/>
    <w:rsid w:val="00E534A1"/>
    <w:rsid w:val="00E53641"/>
    <w:rsid w:val="00E53E32"/>
    <w:rsid w:val="00E600A6"/>
    <w:rsid w:val="00E606B8"/>
    <w:rsid w:val="00E60A42"/>
    <w:rsid w:val="00E6181B"/>
    <w:rsid w:val="00E61D19"/>
    <w:rsid w:val="00E65DED"/>
    <w:rsid w:val="00E67076"/>
    <w:rsid w:val="00E6755D"/>
    <w:rsid w:val="00E713F0"/>
    <w:rsid w:val="00E722C4"/>
    <w:rsid w:val="00E74339"/>
    <w:rsid w:val="00E75F6F"/>
    <w:rsid w:val="00E76B02"/>
    <w:rsid w:val="00E76DFB"/>
    <w:rsid w:val="00E778BB"/>
    <w:rsid w:val="00E77CAA"/>
    <w:rsid w:val="00E814EA"/>
    <w:rsid w:val="00E81BA1"/>
    <w:rsid w:val="00E826F0"/>
    <w:rsid w:val="00E82D2B"/>
    <w:rsid w:val="00E83BA1"/>
    <w:rsid w:val="00E84CB9"/>
    <w:rsid w:val="00E858B7"/>
    <w:rsid w:val="00E86459"/>
    <w:rsid w:val="00E8667E"/>
    <w:rsid w:val="00E90CC7"/>
    <w:rsid w:val="00E93887"/>
    <w:rsid w:val="00E93E70"/>
    <w:rsid w:val="00E94AAB"/>
    <w:rsid w:val="00EA20B0"/>
    <w:rsid w:val="00EA36BB"/>
    <w:rsid w:val="00EA4AC6"/>
    <w:rsid w:val="00EA4F2D"/>
    <w:rsid w:val="00EA60AB"/>
    <w:rsid w:val="00EA626F"/>
    <w:rsid w:val="00EA6893"/>
    <w:rsid w:val="00EA7577"/>
    <w:rsid w:val="00EB0E83"/>
    <w:rsid w:val="00EB4462"/>
    <w:rsid w:val="00EB4AFF"/>
    <w:rsid w:val="00EB58FC"/>
    <w:rsid w:val="00EB59D5"/>
    <w:rsid w:val="00EB5CC1"/>
    <w:rsid w:val="00EB7F65"/>
    <w:rsid w:val="00EC0890"/>
    <w:rsid w:val="00EC20B4"/>
    <w:rsid w:val="00EC423A"/>
    <w:rsid w:val="00EC595D"/>
    <w:rsid w:val="00ED00A9"/>
    <w:rsid w:val="00ED1552"/>
    <w:rsid w:val="00ED44A0"/>
    <w:rsid w:val="00ED51CD"/>
    <w:rsid w:val="00ED6130"/>
    <w:rsid w:val="00ED6BCD"/>
    <w:rsid w:val="00ED76AA"/>
    <w:rsid w:val="00EE1416"/>
    <w:rsid w:val="00EE202B"/>
    <w:rsid w:val="00EE28E0"/>
    <w:rsid w:val="00EE3BFD"/>
    <w:rsid w:val="00EE4506"/>
    <w:rsid w:val="00EE5F8D"/>
    <w:rsid w:val="00EF090C"/>
    <w:rsid w:val="00EF0E6E"/>
    <w:rsid w:val="00EF72D0"/>
    <w:rsid w:val="00F001B7"/>
    <w:rsid w:val="00F012D2"/>
    <w:rsid w:val="00F024CF"/>
    <w:rsid w:val="00F036C8"/>
    <w:rsid w:val="00F036DF"/>
    <w:rsid w:val="00F0391D"/>
    <w:rsid w:val="00F06344"/>
    <w:rsid w:val="00F11E66"/>
    <w:rsid w:val="00F12EC5"/>
    <w:rsid w:val="00F13055"/>
    <w:rsid w:val="00F1393C"/>
    <w:rsid w:val="00F14044"/>
    <w:rsid w:val="00F14AEA"/>
    <w:rsid w:val="00F15625"/>
    <w:rsid w:val="00F16026"/>
    <w:rsid w:val="00F17B8C"/>
    <w:rsid w:val="00F20163"/>
    <w:rsid w:val="00F22DE7"/>
    <w:rsid w:val="00F23BF5"/>
    <w:rsid w:val="00F242B3"/>
    <w:rsid w:val="00F26629"/>
    <w:rsid w:val="00F26EF4"/>
    <w:rsid w:val="00F30C22"/>
    <w:rsid w:val="00F31AE8"/>
    <w:rsid w:val="00F326A6"/>
    <w:rsid w:val="00F32C72"/>
    <w:rsid w:val="00F33688"/>
    <w:rsid w:val="00F372B6"/>
    <w:rsid w:val="00F41CC7"/>
    <w:rsid w:val="00F41D83"/>
    <w:rsid w:val="00F4219D"/>
    <w:rsid w:val="00F45C66"/>
    <w:rsid w:val="00F45EEB"/>
    <w:rsid w:val="00F46C8B"/>
    <w:rsid w:val="00F46DF8"/>
    <w:rsid w:val="00F5010A"/>
    <w:rsid w:val="00F51BE1"/>
    <w:rsid w:val="00F56292"/>
    <w:rsid w:val="00F6510F"/>
    <w:rsid w:val="00F66BE3"/>
    <w:rsid w:val="00F70238"/>
    <w:rsid w:val="00F70A2F"/>
    <w:rsid w:val="00F719F0"/>
    <w:rsid w:val="00F73CDA"/>
    <w:rsid w:val="00F74334"/>
    <w:rsid w:val="00F80E45"/>
    <w:rsid w:val="00F81C6A"/>
    <w:rsid w:val="00F83044"/>
    <w:rsid w:val="00F83B0D"/>
    <w:rsid w:val="00F84271"/>
    <w:rsid w:val="00F8690E"/>
    <w:rsid w:val="00F924C6"/>
    <w:rsid w:val="00F9288E"/>
    <w:rsid w:val="00F96B0A"/>
    <w:rsid w:val="00F9710B"/>
    <w:rsid w:val="00FA14E7"/>
    <w:rsid w:val="00FA17F8"/>
    <w:rsid w:val="00FA21FF"/>
    <w:rsid w:val="00FA3D6A"/>
    <w:rsid w:val="00FA5FE5"/>
    <w:rsid w:val="00FA7A87"/>
    <w:rsid w:val="00FB2B3A"/>
    <w:rsid w:val="00FB4F04"/>
    <w:rsid w:val="00FB6DC0"/>
    <w:rsid w:val="00FB76B7"/>
    <w:rsid w:val="00FC29CC"/>
    <w:rsid w:val="00FC3228"/>
    <w:rsid w:val="00FC52D1"/>
    <w:rsid w:val="00FC5BC4"/>
    <w:rsid w:val="00FC6717"/>
    <w:rsid w:val="00FD31F5"/>
    <w:rsid w:val="00FD3C51"/>
    <w:rsid w:val="00FD3F77"/>
    <w:rsid w:val="00FD4972"/>
    <w:rsid w:val="00FD6CDE"/>
    <w:rsid w:val="00FE1E85"/>
    <w:rsid w:val="00FE5914"/>
    <w:rsid w:val="00FE7695"/>
    <w:rsid w:val="00FF06F4"/>
    <w:rsid w:val="00FF3760"/>
    <w:rsid w:val="00FF3BFB"/>
    <w:rsid w:val="00FF6104"/>
    <w:rsid w:val="00FF7083"/>
    <w:rsid w:val="00FF7E59"/>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2"/>
    <o:shapelayout v:ext="edit">
      <o:idmap v:ext="edit" data="2"/>
    </o:shapelayout>
  </w:shapeDefaults>
  <w:decimalSymbol w:val=","/>
  <w:listSeparator w:val=";"/>
  <w14:docId w14:val="2E319998"/>
  <w14:defaultImageDpi w14:val="32767"/>
  <w15:chartTrackingRefBased/>
  <w15:docId w15:val="{670E877E-FBFF-4509-B233-2233EACAA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1FF"/>
    <w:pPr>
      <w:spacing w:line="360" w:lineRule="auto"/>
      <w:jc w:val="both"/>
    </w:pPr>
    <w:rPr>
      <w:rFonts w:ascii="Arial" w:hAnsi="Arial"/>
    </w:rPr>
  </w:style>
  <w:style w:type="paragraph" w:styleId="Heading1">
    <w:name w:val="heading 1"/>
    <w:basedOn w:val="Normal"/>
    <w:next w:val="Normal"/>
    <w:link w:val="Heading1Char"/>
    <w:uiPriority w:val="9"/>
    <w:qFormat/>
    <w:rsid w:val="00E61D19"/>
    <w:pPr>
      <w:keepNext/>
      <w:keepLines/>
      <w:spacing w:before="240" w:after="240"/>
      <w:outlineLvl w:val="0"/>
    </w:pPr>
    <w:rPr>
      <w:rFonts w:eastAsiaTheme="majorEastAsia" w:cstheme="majorBidi"/>
      <w:b/>
      <w:sz w:val="20"/>
      <w:szCs w:val="32"/>
    </w:rPr>
  </w:style>
  <w:style w:type="paragraph" w:styleId="Heading2">
    <w:name w:val="heading 2"/>
    <w:basedOn w:val="Normal"/>
    <w:next w:val="Normal"/>
    <w:link w:val="Heading2Char"/>
    <w:uiPriority w:val="9"/>
    <w:unhideWhenUsed/>
    <w:qFormat/>
    <w:rsid w:val="00051726"/>
    <w:pPr>
      <w:keepNext/>
      <w:keepLines/>
      <w:spacing w:after="0"/>
      <w:outlineLvl w:val="1"/>
    </w:pPr>
    <w:rPr>
      <w:rFonts w:eastAsiaTheme="majorEastAsia" w:cstheme="majorBidi"/>
      <w:b/>
      <w:szCs w:val="26"/>
      <w:lang w:val="de-DE"/>
    </w:rPr>
  </w:style>
  <w:style w:type="paragraph" w:styleId="Heading3">
    <w:name w:val="heading 3"/>
    <w:basedOn w:val="Normal"/>
    <w:next w:val="Normal"/>
    <w:link w:val="Heading3Char"/>
    <w:autoRedefine/>
    <w:uiPriority w:val="9"/>
    <w:semiHidden/>
    <w:unhideWhenUsed/>
    <w:qFormat/>
    <w:rsid w:val="00177545"/>
    <w:pPr>
      <w:numPr>
        <w:numId w:val="3"/>
      </w:numPr>
      <w:spacing w:before="240" w:after="240"/>
      <w:outlineLvl w:val="2"/>
    </w:pPr>
    <w:rPr>
      <w:rFonts w:ascii="Garamond" w:eastAsiaTheme="majorEastAsia" w:hAnsi="Garamond" w:cstheme="majorBidi"/>
      <w:iCs/>
      <w:sz w:val="28"/>
      <w:szCs w:val="26"/>
    </w:rPr>
  </w:style>
  <w:style w:type="paragraph" w:styleId="Heading4">
    <w:name w:val="heading 4"/>
    <w:basedOn w:val="Normal"/>
    <w:next w:val="Normal"/>
    <w:link w:val="Heading4Char"/>
    <w:uiPriority w:val="9"/>
    <w:unhideWhenUsed/>
    <w:qFormat/>
    <w:rsid w:val="004169A3"/>
    <w:pPr>
      <w:spacing w:before="240" w:after="0" w:line="271" w:lineRule="auto"/>
      <w:outlineLvl w:val="3"/>
    </w:pPr>
    <w:rPr>
      <w:rFonts w:ascii="Garamond" w:eastAsiaTheme="majorEastAsia" w:hAnsi="Garamond" w:cstheme="majorBidi"/>
      <w:bCs/>
      <w:smallCaps/>
      <w:spacing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69A3"/>
    <w:rPr>
      <w:rFonts w:ascii="Garamond" w:eastAsiaTheme="majorEastAsia" w:hAnsi="Garamond" w:cstheme="majorBidi"/>
      <w:iCs/>
      <w:sz w:val="28"/>
      <w:szCs w:val="26"/>
    </w:rPr>
  </w:style>
  <w:style w:type="character" w:customStyle="1" w:styleId="Heading4Char">
    <w:name w:val="Heading 4 Char"/>
    <w:basedOn w:val="DefaultParagraphFont"/>
    <w:link w:val="Heading4"/>
    <w:uiPriority w:val="9"/>
    <w:rsid w:val="004169A3"/>
    <w:rPr>
      <w:rFonts w:ascii="Garamond" w:eastAsiaTheme="majorEastAsia" w:hAnsi="Garamond" w:cstheme="majorBidi"/>
      <w:bCs/>
      <w:smallCaps/>
      <w:spacing w:val="5"/>
      <w:sz w:val="24"/>
      <w:szCs w:val="24"/>
    </w:rPr>
  </w:style>
  <w:style w:type="paragraph" w:customStyle="1" w:styleId="Paragraph">
    <w:name w:val="Paragraph"/>
    <w:basedOn w:val="Normal"/>
    <w:rsid w:val="00D10F6A"/>
    <w:pPr>
      <w:spacing w:before="120" w:after="0" w:line="240" w:lineRule="auto"/>
      <w:ind w:firstLine="720"/>
    </w:pPr>
    <w:rPr>
      <w:rFonts w:ascii="Times New Roman" w:eastAsia="Times New Roman" w:hAnsi="Times New Roman" w:cs="Times New Roman"/>
      <w:sz w:val="24"/>
      <w:szCs w:val="24"/>
    </w:rPr>
  </w:style>
  <w:style w:type="character" w:styleId="Hyperlink">
    <w:name w:val="Hyperlink"/>
    <w:basedOn w:val="DefaultParagraphFont"/>
    <w:uiPriority w:val="99"/>
    <w:rsid w:val="00D10F6A"/>
    <w:rPr>
      <w:color w:val="0000FF"/>
      <w:u w:val="single"/>
    </w:rPr>
  </w:style>
  <w:style w:type="character" w:customStyle="1" w:styleId="Heading1Char">
    <w:name w:val="Heading 1 Char"/>
    <w:basedOn w:val="DefaultParagraphFont"/>
    <w:link w:val="Heading1"/>
    <w:uiPriority w:val="9"/>
    <w:rsid w:val="00E61D19"/>
    <w:rPr>
      <w:rFonts w:ascii="Arial" w:eastAsiaTheme="majorEastAsia" w:hAnsi="Arial" w:cstheme="majorBidi"/>
      <w:b/>
      <w:sz w:val="20"/>
      <w:szCs w:val="32"/>
    </w:rPr>
  </w:style>
  <w:style w:type="character" w:customStyle="1" w:styleId="Heading2Char">
    <w:name w:val="Heading 2 Char"/>
    <w:basedOn w:val="DefaultParagraphFont"/>
    <w:link w:val="Heading2"/>
    <w:uiPriority w:val="9"/>
    <w:rsid w:val="00051726"/>
    <w:rPr>
      <w:rFonts w:ascii="Arial" w:eastAsiaTheme="majorEastAsia" w:hAnsi="Arial" w:cstheme="majorBidi"/>
      <w:b/>
      <w:szCs w:val="26"/>
      <w:lang w:val="de-DE"/>
    </w:rPr>
  </w:style>
  <w:style w:type="table" w:styleId="LightShading">
    <w:name w:val="Light Shading"/>
    <w:basedOn w:val="TableNormal"/>
    <w:uiPriority w:val="60"/>
    <w:rsid w:val="003E603C"/>
    <w:pPr>
      <w:spacing w:before="240" w:after="0" w:line="240" w:lineRule="auto"/>
      <w:jc w:val="both"/>
    </w:pPr>
    <w:rPr>
      <w:rFonts w:ascii="Constantia" w:eastAsiaTheme="majorEastAsia" w:hAnsi="Constantia" w:cstheme="majorBidi"/>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pPr>
        <w:wordWrap/>
        <w:spacing w:beforeLines="0" w:before="0" w:beforeAutospacing="0" w:afterLines="0" w:after="0" w:afterAutospacing="0" w:line="240" w:lineRule="auto"/>
      </w:pPr>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3E603C"/>
    <w:pPr>
      <w:spacing w:after="200" w:line="240" w:lineRule="auto"/>
    </w:pPr>
    <w:rPr>
      <w:i/>
      <w:iCs/>
      <w:color w:val="44546A" w:themeColor="text2"/>
      <w:sz w:val="18"/>
      <w:szCs w:val="18"/>
    </w:rPr>
  </w:style>
  <w:style w:type="paragraph" w:styleId="NoSpacing">
    <w:name w:val="No Spacing"/>
    <w:basedOn w:val="Normal"/>
    <w:link w:val="NoSpacingChar"/>
    <w:uiPriority w:val="1"/>
    <w:qFormat/>
    <w:rsid w:val="000313D2"/>
    <w:pPr>
      <w:spacing w:after="0" w:line="240" w:lineRule="auto"/>
    </w:pPr>
    <w:rPr>
      <w:rFonts w:ascii="Constantia" w:eastAsiaTheme="majorEastAsia" w:hAnsi="Constantia" w:cstheme="majorBidi"/>
      <w:sz w:val="24"/>
    </w:rPr>
  </w:style>
  <w:style w:type="character" w:customStyle="1" w:styleId="NoSpacingChar">
    <w:name w:val="No Spacing Char"/>
    <w:basedOn w:val="DefaultParagraphFont"/>
    <w:link w:val="NoSpacing"/>
    <w:uiPriority w:val="1"/>
    <w:rsid w:val="000313D2"/>
    <w:rPr>
      <w:rFonts w:ascii="Constantia" w:eastAsiaTheme="majorEastAsia" w:hAnsi="Constantia" w:cstheme="majorBidi"/>
      <w:sz w:val="24"/>
    </w:rPr>
  </w:style>
  <w:style w:type="paragraph" w:customStyle="1" w:styleId="Default">
    <w:name w:val="Default"/>
    <w:rsid w:val="000313D2"/>
    <w:pPr>
      <w:autoSpaceDE w:val="0"/>
      <w:autoSpaceDN w:val="0"/>
      <w:adjustRightInd w:val="0"/>
      <w:spacing w:before="240" w:after="0" w:line="240" w:lineRule="auto"/>
      <w:jc w:val="both"/>
    </w:pPr>
    <w:rPr>
      <w:rFonts w:ascii="Times New Roman" w:hAnsi="Times New Roman" w:cs="Times New Roman"/>
      <w:color w:val="000000"/>
      <w:sz w:val="24"/>
      <w:szCs w:val="24"/>
      <w:lang w:val="de-DE"/>
    </w:rPr>
  </w:style>
  <w:style w:type="table" w:styleId="ListTable6Colorful">
    <w:name w:val="List Table 6 Colorful"/>
    <w:basedOn w:val="TableNormal"/>
    <w:uiPriority w:val="51"/>
    <w:rsid w:val="000313D2"/>
    <w:pPr>
      <w:spacing w:before="240" w:after="0" w:line="240" w:lineRule="auto"/>
      <w:jc w:val="both"/>
    </w:pPr>
    <w:rPr>
      <w:rFonts w:ascii="Constantia" w:eastAsiaTheme="majorEastAsia" w:hAnsi="Constantia" w:cstheme="majorBidi"/>
      <w:color w:val="000000" w:themeColor="text1"/>
      <w:sz w:val="24"/>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465DFF"/>
    <w:pPr>
      <w:ind w:left="720"/>
      <w:contextualSpacing/>
    </w:pPr>
  </w:style>
  <w:style w:type="table" w:styleId="ListTable7Colorful">
    <w:name w:val="List Table 7 Colorful"/>
    <w:basedOn w:val="TableNormal"/>
    <w:uiPriority w:val="52"/>
    <w:rsid w:val="00FB6DC0"/>
    <w:pPr>
      <w:spacing w:after="0" w:line="240" w:lineRule="auto"/>
      <w:jc w:val="both"/>
    </w:pPr>
    <w:rPr>
      <w:color w:val="000000" w:themeColor="text1"/>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Heading">
    <w:name w:val="TOC Heading"/>
    <w:basedOn w:val="Heading1"/>
    <w:next w:val="Normal"/>
    <w:uiPriority w:val="39"/>
    <w:unhideWhenUsed/>
    <w:qFormat/>
    <w:rsid w:val="00004375"/>
    <w:pPr>
      <w:spacing w:after="0"/>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C34812"/>
    <w:pPr>
      <w:tabs>
        <w:tab w:val="left" w:pos="440"/>
        <w:tab w:val="right" w:leader="dot" w:pos="9062"/>
      </w:tabs>
      <w:spacing w:after="0" w:line="276" w:lineRule="auto"/>
      <w:jc w:val="left"/>
    </w:pPr>
    <w:rPr>
      <w:rFonts w:asciiTheme="minorHAnsi" w:hAnsiTheme="minorHAnsi" w:cstheme="minorHAnsi"/>
      <w:b/>
      <w:bCs/>
      <w:sz w:val="20"/>
      <w:szCs w:val="20"/>
    </w:rPr>
  </w:style>
  <w:style w:type="paragraph" w:styleId="TOC2">
    <w:name w:val="toc 2"/>
    <w:basedOn w:val="Normal"/>
    <w:next w:val="Normal"/>
    <w:autoRedefine/>
    <w:uiPriority w:val="39"/>
    <w:unhideWhenUsed/>
    <w:rsid w:val="00EB59D5"/>
    <w:pPr>
      <w:tabs>
        <w:tab w:val="right" w:leader="dot" w:pos="9062"/>
      </w:tabs>
      <w:spacing w:after="0"/>
      <w:ind w:left="221"/>
      <w:jc w:val="left"/>
    </w:pPr>
    <w:rPr>
      <w:rFonts w:asciiTheme="minorHAnsi" w:hAnsiTheme="minorHAnsi" w:cstheme="minorHAnsi"/>
      <w:i/>
      <w:iCs/>
      <w:sz w:val="20"/>
      <w:szCs w:val="20"/>
    </w:rPr>
  </w:style>
  <w:style w:type="table" w:styleId="TableGrid">
    <w:name w:val="Table Grid"/>
    <w:basedOn w:val="TableNormal"/>
    <w:uiPriority w:val="39"/>
    <w:rsid w:val="000417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1F14D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MText">
    <w:name w:val="SM Text"/>
    <w:basedOn w:val="Normal"/>
    <w:qFormat/>
    <w:rsid w:val="00447ACA"/>
    <w:pPr>
      <w:spacing w:after="0" w:line="240" w:lineRule="auto"/>
      <w:ind w:firstLine="480"/>
      <w:jc w:val="left"/>
    </w:pPr>
    <w:rPr>
      <w:rFonts w:asciiTheme="minorHAnsi" w:eastAsia="Times New Roman" w:hAnsiTheme="minorHAnsi"/>
      <w:sz w:val="24"/>
    </w:rPr>
  </w:style>
  <w:style w:type="paragraph" w:styleId="TOC3">
    <w:name w:val="toc 3"/>
    <w:basedOn w:val="Normal"/>
    <w:next w:val="Normal"/>
    <w:autoRedefine/>
    <w:uiPriority w:val="39"/>
    <w:unhideWhenUsed/>
    <w:rsid w:val="008468CD"/>
    <w:pPr>
      <w:spacing w:after="0"/>
      <w:ind w:left="44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8468CD"/>
    <w:pPr>
      <w:spacing w:after="0"/>
      <w:ind w:left="66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8468CD"/>
    <w:pPr>
      <w:spacing w:after="0"/>
      <w:ind w:left="88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8468CD"/>
    <w:pPr>
      <w:spacing w:after="0"/>
      <w:ind w:left="11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8468CD"/>
    <w:pPr>
      <w:spacing w:after="0"/>
      <w:ind w:left="132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8468CD"/>
    <w:pPr>
      <w:spacing w:after="0"/>
      <w:ind w:left="15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8468CD"/>
    <w:pPr>
      <w:spacing w:after="0"/>
      <w:ind w:left="1760"/>
      <w:jc w:val="left"/>
    </w:pPr>
    <w:rPr>
      <w:rFonts w:asciiTheme="minorHAnsi" w:hAnsiTheme="minorHAnsi" w:cstheme="minorHAnsi"/>
      <w:sz w:val="20"/>
      <w:szCs w:val="20"/>
    </w:rPr>
  </w:style>
  <w:style w:type="paragraph" w:customStyle="1" w:styleId="Anhang">
    <w:name w:val="Anhang"/>
    <w:next w:val="Normal"/>
    <w:qFormat/>
    <w:rsid w:val="00474D28"/>
    <w:pPr>
      <w:numPr>
        <w:numId w:val="10"/>
      </w:numPr>
      <w:spacing w:before="240" w:after="0" w:line="240" w:lineRule="auto"/>
      <w:ind w:left="357" w:hanging="357"/>
      <w:jc w:val="both"/>
      <w:outlineLvl w:val="5"/>
    </w:pPr>
    <w:rPr>
      <w:rFonts w:eastAsiaTheme="majorEastAsia" w:cstheme="majorBidi"/>
      <w:sz w:val="24"/>
    </w:rPr>
  </w:style>
  <w:style w:type="character" w:styleId="PlaceholderText">
    <w:name w:val="Placeholder Text"/>
    <w:basedOn w:val="DefaultParagraphFont"/>
    <w:uiPriority w:val="99"/>
    <w:semiHidden/>
    <w:rsid w:val="00CF5A6C"/>
    <w:rPr>
      <w:color w:val="808080"/>
    </w:rPr>
  </w:style>
  <w:style w:type="paragraph" w:customStyle="1" w:styleId="Text">
    <w:name w:val="Text"/>
    <w:rsid w:val="00CF5A6C"/>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fr-FR" w:eastAsia="de-DE"/>
      <w14:textOutline w14:w="0" w14:cap="flat" w14:cmpd="sng" w14:algn="ctr">
        <w14:noFill/>
        <w14:prstDash w14:val="solid"/>
        <w14:bevel/>
      </w14:textOutline>
    </w:rPr>
  </w:style>
  <w:style w:type="paragraph" w:customStyle="1" w:styleId="TextAA">
    <w:name w:val="Text A A"/>
    <w:rsid w:val="00CF5A6C"/>
    <w:pPr>
      <w:pBdr>
        <w:top w:val="nil"/>
        <w:left w:val="nil"/>
        <w:bottom w:val="nil"/>
        <w:right w:val="nil"/>
        <w:between w:val="nil"/>
        <w:bar w:val="nil"/>
      </w:pBdr>
      <w:spacing w:after="0" w:line="240" w:lineRule="auto"/>
    </w:pPr>
    <w:rPr>
      <w:rFonts w:ascii="Helvetica" w:eastAsia="Helvetica" w:hAnsi="Helvetica" w:cs="Helvetica"/>
      <w:color w:val="000000"/>
      <w:u w:color="000000"/>
      <w:bdr w:val="nil"/>
      <w:lang w:val="de-DE" w:eastAsia="de-DE"/>
    </w:rPr>
  </w:style>
  <w:style w:type="paragraph" w:customStyle="1" w:styleId="Titel1">
    <w:name w:val="Titel1"/>
    <w:basedOn w:val="Normal"/>
    <w:rsid w:val="00CF5A6C"/>
    <w:pPr>
      <w:spacing w:before="100" w:beforeAutospacing="1" w:after="100" w:afterAutospacing="1" w:line="240" w:lineRule="auto"/>
      <w:jc w:val="left"/>
    </w:pPr>
    <w:rPr>
      <w:rFonts w:ascii="Times New Roman" w:eastAsia="Times New Roman" w:hAnsi="Times New Roman" w:cs="Times New Roman"/>
      <w:sz w:val="24"/>
      <w:szCs w:val="24"/>
      <w:lang w:val="de-DE" w:eastAsia="de-DE"/>
    </w:rPr>
  </w:style>
  <w:style w:type="paragraph" w:styleId="Header">
    <w:name w:val="header"/>
    <w:basedOn w:val="Normal"/>
    <w:link w:val="HeaderChar"/>
    <w:uiPriority w:val="99"/>
    <w:unhideWhenUsed/>
    <w:rsid w:val="00CF5A6C"/>
    <w:pPr>
      <w:tabs>
        <w:tab w:val="center" w:pos="4536"/>
        <w:tab w:val="right" w:pos="9072"/>
      </w:tabs>
      <w:spacing w:after="0" w:line="240" w:lineRule="auto"/>
      <w:jc w:val="left"/>
    </w:pPr>
    <w:rPr>
      <w:rFonts w:asciiTheme="minorHAnsi" w:hAnsiTheme="minorHAnsi"/>
      <w:lang w:val="de-DE"/>
    </w:rPr>
  </w:style>
  <w:style w:type="character" w:customStyle="1" w:styleId="HeaderChar">
    <w:name w:val="Header Char"/>
    <w:basedOn w:val="DefaultParagraphFont"/>
    <w:link w:val="Header"/>
    <w:uiPriority w:val="99"/>
    <w:rsid w:val="00CF5A6C"/>
    <w:rPr>
      <w:lang w:val="de-DE"/>
    </w:rPr>
  </w:style>
  <w:style w:type="paragraph" w:styleId="Footer">
    <w:name w:val="footer"/>
    <w:basedOn w:val="Normal"/>
    <w:link w:val="FooterChar"/>
    <w:uiPriority w:val="99"/>
    <w:unhideWhenUsed/>
    <w:rsid w:val="00CF5A6C"/>
    <w:pPr>
      <w:tabs>
        <w:tab w:val="center" w:pos="4536"/>
        <w:tab w:val="right" w:pos="9072"/>
      </w:tabs>
      <w:spacing w:after="0" w:line="240" w:lineRule="auto"/>
      <w:jc w:val="left"/>
    </w:pPr>
    <w:rPr>
      <w:rFonts w:asciiTheme="minorHAnsi" w:hAnsiTheme="minorHAnsi"/>
      <w:lang w:val="de-DE"/>
    </w:rPr>
  </w:style>
  <w:style w:type="character" w:customStyle="1" w:styleId="FooterChar">
    <w:name w:val="Footer Char"/>
    <w:basedOn w:val="DefaultParagraphFont"/>
    <w:link w:val="Footer"/>
    <w:uiPriority w:val="99"/>
    <w:rsid w:val="00CF5A6C"/>
    <w:rPr>
      <w:lang w:val="de-DE"/>
    </w:rPr>
  </w:style>
  <w:style w:type="paragraph" w:styleId="FootnoteText">
    <w:name w:val="footnote text"/>
    <w:basedOn w:val="Normal"/>
    <w:link w:val="FootnoteTextChar"/>
    <w:uiPriority w:val="99"/>
    <w:semiHidden/>
    <w:unhideWhenUsed/>
    <w:rsid w:val="003E1CD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E1CDE"/>
    <w:rPr>
      <w:rFonts w:ascii="Arial" w:hAnsi="Arial"/>
      <w:sz w:val="20"/>
      <w:szCs w:val="20"/>
    </w:rPr>
  </w:style>
  <w:style w:type="character" w:styleId="FootnoteReference">
    <w:name w:val="footnote reference"/>
    <w:basedOn w:val="DefaultParagraphFont"/>
    <w:uiPriority w:val="99"/>
    <w:semiHidden/>
    <w:unhideWhenUsed/>
    <w:rsid w:val="003E1CD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352190">
      <w:bodyDiv w:val="1"/>
      <w:marLeft w:val="0"/>
      <w:marRight w:val="0"/>
      <w:marTop w:val="0"/>
      <w:marBottom w:val="0"/>
      <w:divBdr>
        <w:top w:val="none" w:sz="0" w:space="0" w:color="auto"/>
        <w:left w:val="none" w:sz="0" w:space="0" w:color="auto"/>
        <w:bottom w:val="none" w:sz="0" w:space="0" w:color="auto"/>
        <w:right w:val="none" w:sz="0" w:space="0" w:color="auto"/>
      </w:divBdr>
    </w:div>
    <w:div w:id="104276168">
      <w:bodyDiv w:val="1"/>
      <w:marLeft w:val="0"/>
      <w:marRight w:val="0"/>
      <w:marTop w:val="0"/>
      <w:marBottom w:val="0"/>
      <w:divBdr>
        <w:top w:val="none" w:sz="0" w:space="0" w:color="auto"/>
        <w:left w:val="none" w:sz="0" w:space="0" w:color="auto"/>
        <w:bottom w:val="none" w:sz="0" w:space="0" w:color="auto"/>
        <w:right w:val="none" w:sz="0" w:space="0" w:color="auto"/>
      </w:divBdr>
    </w:div>
    <w:div w:id="555118182">
      <w:bodyDiv w:val="1"/>
      <w:marLeft w:val="0"/>
      <w:marRight w:val="0"/>
      <w:marTop w:val="0"/>
      <w:marBottom w:val="0"/>
      <w:divBdr>
        <w:top w:val="none" w:sz="0" w:space="0" w:color="auto"/>
        <w:left w:val="none" w:sz="0" w:space="0" w:color="auto"/>
        <w:bottom w:val="none" w:sz="0" w:space="0" w:color="auto"/>
        <w:right w:val="none" w:sz="0" w:space="0" w:color="auto"/>
      </w:divBdr>
    </w:div>
    <w:div w:id="573315211">
      <w:bodyDiv w:val="1"/>
      <w:marLeft w:val="0"/>
      <w:marRight w:val="0"/>
      <w:marTop w:val="0"/>
      <w:marBottom w:val="0"/>
      <w:divBdr>
        <w:top w:val="none" w:sz="0" w:space="0" w:color="auto"/>
        <w:left w:val="none" w:sz="0" w:space="0" w:color="auto"/>
        <w:bottom w:val="none" w:sz="0" w:space="0" w:color="auto"/>
        <w:right w:val="none" w:sz="0" w:space="0" w:color="auto"/>
      </w:divBdr>
    </w:div>
    <w:div w:id="728965255">
      <w:bodyDiv w:val="1"/>
      <w:marLeft w:val="0"/>
      <w:marRight w:val="0"/>
      <w:marTop w:val="0"/>
      <w:marBottom w:val="0"/>
      <w:divBdr>
        <w:top w:val="none" w:sz="0" w:space="0" w:color="auto"/>
        <w:left w:val="none" w:sz="0" w:space="0" w:color="auto"/>
        <w:bottom w:val="none" w:sz="0" w:space="0" w:color="auto"/>
        <w:right w:val="none" w:sz="0" w:space="0" w:color="auto"/>
      </w:divBdr>
    </w:div>
    <w:div w:id="1010572286">
      <w:bodyDiv w:val="1"/>
      <w:marLeft w:val="0"/>
      <w:marRight w:val="0"/>
      <w:marTop w:val="0"/>
      <w:marBottom w:val="0"/>
      <w:divBdr>
        <w:top w:val="none" w:sz="0" w:space="0" w:color="auto"/>
        <w:left w:val="none" w:sz="0" w:space="0" w:color="auto"/>
        <w:bottom w:val="none" w:sz="0" w:space="0" w:color="auto"/>
        <w:right w:val="none" w:sz="0" w:space="0" w:color="auto"/>
      </w:divBdr>
    </w:div>
    <w:div w:id="1159424424">
      <w:bodyDiv w:val="1"/>
      <w:marLeft w:val="0"/>
      <w:marRight w:val="0"/>
      <w:marTop w:val="0"/>
      <w:marBottom w:val="0"/>
      <w:divBdr>
        <w:top w:val="none" w:sz="0" w:space="0" w:color="auto"/>
        <w:left w:val="none" w:sz="0" w:space="0" w:color="auto"/>
        <w:bottom w:val="none" w:sz="0" w:space="0" w:color="auto"/>
        <w:right w:val="none" w:sz="0" w:space="0" w:color="auto"/>
      </w:divBdr>
    </w:div>
    <w:div w:id="1230190213">
      <w:bodyDiv w:val="1"/>
      <w:marLeft w:val="0"/>
      <w:marRight w:val="0"/>
      <w:marTop w:val="0"/>
      <w:marBottom w:val="0"/>
      <w:divBdr>
        <w:top w:val="none" w:sz="0" w:space="0" w:color="auto"/>
        <w:left w:val="none" w:sz="0" w:space="0" w:color="auto"/>
        <w:bottom w:val="none" w:sz="0" w:space="0" w:color="auto"/>
        <w:right w:val="none" w:sz="0" w:space="0" w:color="auto"/>
      </w:divBdr>
    </w:div>
    <w:div w:id="1493448707">
      <w:bodyDiv w:val="1"/>
      <w:marLeft w:val="0"/>
      <w:marRight w:val="0"/>
      <w:marTop w:val="0"/>
      <w:marBottom w:val="0"/>
      <w:divBdr>
        <w:top w:val="none" w:sz="0" w:space="0" w:color="auto"/>
        <w:left w:val="none" w:sz="0" w:space="0" w:color="auto"/>
        <w:bottom w:val="none" w:sz="0" w:space="0" w:color="auto"/>
        <w:right w:val="none" w:sz="0" w:space="0" w:color="auto"/>
      </w:divBdr>
    </w:div>
    <w:div w:id="1813673598">
      <w:bodyDiv w:val="1"/>
      <w:marLeft w:val="0"/>
      <w:marRight w:val="0"/>
      <w:marTop w:val="0"/>
      <w:marBottom w:val="0"/>
      <w:divBdr>
        <w:top w:val="none" w:sz="0" w:space="0" w:color="auto"/>
        <w:left w:val="none" w:sz="0" w:space="0" w:color="auto"/>
        <w:bottom w:val="none" w:sz="0" w:space="0" w:color="auto"/>
        <w:right w:val="none" w:sz="0" w:space="0" w:color="auto"/>
      </w:divBdr>
    </w:div>
    <w:div w:id="197382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4.jpg"/><Relationship Id="rId42" Type="http://schemas.openxmlformats.org/officeDocument/2006/relationships/image" Target="media/image27.emf"/><Relationship Id="rId47" Type="http://schemas.openxmlformats.org/officeDocument/2006/relationships/oleObject" Target="embeddings/oleObject10.bin"/><Relationship Id="rId63" Type="http://schemas.openxmlformats.org/officeDocument/2006/relationships/image" Target="media/image38.emf"/><Relationship Id="rId68" Type="http://schemas.openxmlformats.org/officeDocument/2006/relationships/oleObject" Target="embeddings/oleObject20.bin"/><Relationship Id="rId84" Type="http://schemas.openxmlformats.org/officeDocument/2006/relationships/image" Target="media/image54.png"/><Relationship Id="rId89" Type="http://schemas.openxmlformats.org/officeDocument/2006/relationships/image" Target="media/image59.png"/><Relationship Id="rId112" Type="http://schemas.openxmlformats.org/officeDocument/2006/relationships/image" Target="media/image82.png"/><Relationship Id="rId16" Type="http://schemas.openxmlformats.org/officeDocument/2006/relationships/image" Target="media/image9.jpg"/><Relationship Id="rId107" Type="http://schemas.openxmlformats.org/officeDocument/2006/relationships/image" Target="media/image77.png"/><Relationship Id="rId11" Type="http://schemas.openxmlformats.org/officeDocument/2006/relationships/image" Target="media/image4.jpg"/><Relationship Id="rId32" Type="http://schemas.openxmlformats.org/officeDocument/2006/relationships/image" Target="media/image22.emf"/><Relationship Id="rId37" Type="http://schemas.openxmlformats.org/officeDocument/2006/relationships/oleObject" Target="embeddings/oleObject5.bin"/><Relationship Id="rId53" Type="http://schemas.openxmlformats.org/officeDocument/2006/relationships/image" Target="media/image33.emf"/><Relationship Id="rId58" Type="http://schemas.openxmlformats.org/officeDocument/2006/relationships/oleObject" Target="embeddings/oleObject15.bin"/><Relationship Id="rId74" Type="http://schemas.openxmlformats.org/officeDocument/2006/relationships/image" Target="media/image44.jpg"/><Relationship Id="rId79" Type="http://schemas.openxmlformats.org/officeDocument/2006/relationships/image" Target="media/image49.jpg"/><Relationship Id="rId102" Type="http://schemas.openxmlformats.org/officeDocument/2006/relationships/image" Target="media/image72.png"/><Relationship Id="rId123" Type="http://schemas.openxmlformats.org/officeDocument/2006/relationships/image" Target="media/image93.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15.jpg"/><Relationship Id="rId27" Type="http://schemas.openxmlformats.org/officeDocument/2006/relationships/image" Target="media/image19.jpg"/><Relationship Id="rId43" Type="http://schemas.openxmlformats.org/officeDocument/2006/relationships/oleObject" Target="embeddings/oleObject8.bin"/><Relationship Id="rId48" Type="http://schemas.openxmlformats.org/officeDocument/2006/relationships/image" Target="media/image30.emf"/><Relationship Id="rId64" Type="http://schemas.openxmlformats.org/officeDocument/2006/relationships/oleObject" Target="embeddings/oleObject18.bin"/><Relationship Id="rId69" Type="http://schemas.openxmlformats.org/officeDocument/2006/relationships/image" Target="media/image41.emf"/><Relationship Id="rId113" Type="http://schemas.openxmlformats.org/officeDocument/2006/relationships/image" Target="media/image83.png"/><Relationship Id="rId118" Type="http://schemas.openxmlformats.org/officeDocument/2006/relationships/image" Target="media/image88.png"/><Relationship Id="rId80" Type="http://schemas.openxmlformats.org/officeDocument/2006/relationships/image" Target="media/image50.jpg"/><Relationship Id="rId85" Type="http://schemas.openxmlformats.org/officeDocument/2006/relationships/image" Target="media/image55.pn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oleObject" Target="embeddings/oleObject3.bin"/><Relationship Id="rId38" Type="http://schemas.openxmlformats.org/officeDocument/2006/relationships/image" Target="media/image25.emf"/><Relationship Id="rId59" Type="http://schemas.openxmlformats.org/officeDocument/2006/relationships/image" Target="media/image36.emf"/><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4.png"/><Relationship Id="rId129" Type="http://schemas.openxmlformats.org/officeDocument/2006/relationships/glossaryDocument" Target="glossary/document.xml"/><Relationship Id="rId54" Type="http://schemas.openxmlformats.org/officeDocument/2006/relationships/oleObject" Target="embeddings/oleObject13.bin"/><Relationship Id="rId70" Type="http://schemas.openxmlformats.org/officeDocument/2006/relationships/oleObject" Target="embeddings/oleObject21.bin"/><Relationship Id="rId75" Type="http://schemas.openxmlformats.org/officeDocument/2006/relationships/image" Target="media/image45.jp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0.emf"/><Relationship Id="rId49" Type="http://schemas.openxmlformats.org/officeDocument/2006/relationships/oleObject" Target="embeddings/oleObject11.bin"/><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28.emf"/><Relationship Id="rId60" Type="http://schemas.openxmlformats.org/officeDocument/2006/relationships/oleObject" Target="embeddings/oleObject16.bin"/><Relationship Id="rId65" Type="http://schemas.openxmlformats.org/officeDocument/2006/relationships/image" Target="media/image39.emf"/><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theme" Target="theme/theme1.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oleObject" Target="embeddings/oleObject6.bin"/><Relationship Id="rId109" Type="http://schemas.openxmlformats.org/officeDocument/2006/relationships/image" Target="media/image79.png"/><Relationship Id="rId34" Type="http://schemas.openxmlformats.org/officeDocument/2006/relationships/image" Target="media/image23.emf"/><Relationship Id="rId50" Type="http://schemas.openxmlformats.org/officeDocument/2006/relationships/image" Target="media/image31.emf"/><Relationship Id="rId55" Type="http://schemas.openxmlformats.org/officeDocument/2006/relationships/image" Target="media/image34.emf"/><Relationship Id="rId76" Type="http://schemas.openxmlformats.org/officeDocument/2006/relationships/image" Target="media/image46.jp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90.png"/><Relationship Id="rId125" Type="http://schemas.openxmlformats.org/officeDocument/2006/relationships/image" Target="media/image95.jpg"/><Relationship Id="rId7" Type="http://schemas.openxmlformats.org/officeDocument/2006/relationships/endnotes" Target="endnotes.xml"/><Relationship Id="rId71" Type="http://schemas.openxmlformats.org/officeDocument/2006/relationships/image" Target="media/image42.emf"/><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7.jpg"/><Relationship Id="rId40" Type="http://schemas.openxmlformats.org/officeDocument/2006/relationships/image" Target="media/image26.emf"/><Relationship Id="rId45" Type="http://schemas.openxmlformats.org/officeDocument/2006/relationships/oleObject" Target="embeddings/oleObject9.bin"/><Relationship Id="rId66" Type="http://schemas.openxmlformats.org/officeDocument/2006/relationships/oleObject" Target="embeddings/oleObject19.bin"/><Relationship Id="rId87" Type="http://schemas.openxmlformats.org/officeDocument/2006/relationships/image" Target="media/image57.png"/><Relationship Id="rId110" Type="http://schemas.openxmlformats.org/officeDocument/2006/relationships/image" Target="media/image80.png"/><Relationship Id="rId115" Type="http://schemas.openxmlformats.org/officeDocument/2006/relationships/image" Target="media/image85.png"/><Relationship Id="rId61" Type="http://schemas.openxmlformats.org/officeDocument/2006/relationships/image" Target="media/image37.emf"/><Relationship Id="rId82" Type="http://schemas.openxmlformats.org/officeDocument/2006/relationships/image" Target="media/image52.pn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1.emf"/><Relationship Id="rId35" Type="http://schemas.openxmlformats.org/officeDocument/2006/relationships/oleObject" Target="embeddings/oleObject4.bin"/><Relationship Id="rId56" Type="http://schemas.openxmlformats.org/officeDocument/2006/relationships/oleObject" Target="embeddings/oleObject14.bin"/><Relationship Id="rId77" Type="http://schemas.openxmlformats.org/officeDocument/2006/relationships/image" Target="media/image47.jp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6.jpg"/><Relationship Id="rId8" Type="http://schemas.openxmlformats.org/officeDocument/2006/relationships/image" Target="media/image1.jpg"/><Relationship Id="rId51" Type="http://schemas.openxmlformats.org/officeDocument/2006/relationships/oleObject" Target="embeddings/oleObject12.bin"/><Relationship Id="rId72" Type="http://schemas.openxmlformats.org/officeDocument/2006/relationships/oleObject" Target="embeddings/oleObject22.bin"/><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tiff"/><Relationship Id="rId46" Type="http://schemas.openxmlformats.org/officeDocument/2006/relationships/image" Target="media/image29.emf"/><Relationship Id="rId67" Type="http://schemas.openxmlformats.org/officeDocument/2006/relationships/image" Target="media/image40.emf"/><Relationship Id="rId116" Type="http://schemas.openxmlformats.org/officeDocument/2006/relationships/image" Target="media/image86.png"/><Relationship Id="rId20" Type="http://schemas.openxmlformats.org/officeDocument/2006/relationships/image" Target="media/image13.jpg"/><Relationship Id="rId41" Type="http://schemas.openxmlformats.org/officeDocument/2006/relationships/oleObject" Target="embeddings/oleObject7.bin"/><Relationship Id="rId62" Type="http://schemas.openxmlformats.org/officeDocument/2006/relationships/oleObject" Target="embeddings/oleObject17.bin"/><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81.png"/><Relationship Id="rId15" Type="http://schemas.openxmlformats.org/officeDocument/2006/relationships/image" Target="media/image8.jpg"/><Relationship Id="rId36" Type="http://schemas.openxmlformats.org/officeDocument/2006/relationships/image" Target="media/image24.emf"/><Relationship Id="rId57" Type="http://schemas.openxmlformats.org/officeDocument/2006/relationships/image" Target="media/image35.emf"/><Relationship Id="rId106" Type="http://schemas.openxmlformats.org/officeDocument/2006/relationships/image" Target="media/image76.png"/><Relationship Id="rId127" Type="http://schemas.openxmlformats.org/officeDocument/2006/relationships/image" Target="media/image97.jpg"/><Relationship Id="rId10" Type="http://schemas.openxmlformats.org/officeDocument/2006/relationships/image" Target="media/image3.jpg"/><Relationship Id="rId31" Type="http://schemas.openxmlformats.org/officeDocument/2006/relationships/oleObject" Target="embeddings/oleObject2.bin"/><Relationship Id="rId52" Type="http://schemas.openxmlformats.org/officeDocument/2006/relationships/image" Target="media/image32.jpg"/><Relationship Id="rId73" Type="http://schemas.openxmlformats.org/officeDocument/2006/relationships/image" Target="media/image43.jpg"/><Relationship Id="rId78" Type="http://schemas.openxmlformats.org/officeDocument/2006/relationships/image" Target="media/image48.jpg"/><Relationship Id="rId94" Type="http://schemas.openxmlformats.org/officeDocument/2006/relationships/image" Target="media/image64.png"/><Relationship Id="rId99" Type="http://schemas.openxmlformats.org/officeDocument/2006/relationships/image" Target="media/image69.jpg"/><Relationship Id="rId101" Type="http://schemas.openxmlformats.org/officeDocument/2006/relationships/image" Target="media/image71.png"/><Relationship Id="rId122"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20D0D00ABBF49E4BA5565F187D58E9D"/>
        <w:category>
          <w:name w:val="General"/>
          <w:gallery w:val="placeholder"/>
        </w:category>
        <w:types>
          <w:type w:val="bbPlcHdr"/>
        </w:types>
        <w:behaviors>
          <w:behavior w:val="content"/>
        </w:behaviors>
        <w:guid w:val="{82EE59DD-1A01-4F33-A98C-EEC2D3A26BE5}"/>
      </w:docPartPr>
      <w:docPartBody>
        <w:p w:rsidR="00D27FDE" w:rsidRDefault="000D729C" w:rsidP="000D729C">
          <w:pPr>
            <w:pStyle w:val="220D0D00ABBF49E4BA5565F187D58E9D"/>
          </w:pPr>
          <w:r w:rsidRPr="00B2434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00"/>
    <w:family w:val="roman"/>
    <w:pitch w:val="default"/>
  </w:font>
  <w:font w:name="Helvetica">
    <w:panose1 w:val="020B0604020202020204"/>
    <w:charset w:val="00"/>
    <w:family w:val="swiss"/>
    <w:pitch w:val="variable"/>
    <w:sig w:usb0="20002A87" w:usb1="00000000" w:usb2="00000000" w:usb3="00000000" w:csb0="000001F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729C"/>
    <w:rsid w:val="00057182"/>
    <w:rsid w:val="000D729C"/>
    <w:rsid w:val="00345431"/>
    <w:rsid w:val="00495EC3"/>
    <w:rsid w:val="004E7F71"/>
    <w:rsid w:val="005545A8"/>
    <w:rsid w:val="00615149"/>
    <w:rsid w:val="00855F0F"/>
    <w:rsid w:val="00873BAC"/>
    <w:rsid w:val="00936568"/>
    <w:rsid w:val="00A81A21"/>
    <w:rsid w:val="00B01688"/>
    <w:rsid w:val="00B756CC"/>
    <w:rsid w:val="00CA4967"/>
    <w:rsid w:val="00D27FDE"/>
    <w:rsid w:val="00EE46F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729C"/>
    <w:rPr>
      <w:color w:val="808080"/>
    </w:rPr>
  </w:style>
  <w:style w:type="paragraph" w:customStyle="1" w:styleId="220D0D00ABBF49E4BA5565F187D58E9D">
    <w:name w:val="220D0D00ABBF49E4BA5565F187D58E9D"/>
    <w:rsid w:val="000D72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C4F8C1-89AE-477B-8C57-DE2DFFE1CA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35182</Words>
  <Characters>221649</Characters>
  <Application>Microsoft Office Word</Application>
  <DocSecurity>0</DocSecurity>
  <Lines>1847</Lines>
  <Paragraphs>512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Schneider</dc:creator>
  <cp:keywords/>
  <dc:description/>
  <cp:lastModifiedBy>Andreas Schneider</cp:lastModifiedBy>
  <cp:revision>1443</cp:revision>
  <cp:lastPrinted>2023-05-10T13:22:00Z</cp:lastPrinted>
  <dcterms:created xsi:type="dcterms:W3CDTF">2022-03-01T09:12:00Z</dcterms:created>
  <dcterms:modified xsi:type="dcterms:W3CDTF">2023-05-10T13:22:00Z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http://csl.mendeley.com/styles/487855331/american-chemical-society</vt:lpwstr>
  </property>
  <property fmtid="{D5CDD505-2E9C-101B-9397-08002B2CF9AE}" pid="3" name="Mendeley Recent Style Name 0_1">
    <vt:lpwstr>American Chemical Society - Andreas Schneider</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http://www.zotero.org/styles/angewandte-chemie</vt:lpwstr>
  </property>
  <property fmtid="{D5CDD505-2E9C-101B-9397-08002B2CF9AE}" pid="11" name="Mendeley Recent Style Name 4_1">
    <vt:lpwstr>Angewandte Chemie International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12th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http://www.zotero.org/styles/journal-of-the-american-chemical-society</vt:lpwstr>
  </property>
  <property fmtid="{D5CDD505-2E9C-101B-9397-08002B2CF9AE}" pid="19" name="Mendeley Recent Style Name 8_1">
    <vt:lpwstr>Journal of the American Chemical Society</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65fcc5f6-1c55-3700-81f3-86c072f8cd1d</vt:lpwstr>
  </property>
  <property fmtid="{D5CDD505-2E9C-101B-9397-08002B2CF9AE}" pid="24" name="Mendeley Citation Style_1">
    <vt:lpwstr>http://www.zotero.org/styles/nature</vt:lpwstr>
  </property>
</Properties>
</file>