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12348" w14:textId="340872A7" w:rsidR="000C6F0B" w:rsidRPr="000C6F0B" w:rsidRDefault="00DB03EE" w:rsidP="002C43BA">
      <w:pPr>
        <w:keepNext/>
        <w:keepLines/>
        <w:spacing w:before="160" w:after="120" w:line="360" w:lineRule="auto"/>
        <w:ind w:left="567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Hlk139877937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US Food and Drug Administration Adverse Event Reporting System</w:t>
      </w:r>
      <w:r w:rsidRPr="000C6F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0C6F0B" w:rsidRPr="000C6F0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search terms by substance (DAAs and opioids)</w:t>
      </w:r>
    </w:p>
    <w:tbl>
      <w:tblPr>
        <w:tblStyle w:val="TableGrid"/>
        <w:tblW w:w="9535" w:type="dxa"/>
        <w:tblInd w:w="56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200"/>
      </w:tblGrid>
      <w:tr w:rsidR="000C6F0B" w:rsidRPr="000C6F0B" w14:paraId="04DCFC71" w14:textId="77777777" w:rsidTr="002C43BA">
        <w:tc>
          <w:tcPr>
            <w:tcW w:w="2335" w:type="dxa"/>
            <w:vAlign w:val="center"/>
          </w:tcPr>
          <w:p w14:paraId="4E03280B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1" w:name="_Hlk103932952"/>
            <w:bookmarkEnd w:id="0"/>
            <w:r w:rsidRPr="000C6F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Substance</w:t>
            </w:r>
          </w:p>
        </w:tc>
        <w:tc>
          <w:tcPr>
            <w:tcW w:w="7200" w:type="dxa"/>
            <w:vAlign w:val="center"/>
          </w:tcPr>
          <w:p w14:paraId="6A24123F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Search Terms</w:t>
            </w:r>
          </w:p>
        </w:tc>
      </w:tr>
      <w:tr w:rsidR="000C6F0B" w:rsidRPr="000C6F0B" w14:paraId="0F72B21F" w14:textId="77777777" w:rsidTr="002C43BA">
        <w:tc>
          <w:tcPr>
            <w:tcW w:w="2335" w:type="dxa"/>
            <w:vAlign w:val="center"/>
          </w:tcPr>
          <w:p w14:paraId="2CCD30B3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Fentanyl</w:t>
            </w:r>
          </w:p>
        </w:tc>
        <w:tc>
          <w:tcPr>
            <w:tcW w:w="7200" w:type="dxa"/>
            <w:vAlign w:val="center"/>
          </w:tcPr>
          <w:p w14:paraId="56D21EF7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Generic names: fentanyl, fentanyl citrate, fentanyl hydrochloride,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acetylfentanyl</w:t>
            </w:r>
            <w:proofErr w:type="spellEnd"/>
          </w:p>
          <w:p w14:paraId="55FABEB3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Brand names: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Actiq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Duragesic®,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Sublimaze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Fentora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Abstral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Onsolis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™</w:t>
            </w:r>
          </w:p>
        </w:tc>
      </w:tr>
      <w:tr w:rsidR="000C6F0B" w:rsidRPr="000C6F0B" w14:paraId="3B673E40" w14:textId="77777777" w:rsidTr="002C43BA">
        <w:tc>
          <w:tcPr>
            <w:tcW w:w="2335" w:type="dxa"/>
            <w:vAlign w:val="center"/>
          </w:tcPr>
          <w:p w14:paraId="3E28019D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Hydrocodone</w:t>
            </w:r>
          </w:p>
        </w:tc>
        <w:tc>
          <w:tcPr>
            <w:tcW w:w="7200" w:type="dxa"/>
            <w:vAlign w:val="center"/>
          </w:tcPr>
          <w:p w14:paraId="1FD2C046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Generic names: Hydrocodone bitartrate, hydrocodone, hydrocodone bitartrate\ibuprofen, acetaminophen\hydrocodone bitartrate, acetaminophen\hydrocodone, hydrocodone, </w:t>
            </w:r>
          </w:p>
          <w:p w14:paraId="732707E8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Brand names: Vicodin®, Norco®, Lortab®,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Hysingla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Zohydro®,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Hycodan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Robidone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Anexsia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®, Co-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Gesic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Hycet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Hydromet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Ibudone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Liquicet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Lorcet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Maxidone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Reprexain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™,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Rezira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Tussicaps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Tussionex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Vicoprofen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Vituz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Xodol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Zolvit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™,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Zutripro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™,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Zydone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Tylox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®</w:t>
            </w:r>
          </w:p>
        </w:tc>
      </w:tr>
      <w:tr w:rsidR="000C6F0B" w:rsidRPr="000C6F0B" w14:paraId="0CF1FF46" w14:textId="77777777" w:rsidTr="002C43BA">
        <w:tc>
          <w:tcPr>
            <w:tcW w:w="2335" w:type="dxa"/>
            <w:vAlign w:val="center"/>
          </w:tcPr>
          <w:p w14:paraId="02CBF78B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Oxycodone</w:t>
            </w:r>
          </w:p>
        </w:tc>
        <w:tc>
          <w:tcPr>
            <w:tcW w:w="7200" w:type="dxa"/>
            <w:vAlign w:val="center"/>
          </w:tcPr>
          <w:p w14:paraId="65E43E40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Generic names: Oxycodone hydrochloride, oxycodone, oxycodone terephthalate, acetaminophen\oxycodone hydrochloride, aspirin\oxycodone chloride, acetaminophen\oxycodone hydrochloride\oxycodone terephthalate, naloxone hydrochloride\oxycodone chloride, oxycodone, </w:t>
            </w:r>
          </w:p>
          <w:p w14:paraId="00350448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Brand names: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Oxaydo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Xtampza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™, Oxycontin®,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Oxycet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Percocet®, Percodan®,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Roxicet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™,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Targiniq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™,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Xartemis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Targinact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Oxynorm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Roxicodone®,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Oxyfast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™,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Oxydose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Dazidox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Endone®,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Proladone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Targin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Troxyca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Combunox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™,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Endodan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®</w:t>
            </w:r>
          </w:p>
        </w:tc>
      </w:tr>
      <w:tr w:rsidR="000C6F0B" w:rsidRPr="000C6F0B" w14:paraId="1CB16916" w14:textId="77777777" w:rsidTr="002C43BA">
        <w:tc>
          <w:tcPr>
            <w:tcW w:w="2335" w:type="dxa"/>
            <w:vAlign w:val="center"/>
          </w:tcPr>
          <w:p w14:paraId="3ADACDFD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DAA</w:t>
            </w:r>
          </w:p>
        </w:tc>
        <w:tc>
          <w:tcPr>
            <w:tcW w:w="7200" w:type="dxa"/>
            <w:vAlign w:val="center"/>
          </w:tcPr>
          <w:p w14:paraId="771D358B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Generic names: glecaprevir/pibrentasvir, sofosbuvir/velpatasvir, ledipasvir/sofosbuvir, elbasvir/grazoprevir, and sofosbuvir/velpatasvir/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voxilaprevir</w:t>
            </w:r>
            <w:proofErr w:type="spellEnd"/>
          </w:p>
          <w:p w14:paraId="369C13D3" w14:textId="77777777" w:rsidR="000C6F0B" w:rsidRPr="000C6F0B" w:rsidRDefault="000C6F0B" w:rsidP="00DB03EE">
            <w:pPr>
              <w:spacing w:before="120" w:after="12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Brand names: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Mavyret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Epclusa®, Harvoni®,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Zepatier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®, </w:t>
            </w:r>
            <w:proofErr w:type="spellStart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Vosevi</w:t>
            </w:r>
            <w:proofErr w:type="spellEnd"/>
            <w:r w:rsidRPr="000C6F0B">
              <w:rPr>
                <w:rFonts w:ascii="Times New Roman" w:eastAsia="Calibri" w:hAnsi="Times New Roman" w:cs="Times New Roman"/>
                <w:sz w:val="24"/>
                <w:szCs w:val="24"/>
              </w:rPr>
              <w:t>®</w:t>
            </w:r>
          </w:p>
        </w:tc>
      </w:tr>
    </w:tbl>
    <w:bookmarkEnd w:id="1"/>
    <w:p w14:paraId="5D1925E4" w14:textId="13494DF2" w:rsidR="000C6F0B" w:rsidRPr="000C6F0B" w:rsidRDefault="000C6F0B" w:rsidP="002C43BA">
      <w:pPr>
        <w:spacing w:after="200" w:line="36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sectPr w:rsidR="000C6F0B" w:rsidRPr="000C6F0B" w:rsidSect="00C87A2F">
          <w:pgSz w:w="12240" w:h="15840"/>
          <w:pgMar w:top="1440" w:right="1440" w:bottom="1440" w:left="851" w:header="720" w:footer="720" w:gutter="0"/>
          <w:cols w:space="720"/>
          <w:docGrid w:linePitch="360"/>
        </w:sectPr>
      </w:pPr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DAA, direct-acting antiviral; FAERS, US Food and Drug Administration Adverse Event Reporting System</w:t>
      </w:r>
    </w:p>
    <w:p w14:paraId="20525F74" w14:textId="77777777" w:rsidR="00AC579A" w:rsidRDefault="00AC579A" w:rsidP="00ED3580">
      <w:pPr>
        <w:spacing w:after="200" w:line="360" w:lineRule="auto"/>
      </w:pPr>
    </w:p>
    <w:sectPr w:rsidR="00AC579A" w:rsidSect="00DB03E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0B"/>
    <w:rsid w:val="00004455"/>
    <w:rsid w:val="000305AA"/>
    <w:rsid w:val="00040B64"/>
    <w:rsid w:val="000479AB"/>
    <w:rsid w:val="000759A1"/>
    <w:rsid w:val="0008565F"/>
    <w:rsid w:val="00086982"/>
    <w:rsid w:val="000A5216"/>
    <w:rsid w:val="000A78F7"/>
    <w:rsid w:val="000C62FA"/>
    <w:rsid w:val="000C6F0B"/>
    <w:rsid w:val="000F288B"/>
    <w:rsid w:val="001013DE"/>
    <w:rsid w:val="00104BFA"/>
    <w:rsid w:val="0010751C"/>
    <w:rsid w:val="0013747E"/>
    <w:rsid w:val="001415F1"/>
    <w:rsid w:val="00153CF3"/>
    <w:rsid w:val="00161C53"/>
    <w:rsid w:val="00165D12"/>
    <w:rsid w:val="00171010"/>
    <w:rsid w:val="001764CB"/>
    <w:rsid w:val="00196C2F"/>
    <w:rsid w:val="00197EA5"/>
    <w:rsid w:val="001D367A"/>
    <w:rsid w:val="001E7A96"/>
    <w:rsid w:val="0020078C"/>
    <w:rsid w:val="00211AD5"/>
    <w:rsid w:val="00223B0A"/>
    <w:rsid w:val="00236A1F"/>
    <w:rsid w:val="00251564"/>
    <w:rsid w:val="00271860"/>
    <w:rsid w:val="0027507F"/>
    <w:rsid w:val="0028189E"/>
    <w:rsid w:val="0029563A"/>
    <w:rsid w:val="002A2004"/>
    <w:rsid w:val="002C3558"/>
    <w:rsid w:val="002C43BA"/>
    <w:rsid w:val="002E7FBB"/>
    <w:rsid w:val="00301F9D"/>
    <w:rsid w:val="0031012B"/>
    <w:rsid w:val="00313183"/>
    <w:rsid w:val="00325541"/>
    <w:rsid w:val="00334C92"/>
    <w:rsid w:val="00337DFD"/>
    <w:rsid w:val="003509F1"/>
    <w:rsid w:val="00351B37"/>
    <w:rsid w:val="00363482"/>
    <w:rsid w:val="003639BE"/>
    <w:rsid w:val="003708B4"/>
    <w:rsid w:val="00374208"/>
    <w:rsid w:val="003823F1"/>
    <w:rsid w:val="0039351B"/>
    <w:rsid w:val="003B3DF9"/>
    <w:rsid w:val="003B6C6C"/>
    <w:rsid w:val="003C2530"/>
    <w:rsid w:val="003D02AB"/>
    <w:rsid w:val="003F5054"/>
    <w:rsid w:val="004024F6"/>
    <w:rsid w:val="004055B0"/>
    <w:rsid w:val="00417E29"/>
    <w:rsid w:val="004246DC"/>
    <w:rsid w:val="00424C8A"/>
    <w:rsid w:val="004372D9"/>
    <w:rsid w:val="00443730"/>
    <w:rsid w:val="00443DF2"/>
    <w:rsid w:val="00456716"/>
    <w:rsid w:val="0046333F"/>
    <w:rsid w:val="00474C8C"/>
    <w:rsid w:val="0048387A"/>
    <w:rsid w:val="00492777"/>
    <w:rsid w:val="004B03AA"/>
    <w:rsid w:val="004C466F"/>
    <w:rsid w:val="004D125D"/>
    <w:rsid w:val="004D16CE"/>
    <w:rsid w:val="004D30B2"/>
    <w:rsid w:val="004F25D3"/>
    <w:rsid w:val="005019A7"/>
    <w:rsid w:val="00501E77"/>
    <w:rsid w:val="00511C43"/>
    <w:rsid w:val="00533E04"/>
    <w:rsid w:val="005405E5"/>
    <w:rsid w:val="00551918"/>
    <w:rsid w:val="00552E10"/>
    <w:rsid w:val="00552EFE"/>
    <w:rsid w:val="00553C79"/>
    <w:rsid w:val="005543A8"/>
    <w:rsid w:val="00554749"/>
    <w:rsid w:val="0056456E"/>
    <w:rsid w:val="00583507"/>
    <w:rsid w:val="005906AE"/>
    <w:rsid w:val="0059773A"/>
    <w:rsid w:val="005A3396"/>
    <w:rsid w:val="005B2462"/>
    <w:rsid w:val="005C193F"/>
    <w:rsid w:val="005F4505"/>
    <w:rsid w:val="005F4AD0"/>
    <w:rsid w:val="005F4EB5"/>
    <w:rsid w:val="006120D6"/>
    <w:rsid w:val="00613163"/>
    <w:rsid w:val="00641DDE"/>
    <w:rsid w:val="00652E92"/>
    <w:rsid w:val="00654928"/>
    <w:rsid w:val="006616DE"/>
    <w:rsid w:val="006A0CF6"/>
    <w:rsid w:val="006A47DE"/>
    <w:rsid w:val="006B416F"/>
    <w:rsid w:val="006B75AC"/>
    <w:rsid w:val="006E5A17"/>
    <w:rsid w:val="00703844"/>
    <w:rsid w:val="00715CFE"/>
    <w:rsid w:val="00717E06"/>
    <w:rsid w:val="00727FC8"/>
    <w:rsid w:val="00730B6D"/>
    <w:rsid w:val="00740E0C"/>
    <w:rsid w:val="00750BD8"/>
    <w:rsid w:val="00757CA9"/>
    <w:rsid w:val="007653EC"/>
    <w:rsid w:val="00784CC1"/>
    <w:rsid w:val="00784D4C"/>
    <w:rsid w:val="00790E98"/>
    <w:rsid w:val="00796EB8"/>
    <w:rsid w:val="007A41A6"/>
    <w:rsid w:val="007A4A9A"/>
    <w:rsid w:val="007A6D62"/>
    <w:rsid w:val="007A708E"/>
    <w:rsid w:val="007B2CD0"/>
    <w:rsid w:val="007B76A7"/>
    <w:rsid w:val="007C53BD"/>
    <w:rsid w:val="007F6640"/>
    <w:rsid w:val="008013E9"/>
    <w:rsid w:val="00820A9E"/>
    <w:rsid w:val="00825CB1"/>
    <w:rsid w:val="00836610"/>
    <w:rsid w:val="00842A8E"/>
    <w:rsid w:val="00845CE9"/>
    <w:rsid w:val="00852BA9"/>
    <w:rsid w:val="008630ED"/>
    <w:rsid w:val="00870776"/>
    <w:rsid w:val="0088318F"/>
    <w:rsid w:val="00896769"/>
    <w:rsid w:val="008B6D8A"/>
    <w:rsid w:val="008D38D4"/>
    <w:rsid w:val="008E0EB0"/>
    <w:rsid w:val="008E7105"/>
    <w:rsid w:val="008E7536"/>
    <w:rsid w:val="008F0C0F"/>
    <w:rsid w:val="008F41D9"/>
    <w:rsid w:val="008F7965"/>
    <w:rsid w:val="009303AD"/>
    <w:rsid w:val="00944F19"/>
    <w:rsid w:val="00963793"/>
    <w:rsid w:val="009639D0"/>
    <w:rsid w:val="00985693"/>
    <w:rsid w:val="009A79E8"/>
    <w:rsid w:val="009C0C60"/>
    <w:rsid w:val="009C7CE1"/>
    <w:rsid w:val="009D0613"/>
    <w:rsid w:val="009D4581"/>
    <w:rsid w:val="009E10AE"/>
    <w:rsid w:val="009E3D8C"/>
    <w:rsid w:val="009E415F"/>
    <w:rsid w:val="009F64CE"/>
    <w:rsid w:val="00A12FD9"/>
    <w:rsid w:val="00A27A03"/>
    <w:rsid w:val="00A35728"/>
    <w:rsid w:val="00A454E9"/>
    <w:rsid w:val="00A55DD6"/>
    <w:rsid w:val="00A73649"/>
    <w:rsid w:val="00A8789C"/>
    <w:rsid w:val="00AB4E99"/>
    <w:rsid w:val="00AB51F7"/>
    <w:rsid w:val="00AB57EE"/>
    <w:rsid w:val="00AC579A"/>
    <w:rsid w:val="00AC5CA7"/>
    <w:rsid w:val="00AD332F"/>
    <w:rsid w:val="00AD6C77"/>
    <w:rsid w:val="00AF1BF6"/>
    <w:rsid w:val="00AF230D"/>
    <w:rsid w:val="00AF65EE"/>
    <w:rsid w:val="00B12492"/>
    <w:rsid w:val="00B244E2"/>
    <w:rsid w:val="00B3797B"/>
    <w:rsid w:val="00B529E2"/>
    <w:rsid w:val="00B63F00"/>
    <w:rsid w:val="00BA337C"/>
    <w:rsid w:val="00BA3693"/>
    <w:rsid w:val="00BB100F"/>
    <w:rsid w:val="00BB2884"/>
    <w:rsid w:val="00BD1583"/>
    <w:rsid w:val="00BD7B0E"/>
    <w:rsid w:val="00BE79FD"/>
    <w:rsid w:val="00BF0E38"/>
    <w:rsid w:val="00BF685A"/>
    <w:rsid w:val="00C04B56"/>
    <w:rsid w:val="00C27FF9"/>
    <w:rsid w:val="00C406E5"/>
    <w:rsid w:val="00C4161F"/>
    <w:rsid w:val="00C72A93"/>
    <w:rsid w:val="00C87A2F"/>
    <w:rsid w:val="00C93E7E"/>
    <w:rsid w:val="00CE1B00"/>
    <w:rsid w:val="00CF5870"/>
    <w:rsid w:val="00D0017B"/>
    <w:rsid w:val="00D17336"/>
    <w:rsid w:val="00D325EF"/>
    <w:rsid w:val="00D32DC9"/>
    <w:rsid w:val="00D340C3"/>
    <w:rsid w:val="00D35A64"/>
    <w:rsid w:val="00D55288"/>
    <w:rsid w:val="00D64EDC"/>
    <w:rsid w:val="00D74C86"/>
    <w:rsid w:val="00D814D3"/>
    <w:rsid w:val="00DA2CD5"/>
    <w:rsid w:val="00DB03EE"/>
    <w:rsid w:val="00DC23E1"/>
    <w:rsid w:val="00DC4585"/>
    <w:rsid w:val="00DF69F4"/>
    <w:rsid w:val="00DF7952"/>
    <w:rsid w:val="00E12FBF"/>
    <w:rsid w:val="00E156A5"/>
    <w:rsid w:val="00E241FA"/>
    <w:rsid w:val="00E25C81"/>
    <w:rsid w:val="00E327B3"/>
    <w:rsid w:val="00E67708"/>
    <w:rsid w:val="00E95C00"/>
    <w:rsid w:val="00E977FE"/>
    <w:rsid w:val="00EA264B"/>
    <w:rsid w:val="00EA50DA"/>
    <w:rsid w:val="00EA74CA"/>
    <w:rsid w:val="00EB2D67"/>
    <w:rsid w:val="00EC100E"/>
    <w:rsid w:val="00ED2B13"/>
    <w:rsid w:val="00ED3580"/>
    <w:rsid w:val="00ED54A4"/>
    <w:rsid w:val="00EE25E1"/>
    <w:rsid w:val="00EE7544"/>
    <w:rsid w:val="00EF5C2B"/>
    <w:rsid w:val="00F032FC"/>
    <w:rsid w:val="00F253E4"/>
    <w:rsid w:val="00F3289D"/>
    <w:rsid w:val="00F33DC3"/>
    <w:rsid w:val="00F42EEF"/>
    <w:rsid w:val="00F46E03"/>
    <w:rsid w:val="00F50024"/>
    <w:rsid w:val="00F50CDC"/>
    <w:rsid w:val="00F521A7"/>
    <w:rsid w:val="00F5422E"/>
    <w:rsid w:val="00F63296"/>
    <w:rsid w:val="00FC1B2C"/>
    <w:rsid w:val="00FC46FC"/>
    <w:rsid w:val="00FD4D25"/>
    <w:rsid w:val="00FD723A"/>
    <w:rsid w:val="00FE378B"/>
    <w:rsid w:val="00F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EF439"/>
  <w15:chartTrackingRefBased/>
  <w15:docId w15:val="{61389BBE-DCC5-4BA2-A4E0-28562E71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7708"/>
    <w:pPr>
      <w:keepNext/>
      <w:keepLines/>
      <w:spacing w:before="480" w:after="240" w:line="276" w:lineRule="auto"/>
      <w:outlineLvl w:val="0"/>
    </w:pPr>
    <w:rPr>
      <w:rFonts w:ascii="Times New Roman" w:eastAsiaTheme="majorEastAsia" w:hAnsi="Times New Roman" w:cstheme="majorBidi"/>
      <w:b/>
      <w:sz w:val="2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6F0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23B0A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223B0A"/>
  </w:style>
  <w:style w:type="character" w:styleId="CommentReference">
    <w:name w:val="annotation reference"/>
    <w:basedOn w:val="DefaultParagraphFont"/>
    <w:uiPriority w:val="99"/>
    <w:semiHidden/>
    <w:unhideWhenUsed/>
    <w:rsid w:val="00EF5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5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5C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C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67708"/>
    <w:rPr>
      <w:rFonts w:ascii="Times New Roman" w:eastAsiaTheme="majorEastAsia" w:hAnsi="Times New Roman" w:cstheme="majorBidi"/>
      <w:b/>
      <w:sz w:val="28"/>
      <w:szCs w:val="32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67708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67708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E7751-2216-46C8-B547-03B04BAB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 (LW)</dc:creator>
  <cp:keywords/>
  <dc:description/>
  <cp:lastModifiedBy>Fishawack (MR)</cp:lastModifiedBy>
  <cp:revision>4</cp:revision>
  <dcterms:created xsi:type="dcterms:W3CDTF">2023-07-10T09:39:00Z</dcterms:created>
  <dcterms:modified xsi:type="dcterms:W3CDTF">2023-07-26T15:33:00Z</dcterms:modified>
</cp:coreProperties>
</file>