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20029" w:rsidRPr="00A21F64" w14:paraId="2FF3889D" w14:textId="77777777" w:rsidTr="00F26D6F">
        <w:tc>
          <w:tcPr>
            <w:tcW w:w="2265" w:type="dxa"/>
            <w:shd w:val="clear" w:color="auto" w:fill="F2F2F2" w:themeFill="background1" w:themeFillShade="F2"/>
          </w:tcPr>
          <w:p w14:paraId="0F4B4ED0" w14:textId="77777777" w:rsidR="00220029" w:rsidRPr="00A21F64" w:rsidRDefault="00220029" w:rsidP="00F26D6F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92%</w:t>
            </w:r>
          </w:p>
        </w:tc>
        <w:tc>
          <w:tcPr>
            <w:tcW w:w="2265" w:type="dxa"/>
          </w:tcPr>
          <w:p w14:paraId="571B2A9F" w14:textId="77777777" w:rsidR="00220029" w:rsidRPr="00A21F64" w:rsidRDefault="00220029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Digital slide and virtual microscopy-based routine and telepathology evaluation of routine gastrointestinal biopsy specimen</w:t>
            </w:r>
          </w:p>
        </w:tc>
        <w:tc>
          <w:tcPr>
            <w:tcW w:w="2266" w:type="dxa"/>
            <w:shd w:val="clear" w:color="auto" w:fill="F2F2F2" w:themeFill="background1" w:themeFillShade="F2"/>
          </w:tcPr>
          <w:p w14:paraId="483F0448" w14:textId="77777777" w:rsidR="00220029" w:rsidRPr="00A21F64" w:rsidRDefault="00220029" w:rsidP="00F26D6F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2003</w:t>
            </w:r>
          </w:p>
        </w:tc>
        <w:tc>
          <w:tcPr>
            <w:tcW w:w="2266" w:type="dxa"/>
          </w:tcPr>
          <w:p w14:paraId="349414ED" w14:textId="77777777" w:rsidR="00220029" w:rsidRPr="00A21F64" w:rsidRDefault="00220029" w:rsidP="00F26D6F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 xml:space="preserve">Molnar et al., Semmelweis University, Budapest, Hungary </w:t>
            </w:r>
            <w:r w:rsidRPr="00A21F64">
              <w:rPr>
                <w:rFonts w:ascii="Times" w:hAnsi="Times" w:cs="Times"/>
                <w:sz w:val="24"/>
                <w:szCs w:val="24"/>
                <w:vertAlign w:val="superscript"/>
              </w:rPr>
              <w:t>(11)</w:t>
            </w:r>
          </w:p>
        </w:tc>
      </w:tr>
      <w:tr w:rsidR="00220029" w:rsidRPr="00A21F64" w14:paraId="16F0C9E5" w14:textId="77777777" w:rsidTr="00F26D6F">
        <w:tc>
          <w:tcPr>
            <w:tcW w:w="2265" w:type="dxa"/>
            <w:shd w:val="clear" w:color="auto" w:fill="F2F2F2" w:themeFill="background1" w:themeFillShade="F2"/>
          </w:tcPr>
          <w:p w14:paraId="2CCCB193" w14:textId="77777777" w:rsidR="00220029" w:rsidRPr="00A21F64" w:rsidRDefault="00220029" w:rsidP="00F26D6F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95%</w:t>
            </w:r>
          </w:p>
        </w:tc>
        <w:tc>
          <w:tcPr>
            <w:tcW w:w="2265" w:type="dxa"/>
          </w:tcPr>
          <w:p w14:paraId="43C51344" w14:textId="77777777" w:rsidR="00220029" w:rsidRPr="00A21F64" w:rsidRDefault="00220029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WSI for primary diagnosis in the gastrointestinal tract</w:t>
            </w:r>
          </w:p>
        </w:tc>
        <w:tc>
          <w:tcPr>
            <w:tcW w:w="2266" w:type="dxa"/>
            <w:shd w:val="clear" w:color="auto" w:fill="F2F2F2" w:themeFill="background1" w:themeFillShade="F2"/>
          </w:tcPr>
          <w:p w14:paraId="7A8100C0" w14:textId="77777777" w:rsidR="00220029" w:rsidRPr="00A21F64" w:rsidRDefault="00220029" w:rsidP="00F26D6F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2009</w:t>
            </w:r>
          </w:p>
        </w:tc>
        <w:tc>
          <w:tcPr>
            <w:tcW w:w="2266" w:type="dxa"/>
          </w:tcPr>
          <w:p w14:paraId="4206B8EA" w14:textId="77777777" w:rsidR="00220029" w:rsidRPr="00A21F64" w:rsidRDefault="00220029" w:rsidP="00F26D6F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 xml:space="preserve">Al Janabi et al, Utrecht, NL </w:t>
            </w:r>
            <w:r w:rsidRPr="00A21F64">
              <w:rPr>
                <w:rFonts w:ascii="Times" w:hAnsi="Times" w:cs="Times"/>
                <w:sz w:val="24"/>
                <w:szCs w:val="24"/>
                <w:vertAlign w:val="superscript"/>
              </w:rPr>
              <w:t>(7)</w:t>
            </w:r>
          </w:p>
        </w:tc>
      </w:tr>
      <w:tr w:rsidR="00220029" w:rsidRPr="00A21F64" w14:paraId="45129EFA" w14:textId="77777777" w:rsidTr="00F26D6F">
        <w:tc>
          <w:tcPr>
            <w:tcW w:w="2265" w:type="dxa"/>
            <w:shd w:val="clear" w:color="auto" w:fill="F2F2F2" w:themeFill="background1" w:themeFillShade="F2"/>
          </w:tcPr>
          <w:p w14:paraId="2E7E0459" w14:textId="77777777" w:rsidR="00220029" w:rsidRPr="00A21F64" w:rsidRDefault="00220029" w:rsidP="00F26D6F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95%</w:t>
            </w:r>
          </w:p>
        </w:tc>
        <w:tc>
          <w:tcPr>
            <w:tcW w:w="2265" w:type="dxa"/>
          </w:tcPr>
          <w:p w14:paraId="33799FFA" w14:textId="77777777" w:rsidR="00220029" w:rsidRPr="00A21F64" w:rsidRDefault="00220029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Concordance between digital pathology and light microscopy in general surgical practice: a pilot study of 100 cases</w:t>
            </w:r>
          </w:p>
          <w:p w14:paraId="5BFB04E6" w14:textId="77777777" w:rsidR="00220029" w:rsidRPr="00A21F64" w:rsidRDefault="00220029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47F7C58B" w14:textId="77777777" w:rsidR="00220029" w:rsidRPr="00A21F64" w:rsidRDefault="00220029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2014</w:t>
            </w:r>
          </w:p>
        </w:tc>
        <w:tc>
          <w:tcPr>
            <w:tcW w:w="2266" w:type="dxa"/>
          </w:tcPr>
          <w:p w14:paraId="0762451C" w14:textId="77777777" w:rsidR="00220029" w:rsidRPr="00A21F64" w:rsidRDefault="00220029" w:rsidP="00F26D6F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 xml:space="preserve">Houghton et al., Belfast, Ireland </w:t>
            </w:r>
            <w:r w:rsidRPr="00A21F64">
              <w:rPr>
                <w:rFonts w:ascii="Times" w:hAnsi="Times" w:cs="Times"/>
                <w:sz w:val="24"/>
                <w:szCs w:val="24"/>
                <w:vertAlign w:val="superscript"/>
              </w:rPr>
              <w:t>(12)</w:t>
            </w:r>
          </w:p>
          <w:p w14:paraId="6001EDF4" w14:textId="77777777" w:rsidR="00220029" w:rsidRPr="00A21F64" w:rsidRDefault="00220029" w:rsidP="00F26D6F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220029" w:rsidRPr="00A21F64" w14:paraId="4B41EC8B" w14:textId="77777777" w:rsidTr="00F26D6F">
        <w:tc>
          <w:tcPr>
            <w:tcW w:w="2265" w:type="dxa"/>
            <w:shd w:val="clear" w:color="auto" w:fill="F2F2F2" w:themeFill="background1" w:themeFillShade="F2"/>
          </w:tcPr>
          <w:p w14:paraId="7669C7E4" w14:textId="77777777" w:rsidR="00220029" w:rsidRPr="00A21F64" w:rsidRDefault="00220029" w:rsidP="00F26D6F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92,4 %</w:t>
            </w:r>
          </w:p>
        </w:tc>
        <w:tc>
          <w:tcPr>
            <w:tcW w:w="2265" w:type="dxa"/>
          </w:tcPr>
          <w:p w14:paraId="53266552" w14:textId="77777777" w:rsidR="00220029" w:rsidRPr="00A21F64" w:rsidRDefault="00220029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The diagnostic concordance of WSI and light microscopy, review, and the result is weighted by the number of studies</w:t>
            </w:r>
          </w:p>
        </w:tc>
        <w:tc>
          <w:tcPr>
            <w:tcW w:w="2266" w:type="dxa"/>
            <w:shd w:val="clear" w:color="auto" w:fill="F2F2F2" w:themeFill="background1" w:themeFillShade="F2"/>
          </w:tcPr>
          <w:p w14:paraId="0309DF6C" w14:textId="77777777" w:rsidR="00220029" w:rsidRPr="00A21F64" w:rsidRDefault="00220029" w:rsidP="00F26D6F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2017</w:t>
            </w:r>
          </w:p>
        </w:tc>
        <w:tc>
          <w:tcPr>
            <w:tcW w:w="2266" w:type="dxa"/>
          </w:tcPr>
          <w:p w14:paraId="2CCCE38A" w14:textId="77777777" w:rsidR="00220029" w:rsidRPr="00A21F64" w:rsidRDefault="00220029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proofErr w:type="spellStart"/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Goacher</w:t>
            </w:r>
            <w:proofErr w:type="spellEnd"/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 xml:space="preserve"> et al., University of Leeds, England </w:t>
            </w:r>
            <w:r w:rsidRPr="00A21F64">
              <w:rPr>
                <w:rFonts w:ascii="Times" w:hAnsi="Times" w:cs="Times"/>
                <w:sz w:val="24"/>
                <w:szCs w:val="24"/>
                <w:vertAlign w:val="superscript"/>
                <w:lang w:val="en-US"/>
              </w:rPr>
              <w:t>(5)</w:t>
            </w:r>
          </w:p>
        </w:tc>
      </w:tr>
      <w:tr w:rsidR="00220029" w:rsidRPr="00A21F64" w14:paraId="678FD8D2" w14:textId="77777777" w:rsidTr="00F26D6F">
        <w:tc>
          <w:tcPr>
            <w:tcW w:w="2265" w:type="dxa"/>
            <w:shd w:val="clear" w:color="auto" w:fill="F2F2F2" w:themeFill="background1" w:themeFillShade="F2"/>
          </w:tcPr>
          <w:p w14:paraId="3B1C5EF2" w14:textId="77777777" w:rsidR="00220029" w:rsidRPr="00A21F64" w:rsidRDefault="00220029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97,8%</w:t>
            </w:r>
          </w:p>
        </w:tc>
        <w:tc>
          <w:tcPr>
            <w:tcW w:w="2265" w:type="dxa"/>
          </w:tcPr>
          <w:p w14:paraId="4A734A92" w14:textId="77777777" w:rsidR="00220029" w:rsidRPr="00A21F64" w:rsidRDefault="00220029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Validation of a WSI teleconsultation network</w:t>
            </w:r>
          </w:p>
        </w:tc>
        <w:tc>
          <w:tcPr>
            <w:tcW w:w="2266" w:type="dxa"/>
            <w:shd w:val="clear" w:color="auto" w:fill="F2F2F2" w:themeFill="background1" w:themeFillShade="F2"/>
          </w:tcPr>
          <w:p w14:paraId="4400A904" w14:textId="77777777" w:rsidR="00220029" w:rsidRPr="00A21F64" w:rsidRDefault="00220029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2018</w:t>
            </w:r>
          </w:p>
        </w:tc>
        <w:tc>
          <w:tcPr>
            <w:tcW w:w="2266" w:type="dxa"/>
          </w:tcPr>
          <w:p w14:paraId="6860E075" w14:textId="77777777" w:rsidR="00220029" w:rsidRPr="00A21F64" w:rsidRDefault="00220029" w:rsidP="00F26D6F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 xml:space="preserve">Baidoshvili et al., Labpon Hengelo, Isala Zwolle, UMCG Groningen </w:t>
            </w:r>
            <w:r w:rsidRPr="00A21F64">
              <w:rPr>
                <w:rFonts w:ascii="Times" w:hAnsi="Times" w:cs="Times"/>
                <w:sz w:val="24"/>
                <w:szCs w:val="24"/>
                <w:vertAlign w:val="superscript"/>
              </w:rPr>
              <w:t>(3)</w:t>
            </w:r>
          </w:p>
        </w:tc>
      </w:tr>
    </w:tbl>
    <w:p w14:paraId="3A5B332B" w14:textId="77777777" w:rsidR="00220029" w:rsidRPr="00A30214" w:rsidRDefault="00220029" w:rsidP="00220029">
      <w:pPr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>Table</w:t>
      </w:r>
      <w:r w:rsidRPr="00A21F64">
        <w:rPr>
          <w:rFonts w:ascii="Times" w:hAnsi="Times" w:cs="Times"/>
          <w:b/>
          <w:sz w:val="24"/>
          <w:szCs w:val="24"/>
        </w:rPr>
        <w:t xml:space="preserve"> 1. </w:t>
      </w:r>
      <w:r w:rsidRPr="00A30214">
        <w:rPr>
          <w:rFonts w:ascii="Times" w:hAnsi="Times" w:cs="Times"/>
          <w:sz w:val="24"/>
          <w:szCs w:val="24"/>
        </w:rPr>
        <w:t>Results of concordance studies from different years</w:t>
      </w:r>
      <w:r w:rsidRPr="00A30214">
        <w:rPr>
          <w:rFonts w:ascii="Times" w:hAnsi="Times" w:cs="Times"/>
          <w:sz w:val="24"/>
          <w:szCs w:val="24"/>
          <w:shd w:val="clear" w:color="auto" w:fill="FFFFFF"/>
          <w:vertAlign w:val="superscript"/>
        </w:rPr>
        <w:t xml:space="preserve"> (2, 4, 6,13, 14)</w:t>
      </w:r>
    </w:p>
    <w:p w14:paraId="539EAFE5" w14:textId="77777777" w:rsidR="00FF570E" w:rsidRDefault="00FF570E">
      <w:bookmarkStart w:id="0" w:name="_GoBack"/>
      <w:bookmarkEnd w:id="0"/>
    </w:p>
    <w:sectPr w:rsidR="00FF5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E5E"/>
    <w:rsid w:val="00220029"/>
    <w:rsid w:val="00CE5E5E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586956-4B76-4C63-B505-5690F3D8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029"/>
    <w:pPr>
      <w:spacing w:after="8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0029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kache</dc:creator>
  <cp:keywords/>
  <dc:description/>
  <cp:lastModifiedBy>kache</cp:lastModifiedBy>
  <cp:revision>2</cp:revision>
  <dcterms:created xsi:type="dcterms:W3CDTF">2023-07-13T17:31:00Z</dcterms:created>
  <dcterms:modified xsi:type="dcterms:W3CDTF">2023-07-13T17:31:00Z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955e8d197f86cca72cfb26e3687206038c89c0a3c16a8d5fe863fc73f85e3c60</vt:lpwstr>
  </property>
</Properties>
</file>