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5249F" w14:textId="77777777" w:rsidR="00DB6BA9" w:rsidRDefault="00000000">
      <w:pPr>
        <w:jc w:val="center"/>
        <w:rPr>
          <w:b/>
          <w:bCs/>
          <w:sz w:val="36"/>
          <w:szCs w:val="36"/>
        </w:rPr>
      </w:pPr>
      <w:bookmarkStart w:id="0" w:name="_Hlk514663097"/>
      <w:r>
        <w:rPr>
          <w:rFonts w:hint="eastAsia"/>
          <w:b/>
          <w:bCs/>
          <w:sz w:val="36"/>
          <w:szCs w:val="36"/>
        </w:rPr>
        <w:t>Supplementary Material</w:t>
      </w:r>
    </w:p>
    <w:p w14:paraId="40AAB743" w14:textId="77777777" w:rsidR="00DB6BA9" w:rsidRDefault="00DB6BA9">
      <w:pPr>
        <w:rPr>
          <w:b/>
          <w:bCs/>
          <w:sz w:val="24"/>
        </w:rPr>
      </w:pPr>
    </w:p>
    <w:p w14:paraId="70455476" w14:textId="77777777" w:rsidR="00DB6BA9" w:rsidRDefault="00000000">
      <w:pPr>
        <w:jc w:val="center"/>
      </w:pPr>
      <w:r>
        <w:rPr>
          <w:rFonts w:hint="eastAsia"/>
          <w:b/>
          <w:bCs/>
          <w:sz w:val="24"/>
        </w:rPr>
        <w:t>Text S1</w:t>
      </w:r>
      <w:r>
        <w:rPr>
          <w:rFonts w:hint="eastAsia"/>
          <w:b/>
          <w:bCs/>
        </w:rPr>
        <w:t xml:space="preserve"> </w:t>
      </w:r>
      <w:r>
        <w:rPr>
          <w:rFonts w:hint="eastAsia"/>
          <w:sz w:val="24"/>
        </w:rPr>
        <w:t>Analysis methods of soil chemical properties</w:t>
      </w:r>
    </w:p>
    <w:p w14:paraId="2EC62BE1" w14:textId="77777777" w:rsidR="00DB6BA9" w:rsidRDefault="00000000">
      <w:pPr>
        <w:spacing w:line="360" w:lineRule="auto"/>
        <w:rPr>
          <w:sz w:val="24"/>
        </w:rPr>
      </w:pPr>
      <w:r>
        <w:rPr>
          <w:sz w:val="24"/>
        </w:rPr>
        <w:t>Soil pH and electrical conductivity were determined in 1:2.5 and 1:5 soil-water ratio, respectively. Available potassium was determined by flame photometry using NH</w:t>
      </w:r>
      <w:r>
        <w:rPr>
          <w:sz w:val="24"/>
          <w:vertAlign w:val="subscript"/>
        </w:rPr>
        <w:t>4</w:t>
      </w:r>
      <w:r>
        <w:rPr>
          <w:sz w:val="24"/>
        </w:rPr>
        <w:t>OAc. Total phosphorus was determined by molybdenum antimony colorimetric method using NH</w:t>
      </w:r>
      <w:r>
        <w:rPr>
          <w:sz w:val="24"/>
          <w:vertAlign w:val="subscript"/>
        </w:rPr>
        <w:t>4</w:t>
      </w:r>
      <w:r>
        <w:rPr>
          <w:sz w:val="24"/>
        </w:rPr>
        <w:t>F-HCl. Total nitrogen was determined by Semi-</w:t>
      </w:r>
      <w:proofErr w:type="gramStart"/>
      <w:r>
        <w:rPr>
          <w:sz w:val="24"/>
        </w:rPr>
        <w:t>micro Kelvin</w:t>
      </w:r>
      <w:proofErr w:type="gramEnd"/>
      <w:r>
        <w:rPr>
          <w:sz w:val="24"/>
        </w:rPr>
        <w:t>. Alkaline nitrogen was determined by alkaline diffusion method. Soil particle size distribution was measured by the hydrometer method. Soil organic matter was determined by the wet oxidation using concentrated H</w:t>
      </w:r>
      <w:r>
        <w:rPr>
          <w:sz w:val="24"/>
          <w:vertAlign w:val="subscript"/>
        </w:rPr>
        <w:t>2</w:t>
      </w:r>
      <w:r>
        <w:rPr>
          <w:sz w:val="24"/>
        </w:rPr>
        <w:t>SO</w:t>
      </w:r>
      <w:r>
        <w:rPr>
          <w:sz w:val="24"/>
          <w:vertAlign w:val="subscript"/>
        </w:rPr>
        <w:t>4</w:t>
      </w:r>
      <w:r>
        <w:rPr>
          <w:sz w:val="24"/>
        </w:rPr>
        <w:t xml:space="preserve"> and K</w:t>
      </w:r>
      <w:r>
        <w:rPr>
          <w:sz w:val="24"/>
          <w:vertAlign w:val="subscript"/>
        </w:rPr>
        <w:t>2</w:t>
      </w:r>
      <w:r>
        <w:rPr>
          <w:sz w:val="24"/>
        </w:rPr>
        <w:t>Cr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7</w:t>
      </w:r>
      <w:r>
        <w:rPr>
          <w:rFonts w:hint="eastAsia"/>
          <w:sz w:val="24"/>
          <w:vertAlign w:val="subscript"/>
        </w:rPr>
        <w:t xml:space="preserve"> </w:t>
      </w:r>
      <w:r>
        <w:rPr>
          <w:rFonts w:hint="eastAsia"/>
          <w:sz w:val="24"/>
        </w:rPr>
        <w:t>(Lu, 2000)</w:t>
      </w:r>
      <w:r>
        <w:rPr>
          <w:sz w:val="24"/>
        </w:rPr>
        <w:t xml:space="preserve">. </w:t>
      </w:r>
    </w:p>
    <w:p w14:paraId="038E17B5" w14:textId="77777777" w:rsidR="00DB6BA9" w:rsidRDefault="00DB6BA9">
      <w:pPr>
        <w:spacing w:line="360" w:lineRule="auto"/>
        <w:rPr>
          <w:sz w:val="24"/>
        </w:rPr>
      </w:pPr>
    </w:p>
    <w:p w14:paraId="7D301A5F" w14:textId="77777777" w:rsidR="00DB6BA9" w:rsidRDefault="00000000">
      <w:pPr>
        <w:spacing w:line="360" w:lineRule="auto"/>
        <w:rPr>
          <w:sz w:val="24"/>
        </w:rPr>
      </w:pPr>
      <w:r>
        <w:rPr>
          <w:sz w:val="24"/>
        </w:rPr>
        <w:t>The total HM concentrations in soils were determined by digestion with the mixture of HF, HNO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and HClO</w:t>
      </w:r>
      <w:r>
        <w:rPr>
          <w:sz w:val="24"/>
          <w:vertAlign w:val="subscript"/>
        </w:rPr>
        <w:t>4</w:t>
      </w:r>
      <w:r>
        <w:rPr>
          <w:sz w:val="24"/>
        </w:rPr>
        <w:t>. In this study, soil HM form content was measured by Tessier continuous extraction method. The extracted HM forms including five forms: (1) exchangeable form (1 M MgCl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pH=7.0)</w:t>
      </w:r>
      <w:r>
        <w:rPr>
          <w:rFonts w:hint="eastAsia"/>
          <w:sz w:val="24"/>
        </w:rPr>
        <w:t>,</w:t>
      </w:r>
      <w:r>
        <w:rPr>
          <w:sz w:val="24"/>
        </w:rPr>
        <w:t xml:space="preserve"> (2) carbonate bound form (1 M </w:t>
      </w:r>
      <w:proofErr w:type="spellStart"/>
      <w:r>
        <w:rPr>
          <w:sz w:val="24"/>
        </w:rPr>
        <w:t>NaOAc</w:t>
      </w:r>
      <w:proofErr w:type="spellEnd"/>
      <w:r>
        <w:rPr>
          <w:sz w:val="24"/>
        </w:rPr>
        <w:t xml:space="preserve"> pH=5.0)</w:t>
      </w:r>
      <w:r>
        <w:rPr>
          <w:rFonts w:hint="eastAsia"/>
          <w:sz w:val="24"/>
        </w:rPr>
        <w:t>,</w:t>
      </w:r>
      <w:r>
        <w:rPr>
          <w:sz w:val="24"/>
        </w:rPr>
        <w:t xml:space="preserve"> (3) Fe-Mn oxide bound form (0.04 M NH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OH.HCl in 25% </w:t>
      </w:r>
      <w:proofErr w:type="spellStart"/>
      <w:r>
        <w:rPr>
          <w:sz w:val="24"/>
        </w:rPr>
        <w:t>HOAc</w:t>
      </w:r>
      <w:proofErr w:type="spellEnd"/>
      <w:r>
        <w:rPr>
          <w:sz w:val="24"/>
        </w:rPr>
        <w:t>) pH=7.0</w:t>
      </w:r>
      <w:r>
        <w:rPr>
          <w:rFonts w:hint="eastAsia"/>
          <w:sz w:val="24"/>
        </w:rPr>
        <w:t>,</w:t>
      </w:r>
      <w:r>
        <w:rPr>
          <w:sz w:val="24"/>
        </w:rPr>
        <w:t xml:space="preserve"> (4) organic bound form (0.02 M HNO</w:t>
      </w:r>
      <w:r>
        <w:rPr>
          <w:sz w:val="24"/>
          <w:vertAlign w:val="subscript"/>
        </w:rPr>
        <w:t>3</w:t>
      </w:r>
      <w:r>
        <w:rPr>
          <w:sz w:val="24"/>
        </w:rPr>
        <w:t>/30% H2O2 pH=2.0/3.2 M NH</w:t>
      </w:r>
      <w:r>
        <w:rPr>
          <w:sz w:val="24"/>
          <w:vertAlign w:val="subscript"/>
        </w:rPr>
        <w:t>4</w:t>
      </w:r>
      <w:r>
        <w:rPr>
          <w:sz w:val="24"/>
        </w:rPr>
        <w:t>OAc in 20% HNO3)</w:t>
      </w:r>
      <w:r>
        <w:rPr>
          <w:rFonts w:hint="eastAsia"/>
          <w:sz w:val="24"/>
        </w:rPr>
        <w:t>,</w:t>
      </w:r>
      <w:r>
        <w:rPr>
          <w:sz w:val="24"/>
        </w:rPr>
        <w:t xml:space="preserve"> and (5) residual form (HF/ HNO</w:t>
      </w:r>
      <w:r>
        <w:rPr>
          <w:sz w:val="24"/>
          <w:vertAlign w:val="subscript"/>
        </w:rPr>
        <w:t>3</w:t>
      </w:r>
      <w:r>
        <w:rPr>
          <w:sz w:val="24"/>
        </w:rPr>
        <w:t>/HClO</w:t>
      </w:r>
      <w:r>
        <w:rPr>
          <w:sz w:val="24"/>
          <w:vertAlign w:val="subscript"/>
        </w:rPr>
        <w:t>4</w:t>
      </w:r>
      <w:r>
        <w:rPr>
          <w:sz w:val="24"/>
        </w:rPr>
        <w:t>). All the soil HM concentrations were determined by ICP-MS (Agilent 8800</w:t>
      </w:r>
      <w:r>
        <w:rPr>
          <w:rFonts w:hint="eastAsia"/>
          <w:sz w:val="24"/>
        </w:rPr>
        <w:t xml:space="preserve">, </w:t>
      </w:r>
      <w:r>
        <w:rPr>
          <w:sz w:val="24"/>
        </w:rPr>
        <w:t>ICP-MS, Agilent Technologies)</w:t>
      </w:r>
      <w:r>
        <w:rPr>
          <w:rFonts w:hint="eastAsia"/>
          <w:sz w:val="24"/>
        </w:rPr>
        <w:t>, with the detection limits of 0.01mg/kg (Cd), 0.1mg/kg (Cu), 0.1mg/kg (Pb), 0.1mg/kg (Zn), and 0.01mg/kg (Ni) (Sun et al., 2022; Yu et al., 2019)</w:t>
      </w:r>
      <w:r>
        <w:rPr>
          <w:sz w:val="24"/>
        </w:rPr>
        <w:t>. The HM concentrations in rice grain were determined by digestion with HNO</w:t>
      </w:r>
      <w:r>
        <w:rPr>
          <w:sz w:val="24"/>
          <w:vertAlign w:val="subscript"/>
        </w:rPr>
        <w:t>3</w:t>
      </w:r>
      <w:r>
        <w:rPr>
          <w:sz w:val="24"/>
        </w:rPr>
        <w:t>-H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2</w:t>
      </w:r>
      <w:r>
        <w:rPr>
          <w:rFonts w:hint="eastAsia"/>
          <w:sz w:val="24"/>
        </w:rPr>
        <w:t>,</w:t>
      </w:r>
      <w:r>
        <w:rPr>
          <w:sz w:val="24"/>
        </w:rPr>
        <w:t xml:space="preserve"> then determined by ICP-MS.</w:t>
      </w:r>
      <w:r>
        <w:rPr>
          <w:rFonts w:hint="eastAsia"/>
          <w:sz w:val="24"/>
        </w:rPr>
        <w:t xml:space="preserve"> The concentration of rice Pb is below detection limits of 0.1 mg/kg </w:t>
      </w:r>
      <w:proofErr w:type="gramStart"/>
      <w:r>
        <w:rPr>
          <w:rFonts w:hint="eastAsia"/>
          <w:sz w:val="24"/>
        </w:rPr>
        <w:t>( Liu</w:t>
      </w:r>
      <w:proofErr w:type="gramEnd"/>
      <w:r>
        <w:rPr>
          <w:rFonts w:hint="eastAsia"/>
          <w:sz w:val="24"/>
        </w:rPr>
        <w:t xml:space="preserve"> et al., 2021). </w:t>
      </w:r>
    </w:p>
    <w:p w14:paraId="3970A161" w14:textId="77777777" w:rsidR="00DB6BA9" w:rsidRDefault="00DB6BA9">
      <w:pPr>
        <w:spacing w:line="360" w:lineRule="auto"/>
        <w:rPr>
          <w:b/>
          <w:bCs/>
          <w:sz w:val="24"/>
        </w:rPr>
      </w:pPr>
    </w:p>
    <w:p w14:paraId="30EBCB40" w14:textId="77777777" w:rsidR="00DB6BA9" w:rsidRDefault="00DB6BA9">
      <w:pPr>
        <w:spacing w:line="360" w:lineRule="auto"/>
        <w:rPr>
          <w:b/>
          <w:bCs/>
          <w:szCs w:val="21"/>
        </w:rPr>
      </w:pPr>
    </w:p>
    <w:p w14:paraId="60E114E3" w14:textId="77777777" w:rsidR="00DB6BA9" w:rsidRDefault="00DB6BA9">
      <w:pPr>
        <w:spacing w:line="360" w:lineRule="auto"/>
        <w:jc w:val="center"/>
        <w:rPr>
          <w:b/>
          <w:bCs/>
          <w:sz w:val="24"/>
        </w:rPr>
      </w:pPr>
    </w:p>
    <w:p w14:paraId="35EB42F9" w14:textId="77777777" w:rsidR="00DB6BA9" w:rsidRDefault="00DB6BA9">
      <w:pPr>
        <w:spacing w:line="360" w:lineRule="auto"/>
        <w:jc w:val="center"/>
        <w:rPr>
          <w:b/>
          <w:bCs/>
          <w:sz w:val="24"/>
        </w:rPr>
      </w:pPr>
    </w:p>
    <w:p w14:paraId="1D7523A0" w14:textId="77777777" w:rsidR="00DB6BA9" w:rsidRDefault="00DB6BA9">
      <w:pPr>
        <w:spacing w:line="360" w:lineRule="auto"/>
        <w:jc w:val="center"/>
        <w:rPr>
          <w:b/>
          <w:bCs/>
          <w:sz w:val="24"/>
        </w:rPr>
      </w:pPr>
    </w:p>
    <w:p w14:paraId="31E46A72" w14:textId="77777777" w:rsidR="00DB6BA9" w:rsidRDefault="00DB6BA9">
      <w:pPr>
        <w:spacing w:line="360" w:lineRule="auto"/>
        <w:jc w:val="center"/>
        <w:rPr>
          <w:b/>
          <w:bCs/>
          <w:sz w:val="24"/>
        </w:rPr>
      </w:pPr>
    </w:p>
    <w:p w14:paraId="22D46F88" w14:textId="77777777" w:rsidR="00DB6BA9" w:rsidRDefault="00DB6BA9">
      <w:pPr>
        <w:spacing w:line="360" w:lineRule="auto"/>
        <w:jc w:val="center"/>
        <w:rPr>
          <w:b/>
          <w:bCs/>
          <w:sz w:val="24"/>
        </w:rPr>
      </w:pPr>
    </w:p>
    <w:p w14:paraId="4AC77F42" w14:textId="77777777" w:rsidR="00DB6BA9" w:rsidRDefault="00000000">
      <w:pPr>
        <w:spacing w:line="360" w:lineRule="auto"/>
        <w:jc w:val="center"/>
        <w:rPr>
          <w:rFonts w:cs="宋体"/>
          <w:szCs w:val="21"/>
        </w:rPr>
      </w:pPr>
      <w:r>
        <w:rPr>
          <w:rFonts w:hint="eastAsia"/>
          <w:b/>
          <w:bCs/>
          <w:sz w:val="24"/>
        </w:rPr>
        <w:t>Table S1</w:t>
      </w:r>
      <w:r>
        <w:rPr>
          <w:rFonts w:cs="宋体" w:hint="eastAsia"/>
          <w:b/>
          <w:bCs/>
          <w:szCs w:val="21"/>
        </w:rPr>
        <w:t xml:space="preserve"> </w:t>
      </w:r>
      <w:r>
        <w:rPr>
          <w:rFonts w:cs="宋体" w:hint="eastAsia"/>
          <w:sz w:val="24"/>
        </w:rPr>
        <w:t>Classification standard of potential ecological risk index</w:t>
      </w:r>
    </w:p>
    <w:tbl>
      <w:tblPr>
        <w:tblW w:w="8555" w:type="dxa"/>
        <w:tblInd w:w="252" w:type="dxa"/>
        <w:tblLook w:val="04A0" w:firstRow="1" w:lastRow="0" w:firstColumn="1" w:lastColumn="0" w:noHBand="0" w:noVBand="1"/>
      </w:tblPr>
      <w:tblGrid>
        <w:gridCol w:w="1016"/>
        <w:gridCol w:w="2758"/>
        <w:gridCol w:w="2565"/>
        <w:gridCol w:w="2216"/>
      </w:tblGrid>
      <w:tr w:rsidR="00DB6BA9" w14:paraId="427EA40A" w14:textId="77777777">
        <w:trPr>
          <w:trHeight w:val="323"/>
        </w:trPr>
        <w:tc>
          <w:tcPr>
            <w:tcW w:w="10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269F26C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Index</w:t>
            </w:r>
          </w:p>
        </w:tc>
        <w:tc>
          <w:tcPr>
            <w:tcW w:w="27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5860535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i/>
                <w:iCs/>
                <w:color w:val="000000"/>
                <w:sz w:val="24"/>
              </w:rPr>
            </w:pPr>
            <w:r>
              <w:rPr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Style w:val="font11"/>
                <w:sz w:val="24"/>
                <w:szCs w:val="24"/>
                <w:lang w:bidi="ar"/>
              </w:rPr>
              <w:t>Value</w:t>
            </w:r>
          </w:p>
        </w:tc>
        <w:tc>
          <w:tcPr>
            <w:tcW w:w="25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1829247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Ecological risk level</w:t>
            </w:r>
          </w:p>
        </w:tc>
        <w:tc>
          <w:tcPr>
            <w:tcW w:w="22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9328756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Reference</w:t>
            </w:r>
          </w:p>
        </w:tc>
      </w:tr>
      <w:tr w:rsidR="00DB6BA9" w14:paraId="52CCE672" w14:textId="77777777">
        <w:trPr>
          <w:trHeight w:val="323"/>
        </w:trPr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FD83" w14:textId="77777777" w:rsidR="00DB6BA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position w:val="-12"/>
                <w:sz w:val="24"/>
                <w:lang w:bidi="ar"/>
              </w:rPr>
              <w:object w:dxaOrig="300" w:dyaOrig="380" w14:anchorId="3BCD27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pt;height:19.15pt" o:ole="">
                  <v:imagedata r:id="rId5" o:title=""/>
                </v:shape>
                <o:OLEObject Type="Embed" ProgID="Equation.KSEE3" ShapeID="_x0000_i1025" DrawAspect="Content" ObjectID="_1751812811" r:id="rId6"/>
              </w:objec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530F5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Cd = 30</w:t>
            </w:r>
          </w:p>
        </w:tc>
        <w:tc>
          <w:tcPr>
            <w:tcW w:w="25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DA7A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2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1725A" w14:textId="77777777" w:rsidR="00DB6BA9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（</w:t>
            </w:r>
            <w:proofErr w:type="spell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Ke</w:t>
            </w:r>
            <w:proofErr w:type="spellEnd"/>
            <w:r>
              <w:rPr>
                <w:color w:val="000000"/>
                <w:kern w:val="0"/>
                <w:sz w:val="24"/>
                <w:lang w:bidi="ar"/>
              </w:rPr>
              <w:t xml:space="preserve"> et a.,2017)</w:t>
            </w:r>
          </w:p>
        </w:tc>
      </w:tr>
      <w:tr w:rsidR="00DB6BA9" w14:paraId="292DE604" w14:textId="77777777">
        <w:trPr>
          <w:trHeight w:val="304"/>
        </w:trPr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19814" w14:textId="77777777" w:rsidR="00DB6BA9" w:rsidRDefault="00DB6BA9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409F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Ni = Cu = Pb = 5, Zn = 1</w:t>
            </w:r>
          </w:p>
        </w:tc>
        <w:tc>
          <w:tcPr>
            <w:tcW w:w="256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F6C3" w14:textId="77777777" w:rsidR="00DB6BA9" w:rsidRDefault="00DB6BA9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2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A9E75" w14:textId="77777777" w:rsidR="00DB6BA9" w:rsidRDefault="00DB6BA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DB6BA9" w14:paraId="1DDE8D6D" w14:textId="77777777">
        <w:trPr>
          <w:trHeight w:val="320"/>
        </w:trPr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F66D" w14:textId="77777777" w:rsidR="00DB6BA9" w:rsidRDefault="00000000">
            <w:pPr>
              <w:widowControl/>
              <w:jc w:val="center"/>
              <w:textAlignment w:val="center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kern w:val="0"/>
                <w:sz w:val="24"/>
                <w:lang w:bidi="ar"/>
              </w:rPr>
              <w:t>E</w:t>
            </w:r>
            <w:r>
              <w:rPr>
                <w:rStyle w:val="font112"/>
                <w:rFonts w:ascii="宋体" w:hAnsi="宋体" w:cs="宋体"/>
                <w:sz w:val="24"/>
                <w:szCs w:val="24"/>
                <w:lang w:bidi="ar"/>
              </w:rPr>
              <w:t>i</w: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9EAC" w14:textId="77777777" w:rsidR="00DB6BA9" w:rsidRDefault="00000000">
            <w:pPr>
              <w:widowControl/>
              <w:jc w:val="center"/>
              <w:textAlignment w:val="center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kern w:val="0"/>
                <w:sz w:val="24"/>
                <w:lang w:bidi="ar"/>
              </w:rPr>
              <w:t>E</w:t>
            </w:r>
            <w:r>
              <w:rPr>
                <w:rStyle w:val="font121"/>
                <w:b w:val="0"/>
                <w:bCs w:val="0"/>
                <w:sz w:val="24"/>
                <w:szCs w:val="24"/>
                <w:lang w:bidi="ar"/>
              </w:rPr>
              <w:t xml:space="preserve">i 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>&lt;40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AF59D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Slight</w:t>
            </w:r>
          </w:p>
        </w:tc>
        <w:tc>
          <w:tcPr>
            <w:tcW w:w="22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D6CA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(</w:t>
            </w:r>
            <w:proofErr w:type="spellStart"/>
            <w:r>
              <w:rPr>
                <w:color w:val="000000"/>
                <w:kern w:val="0"/>
                <w:sz w:val="24"/>
                <w:lang w:bidi="ar"/>
              </w:rPr>
              <w:t>Hakanson</w:t>
            </w:r>
            <w:proofErr w:type="spellEnd"/>
            <w:r>
              <w:rPr>
                <w:color w:val="000000"/>
                <w:kern w:val="0"/>
                <w:sz w:val="24"/>
                <w:lang w:bidi="ar"/>
              </w:rPr>
              <w:t>, 1980)</w:t>
            </w:r>
          </w:p>
        </w:tc>
      </w:tr>
      <w:tr w:rsidR="00DB6BA9" w14:paraId="3543AD83" w14:textId="77777777">
        <w:trPr>
          <w:trHeight w:val="320"/>
        </w:trPr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5600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4422D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40 ≤ </w:t>
            </w:r>
            <w:r>
              <w:rPr>
                <w:rStyle w:val="font71"/>
                <w:b w:val="0"/>
                <w:bCs w:val="0"/>
                <w:sz w:val="24"/>
                <w:szCs w:val="24"/>
                <w:lang w:bidi="ar"/>
              </w:rPr>
              <w:t>E</w:t>
            </w:r>
            <w:r>
              <w:rPr>
                <w:rStyle w:val="font121"/>
                <w:b w:val="0"/>
                <w:bCs w:val="0"/>
                <w:sz w:val="24"/>
                <w:szCs w:val="24"/>
                <w:lang w:bidi="ar"/>
              </w:rPr>
              <w:t>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80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B7BB5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Moderate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5B3E8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</w:tr>
      <w:tr w:rsidR="00DB6BA9" w14:paraId="2335C366" w14:textId="77777777">
        <w:trPr>
          <w:trHeight w:val="320"/>
        </w:trPr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5974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68F8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80 ≤ </w:t>
            </w:r>
            <w:r>
              <w:rPr>
                <w:rStyle w:val="font71"/>
                <w:b w:val="0"/>
                <w:bCs w:val="0"/>
                <w:sz w:val="24"/>
                <w:szCs w:val="24"/>
                <w:lang w:bidi="ar"/>
              </w:rPr>
              <w:t>E</w:t>
            </w:r>
            <w:r>
              <w:rPr>
                <w:rStyle w:val="font121"/>
                <w:b w:val="0"/>
                <w:bCs w:val="0"/>
                <w:sz w:val="24"/>
                <w:szCs w:val="24"/>
                <w:lang w:bidi="ar"/>
              </w:rPr>
              <w:t>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160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FC3E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Considerable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DDB8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</w:tr>
      <w:tr w:rsidR="00DB6BA9" w14:paraId="14905FC5" w14:textId="77777777">
        <w:trPr>
          <w:trHeight w:val="304"/>
        </w:trPr>
        <w:tc>
          <w:tcPr>
            <w:tcW w:w="10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95D494" w14:textId="77777777" w:rsidR="00DB6BA9" w:rsidRDefault="00000000">
            <w:pPr>
              <w:widowControl/>
              <w:jc w:val="center"/>
              <w:textAlignment w:val="center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kern w:val="0"/>
                <w:sz w:val="24"/>
                <w:lang w:bidi="ar"/>
              </w:rPr>
              <w:t>RI</w:t>
            </w: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91844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4D520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2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DA1002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(</w:t>
            </w:r>
            <w:proofErr w:type="spellStart"/>
            <w:r>
              <w:rPr>
                <w:color w:val="000000"/>
                <w:kern w:val="0"/>
                <w:sz w:val="24"/>
                <w:lang w:bidi="ar"/>
              </w:rPr>
              <w:t>Maanan</w:t>
            </w:r>
            <w:proofErr w:type="spellEnd"/>
            <w:r>
              <w:rPr>
                <w:color w:val="000000"/>
                <w:kern w:val="0"/>
                <w:sz w:val="24"/>
                <w:lang w:bidi="ar"/>
              </w:rPr>
              <w:t xml:space="preserve"> et al. 2015)</w:t>
            </w:r>
          </w:p>
        </w:tc>
      </w:tr>
      <w:tr w:rsidR="00DB6BA9" w14:paraId="4643C530" w14:textId="77777777">
        <w:trPr>
          <w:trHeight w:val="339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1B6BC7F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A02E4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160 ≤ </w:t>
            </w:r>
            <w:r>
              <w:rPr>
                <w:rStyle w:val="font71"/>
                <w:b w:val="0"/>
                <w:bCs w:val="0"/>
                <w:sz w:val="24"/>
                <w:szCs w:val="24"/>
                <w:lang w:bidi="ar"/>
              </w:rPr>
              <w:t>E</w:t>
            </w:r>
            <w:r>
              <w:rPr>
                <w:rStyle w:val="font121"/>
                <w:b w:val="0"/>
                <w:bCs w:val="0"/>
                <w:sz w:val="24"/>
                <w:szCs w:val="24"/>
                <w:lang w:bidi="ar"/>
              </w:rPr>
              <w:t>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320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DCBD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High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827809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04C0E852" w14:textId="77777777">
        <w:trPr>
          <w:trHeight w:val="323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0F0AD10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C0480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5320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A42EE68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7A4B1FB9" w14:textId="77777777">
        <w:trPr>
          <w:trHeight w:val="323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79D51C6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1DC6" w14:textId="77777777" w:rsidR="00DB6BA9" w:rsidRDefault="00000000">
            <w:pPr>
              <w:widowControl/>
              <w:jc w:val="center"/>
              <w:textAlignment w:val="center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kern w:val="0"/>
                <w:sz w:val="24"/>
                <w:lang w:bidi="ar"/>
              </w:rPr>
              <w:t xml:space="preserve"> RI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50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E3714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Slight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833E7A8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4154BEC5" w14:textId="77777777">
        <w:trPr>
          <w:trHeight w:val="323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F0CFA9D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71CF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50 ≤ </w:t>
            </w:r>
            <w:r>
              <w:rPr>
                <w:rStyle w:val="font71"/>
                <w:b w:val="0"/>
                <w:bCs w:val="0"/>
                <w:sz w:val="24"/>
                <w:szCs w:val="24"/>
                <w:lang w:bidi="ar"/>
              </w:rPr>
              <w:t>RI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100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32C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Moderate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C4A16AC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7DE57A1C" w14:textId="77777777">
        <w:trPr>
          <w:trHeight w:val="323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B274FD3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E3DB3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100 ≤ </w:t>
            </w:r>
            <w:r>
              <w:rPr>
                <w:rStyle w:val="font71"/>
                <w:b w:val="0"/>
                <w:bCs w:val="0"/>
                <w:sz w:val="24"/>
                <w:szCs w:val="24"/>
                <w:lang w:bidi="ar"/>
              </w:rPr>
              <w:t>RI</w:t>
            </w:r>
            <w:r>
              <w:rPr>
                <w:rStyle w:val="font81"/>
                <w:b w:val="0"/>
                <w:bCs w:val="0"/>
                <w:sz w:val="24"/>
                <w:szCs w:val="24"/>
                <w:lang w:bidi="ar"/>
              </w:rPr>
              <w:t xml:space="preserve"> &lt; 200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1D32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Considerable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40EFBF9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3ECF10F5" w14:textId="77777777">
        <w:trPr>
          <w:trHeight w:val="342"/>
        </w:trPr>
        <w:tc>
          <w:tcPr>
            <w:tcW w:w="1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78A91B6" w14:textId="77777777" w:rsidR="00DB6BA9" w:rsidRDefault="00DB6BA9">
            <w:pPr>
              <w:jc w:val="center"/>
              <w:rPr>
                <w:i/>
                <w:iCs/>
                <w:color w:val="000000"/>
                <w:sz w:val="24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A04D19A" w14:textId="77777777" w:rsidR="00DB6BA9" w:rsidRDefault="00000000">
            <w:pPr>
              <w:widowControl/>
              <w:jc w:val="center"/>
              <w:textAlignment w:val="center"/>
              <w:rPr>
                <w:i/>
                <w:iCs/>
                <w:color w:val="000000"/>
                <w:sz w:val="24"/>
              </w:rPr>
            </w:pPr>
            <w:r>
              <w:rPr>
                <w:i/>
                <w:iCs/>
                <w:color w:val="000000"/>
                <w:kern w:val="0"/>
                <w:sz w:val="24"/>
                <w:lang w:bidi="ar"/>
              </w:rPr>
              <w:t>RI</w:t>
            </w:r>
            <w:r>
              <w:rPr>
                <w:rStyle w:val="font131"/>
                <w:b w:val="0"/>
                <w:bCs w:val="0"/>
                <w:sz w:val="24"/>
                <w:szCs w:val="24"/>
                <w:lang w:bidi="ar"/>
              </w:rPr>
              <w:t xml:space="preserve"> </w:t>
            </w:r>
            <w:r>
              <w:rPr>
                <w:rStyle w:val="font141"/>
                <w:sz w:val="24"/>
                <w:szCs w:val="24"/>
                <w:lang w:bidi="ar"/>
              </w:rPr>
              <w:t>≥</w:t>
            </w:r>
            <w:r>
              <w:rPr>
                <w:rStyle w:val="font131"/>
                <w:b w:val="0"/>
                <w:bCs w:val="0"/>
                <w:sz w:val="24"/>
                <w:szCs w:val="24"/>
                <w:lang w:bidi="ar"/>
              </w:rPr>
              <w:t xml:space="preserve"> 200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E9DCA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High</w:t>
            </w:r>
            <w:r>
              <w:rPr>
                <w:rStyle w:val="font151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22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7C2FF75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28CA5E99" w14:textId="77777777" w:rsidR="00DB6BA9" w:rsidRDefault="00DB6BA9">
      <w:pPr>
        <w:spacing w:line="360" w:lineRule="auto"/>
        <w:rPr>
          <w:b/>
          <w:bCs/>
          <w:sz w:val="24"/>
        </w:rPr>
      </w:pPr>
      <w:bookmarkStart w:id="1" w:name="_Toc271638574"/>
    </w:p>
    <w:p w14:paraId="769BD404" w14:textId="77777777" w:rsidR="00DB6BA9" w:rsidRDefault="00DB6BA9">
      <w:pPr>
        <w:sectPr w:rsidR="00DB6BA9">
          <w:pgSz w:w="11906" w:h="16838"/>
          <w:pgMar w:top="1440" w:right="1803" w:bottom="1440" w:left="1803" w:header="851" w:footer="992" w:gutter="0"/>
          <w:cols w:space="0"/>
          <w:docGrid w:type="lines" w:linePitch="319"/>
        </w:sectPr>
      </w:pPr>
    </w:p>
    <w:p w14:paraId="5321A5BF" w14:textId="77777777" w:rsidR="00DB6BA9" w:rsidRDefault="00000000">
      <w:pPr>
        <w:pStyle w:val="a3"/>
        <w:jc w:val="center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hint="eastAsia"/>
          <w:b/>
          <w:bCs/>
          <w:sz w:val="24"/>
        </w:rPr>
        <w:lastRenderedPageBreak/>
        <w:t>Table S2</w:t>
      </w:r>
      <w:r>
        <w:rPr>
          <w:rFonts w:ascii="Times New Roman" w:hAnsi="Times New Roman" w:hint="eastAsia"/>
          <w:b/>
          <w:bCs/>
          <w:sz w:val="21"/>
          <w:szCs w:val="21"/>
        </w:rPr>
        <w:t xml:space="preserve"> </w:t>
      </w:r>
      <w:r>
        <w:rPr>
          <w:rFonts w:ascii="Times New Roman" w:hAnsi="Times New Roman" w:hint="eastAsia"/>
          <w:sz w:val="24"/>
        </w:rPr>
        <w:t>The reference values for health risk assessment</w:t>
      </w:r>
    </w:p>
    <w:tbl>
      <w:tblPr>
        <w:tblpPr w:leftFromText="180" w:rightFromText="180" w:vertAnchor="text" w:horzAnchor="page" w:tblpX="2543" w:tblpY="12"/>
        <w:tblOverlap w:val="never"/>
        <w:tblW w:w="11970" w:type="dxa"/>
        <w:tblLook w:val="04A0" w:firstRow="1" w:lastRow="0" w:firstColumn="1" w:lastColumn="0" w:noHBand="0" w:noVBand="1"/>
      </w:tblPr>
      <w:tblGrid>
        <w:gridCol w:w="990"/>
        <w:gridCol w:w="2604"/>
        <w:gridCol w:w="2604"/>
        <w:gridCol w:w="3732"/>
        <w:gridCol w:w="2040"/>
      </w:tblGrid>
      <w:tr w:rsidR="00DB6BA9" w14:paraId="17A3413E" w14:textId="77777777">
        <w:trPr>
          <w:trHeight w:val="288"/>
        </w:trPr>
        <w:tc>
          <w:tcPr>
            <w:tcW w:w="9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CE079CF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Symbol</w:t>
            </w:r>
          </w:p>
        </w:tc>
        <w:tc>
          <w:tcPr>
            <w:tcW w:w="26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AADE9D7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Significance</w:t>
            </w:r>
          </w:p>
        </w:tc>
        <w:tc>
          <w:tcPr>
            <w:tcW w:w="26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CF0CFAB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Unit</w:t>
            </w:r>
          </w:p>
        </w:tc>
        <w:tc>
          <w:tcPr>
            <w:tcW w:w="37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D5BC8E9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Reference value</w:t>
            </w:r>
          </w:p>
        </w:tc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5375ACC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Reference</w:t>
            </w:r>
          </w:p>
        </w:tc>
      </w:tr>
      <w:tr w:rsidR="00DB6BA9" w14:paraId="2982EDBA" w14:textId="77777777">
        <w:trPr>
          <w:trHeight w:val="303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AA809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CDI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D4A2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mean daily intake of HMs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338D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8C5E2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C3BE7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466CFF8E" w14:textId="77777777">
        <w:trPr>
          <w:trHeight w:val="288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6C620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B6D07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M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concentration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2703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FE67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-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5CE7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157D5C2F" w14:textId="77777777">
        <w:trPr>
          <w:trHeight w:val="288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D6A2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EF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DBD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Exposure frequency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0C2E3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d a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5B01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CF55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4812FADE" w14:textId="77777777">
        <w:trPr>
          <w:trHeight w:val="336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62C81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ED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5F188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Exposure time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CFB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a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5DB3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Children: 9, adults: 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4865A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195C5FBE" w14:textId="77777777">
        <w:trPr>
          <w:trHeight w:val="336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EFE21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BW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7E58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Average body weight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F01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kg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9B04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Children: 15, adults: 60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ECC6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(Li et al., 2014)</w:t>
            </w:r>
          </w:p>
        </w:tc>
      </w:tr>
      <w:tr w:rsidR="00DB6BA9" w14:paraId="5B71052C" w14:textId="77777777">
        <w:trPr>
          <w:trHeight w:val="336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1C096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AT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5F5B0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Average exposure time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2771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d a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1754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ED*365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0E653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62F9A300" w14:textId="77777777">
        <w:trPr>
          <w:trHeight w:val="528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04F1D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SF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7D51D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slope factor</w:t>
            </w:r>
            <w:r>
              <w:rPr>
                <w:color w:val="000000"/>
                <w:kern w:val="0"/>
                <w:sz w:val="24"/>
                <w:lang w:bidi="ar"/>
              </w:rPr>
              <w:br/>
              <w:t>of carcinogenic HMs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A19C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mg kg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d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FC2FA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Cd=6.10E+00, Ni=1.70E+00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7BA7A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(Cao et al., 2014)</w:t>
            </w:r>
          </w:p>
        </w:tc>
      </w:tr>
      <w:tr w:rsidR="00DB6BA9" w14:paraId="529A76C5" w14:textId="77777777">
        <w:trPr>
          <w:trHeight w:val="288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182F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I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F8D1A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contact rate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509F7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kg d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C3BBE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adults=0.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5 ,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 xml:space="preserve"> children=0.2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E141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USEPA, 2011</w:t>
            </w:r>
          </w:p>
        </w:tc>
      </w:tr>
      <w:tr w:rsidR="00DB6BA9" w14:paraId="6D4D9138" w14:textId="77777777">
        <w:trPr>
          <w:trHeight w:val="351"/>
        </w:trPr>
        <w:tc>
          <w:tcPr>
            <w:tcW w:w="99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CB3CA9" w14:textId="77777777" w:rsidR="00DB6BA9" w:rsidRDefault="00000000">
            <w:pPr>
              <w:widowControl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  <w:lang w:bidi="ar"/>
              </w:rPr>
              <w:t>RFD</w:t>
            </w:r>
          </w:p>
        </w:tc>
        <w:tc>
          <w:tcPr>
            <w:tcW w:w="260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1E2D1B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target hazard quotient</w:t>
            </w:r>
          </w:p>
        </w:tc>
        <w:tc>
          <w:tcPr>
            <w:tcW w:w="260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595689F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mg kg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  <w:r>
              <w:rPr>
                <w:color w:val="000000"/>
                <w:kern w:val="0"/>
                <w:sz w:val="24"/>
                <w:lang w:bidi="ar"/>
              </w:rPr>
              <w:t xml:space="preserve"> d</w:t>
            </w:r>
            <w:r>
              <w:rPr>
                <w:color w:val="000000"/>
                <w:kern w:val="0"/>
                <w:sz w:val="24"/>
                <w:vertAlign w:val="superscript"/>
                <w:lang w:bidi="ar"/>
              </w:rPr>
              <w:t>-1</w:t>
            </w: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B8C9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Cd=1.00E-03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ADDEE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(Li et al., 2014)</w:t>
            </w:r>
          </w:p>
        </w:tc>
      </w:tr>
      <w:tr w:rsidR="00DB6BA9" w14:paraId="78DC1594" w14:textId="77777777">
        <w:trPr>
          <w:trHeight w:val="288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C905DB" w14:textId="77777777" w:rsidR="00DB6BA9" w:rsidRDefault="00DB6BA9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1F28DC7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13608B9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97D99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Cu=4.00E-02</w:t>
            </w: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E5408A1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5ED125F7" w14:textId="77777777">
        <w:trPr>
          <w:trHeight w:val="288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34B558" w14:textId="77777777" w:rsidR="00DB6BA9" w:rsidRDefault="00DB6BA9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71DBE12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B118EDC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24AFD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Ni=2.00E-02</w:t>
            </w: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C23A72C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1B2CDBB3" w14:textId="77777777">
        <w:trPr>
          <w:trHeight w:val="288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AA4C8D" w14:textId="77777777" w:rsidR="00DB6BA9" w:rsidRDefault="00DB6BA9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8476C34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70EDC75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C5EFB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Pb=3.7E-03</w:t>
            </w: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1447AEE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B6BA9" w14:paraId="112990E4" w14:textId="77777777">
        <w:trPr>
          <w:trHeight w:val="279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2F51056" w14:textId="77777777" w:rsidR="00DB6BA9" w:rsidRDefault="00DB6BA9">
            <w:pPr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E807076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60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06721B5" w14:textId="77777777" w:rsidR="00DB6BA9" w:rsidRDefault="00DB6B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37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84D121" w14:textId="77777777" w:rsidR="00DB6BA9" w:rsidRDefault="0000000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 xml:space="preserve"> Zn=3.00E-01</w:t>
            </w: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557B78F" w14:textId="77777777" w:rsidR="00DB6BA9" w:rsidRDefault="00DB6BA9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02A82731" w14:textId="77777777" w:rsidR="00DB6BA9" w:rsidRDefault="00DB6BA9">
      <w:pPr>
        <w:rPr>
          <w:szCs w:val="21"/>
        </w:rPr>
      </w:pPr>
    </w:p>
    <w:p w14:paraId="07F4244C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3C213282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09B66DA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44C5AE9C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EC86259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1871DBB5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3066D78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08A26FB6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5AA447CC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B633D2A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592E6F37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56D6DAA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3215070C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6BBC2D99" w14:textId="77777777" w:rsidR="00DB6BA9" w:rsidRDefault="00DB6BA9">
      <w:pPr>
        <w:ind w:left="420" w:hangingChars="200" w:hanging="420"/>
        <w:rPr>
          <w:color w:val="000000" w:themeColor="text1"/>
          <w:szCs w:val="21"/>
          <w:vertAlign w:val="superscript"/>
        </w:rPr>
      </w:pPr>
    </w:p>
    <w:p w14:paraId="2D2E4969" w14:textId="77777777" w:rsidR="00DB6BA9" w:rsidRDefault="00DB6BA9">
      <w:pPr>
        <w:spacing w:line="360" w:lineRule="auto"/>
        <w:rPr>
          <w:szCs w:val="21"/>
        </w:rPr>
      </w:pPr>
    </w:p>
    <w:p w14:paraId="63C2FA50" w14:textId="77777777" w:rsidR="00DB6BA9" w:rsidRDefault="00DB6BA9">
      <w:pPr>
        <w:spacing w:line="360" w:lineRule="auto"/>
        <w:rPr>
          <w:szCs w:val="21"/>
        </w:rPr>
      </w:pPr>
    </w:p>
    <w:p w14:paraId="4A09BF9B" w14:textId="77777777" w:rsidR="00DB6BA9" w:rsidRDefault="00DB6BA9">
      <w:pPr>
        <w:spacing w:line="360" w:lineRule="auto"/>
        <w:rPr>
          <w:szCs w:val="21"/>
        </w:rPr>
      </w:pPr>
    </w:p>
    <w:p w14:paraId="73087067" w14:textId="77777777" w:rsidR="00DB6BA9" w:rsidRDefault="00DB6BA9">
      <w:pPr>
        <w:spacing w:line="360" w:lineRule="auto"/>
        <w:rPr>
          <w:szCs w:val="21"/>
        </w:rPr>
      </w:pPr>
    </w:p>
    <w:p w14:paraId="25CD0A1E" w14:textId="77777777" w:rsidR="00DB6BA9" w:rsidRDefault="00DB6BA9">
      <w:pPr>
        <w:spacing w:line="360" w:lineRule="auto"/>
        <w:rPr>
          <w:szCs w:val="21"/>
        </w:rPr>
      </w:pPr>
    </w:p>
    <w:p w14:paraId="4609ED8D" w14:textId="77777777" w:rsidR="00DB6BA9" w:rsidRDefault="00DB6BA9">
      <w:pPr>
        <w:spacing w:line="360" w:lineRule="auto"/>
        <w:rPr>
          <w:szCs w:val="21"/>
        </w:rPr>
      </w:pPr>
    </w:p>
    <w:p w14:paraId="05EB0D19" w14:textId="77777777" w:rsidR="00DB6BA9" w:rsidRDefault="00DB6BA9">
      <w:pPr>
        <w:spacing w:line="360" w:lineRule="auto"/>
        <w:ind w:left="420" w:hangingChars="200" w:hanging="420"/>
        <w:rPr>
          <w:szCs w:val="21"/>
        </w:rPr>
      </w:pPr>
    </w:p>
    <w:p w14:paraId="25622783" w14:textId="77777777" w:rsidR="00DB6BA9" w:rsidRDefault="00000000">
      <w:pPr>
        <w:pStyle w:val="a3"/>
        <w:jc w:val="center"/>
        <w:rPr>
          <w:sz w:val="21"/>
          <w:szCs w:val="21"/>
        </w:rPr>
      </w:pPr>
      <w:r>
        <w:rPr>
          <w:rFonts w:ascii="Times New Roman" w:hAnsi="Times New Roman"/>
          <w:b/>
          <w:bCs/>
          <w:sz w:val="24"/>
        </w:rPr>
        <w:t>Table S</w:t>
      </w:r>
      <w:r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4"/>
        </w:rPr>
        <w:t>Concentration of heavy metal fractions in paddy soils of the study area (mg/kg)</w:t>
      </w:r>
    </w:p>
    <w:tbl>
      <w:tblPr>
        <w:tblpPr w:leftFromText="180" w:rightFromText="180" w:vertAnchor="text" w:horzAnchor="page" w:tblpX="1655" w:tblpY="313"/>
        <w:tblOverlap w:val="never"/>
        <w:tblW w:w="14309" w:type="dxa"/>
        <w:tblBorders>
          <w:top w:val="single" w:sz="12" w:space="0" w:color="auto"/>
          <w:bottom w:val="single" w:sz="4" w:space="0" w:color="auto"/>
          <w:insideH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6"/>
        <w:gridCol w:w="1713"/>
        <w:gridCol w:w="1525"/>
        <w:gridCol w:w="1725"/>
        <w:gridCol w:w="1460"/>
        <w:gridCol w:w="1485"/>
        <w:gridCol w:w="1485"/>
        <w:gridCol w:w="1726"/>
        <w:gridCol w:w="1524"/>
      </w:tblGrid>
      <w:tr w:rsidR="00DB6BA9" w14:paraId="34B7F0DF" w14:textId="77777777">
        <w:trPr>
          <w:trHeight w:val="714"/>
        </w:trPr>
        <w:tc>
          <w:tcPr>
            <w:tcW w:w="1666" w:type="dxa"/>
            <w:vMerge w:val="restart"/>
            <w:tcBorders>
              <w:tl2br w:val="nil"/>
              <w:tr2bl w:val="nil"/>
            </w:tcBorders>
            <w:vAlign w:val="center"/>
          </w:tcPr>
          <w:p w14:paraId="4192A59B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Metals</w:t>
            </w:r>
          </w:p>
        </w:tc>
        <w:tc>
          <w:tcPr>
            <w:tcW w:w="3238" w:type="dxa"/>
            <w:gridSpan w:val="2"/>
            <w:tcBorders>
              <w:tl2br w:val="nil"/>
              <w:tr2bl w:val="nil"/>
            </w:tcBorders>
            <w:vAlign w:val="center"/>
          </w:tcPr>
          <w:p w14:paraId="31E7FD0E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Exchangeable fraction</w:t>
            </w:r>
          </w:p>
        </w:tc>
        <w:tc>
          <w:tcPr>
            <w:tcW w:w="3185" w:type="dxa"/>
            <w:gridSpan w:val="2"/>
            <w:tcBorders>
              <w:tl2br w:val="nil"/>
              <w:tr2bl w:val="nil"/>
            </w:tcBorders>
            <w:vAlign w:val="center"/>
          </w:tcPr>
          <w:p w14:paraId="2BE3E272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Fe-Mn oxide bound fraction</w:t>
            </w:r>
          </w:p>
        </w:tc>
        <w:tc>
          <w:tcPr>
            <w:tcW w:w="2970" w:type="dxa"/>
            <w:gridSpan w:val="2"/>
            <w:tcBorders>
              <w:tl2br w:val="nil"/>
              <w:tr2bl w:val="nil"/>
            </w:tcBorders>
            <w:vAlign w:val="center"/>
          </w:tcPr>
          <w:p w14:paraId="6072F984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Organic bound fraction</w:t>
            </w:r>
          </w:p>
        </w:tc>
        <w:tc>
          <w:tcPr>
            <w:tcW w:w="3250" w:type="dxa"/>
            <w:gridSpan w:val="2"/>
            <w:tcBorders>
              <w:tl2br w:val="nil"/>
              <w:tr2bl w:val="nil"/>
            </w:tcBorders>
            <w:vAlign w:val="center"/>
          </w:tcPr>
          <w:p w14:paraId="35DB2F72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Residual fraction</w:t>
            </w:r>
          </w:p>
        </w:tc>
      </w:tr>
      <w:tr w:rsidR="00DB6BA9" w14:paraId="6D522104" w14:textId="77777777">
        <w:trPr>
          <w:trHeight w:val="675"/>
        </w:trPr>
        <w:tc>
          <w:tcPr>
            <w:tcW w:w="1666" w:type="dxa"/>
            <w:vMerge/>
            <w:tcBorders>
              <w:bottom w:val="single" w:sz="12" w:space="0" w:color="auto"/>
              <w:tl2br w:val="nil"/>
              <w:tr2bl w:val="nil"/>
            </w:tcBorders>
          </w:tcPr>
          <w:p w14:paraId="0FA0674B" w14:textId="77777777" w:rsidR="00DB6BA9" w:rsidRDefault="00DB6BA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13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17A75847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Mean±SD</w:t>
            </w:r>
            <w:proofErr w:type="spellEnd"/>
          </w:p>
        </w:tc>
        <w:tc>
          <w:tcPr>
            <w:tcW w:w="152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09F25FD5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Range</w:t>
            </w:r>
          </w:p>
        </w:tc>
        <w:tc>
          <w:tcPr>
            <w:tcW w:w="172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32531F29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Mean±SD</w:t>
            </w:r>
            <w:proofErr w:type="spellEnd"/>
          </w:p>
        </w:tc>
        <w:tc>
          <w:tcPr>
            <w:tcW w:w="146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39DF24E3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Range</w:t>
            </w:r>
          </w:p>
        </w:tc>
        <w:tc>
          <w:tcPr>
            <w:tcW w:w="148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096ECC2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Mean±SD</w:t>
            </w:r>
            <w:proofErr w:type="spellEnd"/>
          </w:p>
        </w:tc>
        <w:tc>
          <w:tcPr>
            <w:tcW w:w="148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7905B593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Range</w:t>
            </w:r>
          </w:p>
        </w:tc>
        <w:tc>
          <w:tcPr>
            <w:tcW w:w="1726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6B13C634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proofErr w:type="spellStart"/>
            <w:r>
              <w:rPr>
                <w:b/>
                <w:bCs/>
                <w:sz w:val="24"/>
              </w:rPr>
              <w:t>Mean±SD</w:t>
            </w:r>
            <w:proofErr w:type="spellEnd"/>
          </w:p>
        </w:tc>
        <w:tc>
          <w:tcPr>
            <w:tcW w:w="152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70A7B831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Range</w:t>
            </w:r>
          </w:p>
        </w:tc>
      </w:tr>
      <w:tr w:rsidR="00DB6BA9" w14:paraId="4CB7CBE5" w14:textId="77777777">
        <w:trPr>
          <w:trHeight w:val="860"/>
        </w:trPr>
        <w:tc>
          <w:tcPr>
            <w:tcW w:w="1666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02C981FB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Cd</w:t>
            </w:r>
          </w:p>
        </w:tc>
        <w:tc>
          <w:tcPr>
            <w:tcW w:w="1713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078C207A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0.093±0.050 (49.6%)</w:t>
            </w:r>
          </w:p>
        </w:tc>
        <w:tc>
          <w:tcPr>
            <w:tcW w:w="152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25C694D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0.029~0.464</w:t>
            </w:r>
          </w:p>
        </w:tc>
        <w:tc>
          <w:tcPr>
            <w:tcW w:w="172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4E4875C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0.068±0.047 (35.5%)</w:t>
            </w:r>
          </w:p>
        </w:tc>
        <w:tc>
          <w:tcPr>
            <w:tcW w:w="1460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4CDC208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0.026~0.404</w:t>
            </w:r>
          </w:p>
        </w:tc>
        <w:tc>
          <w:tcPr>
            <w:tcW w:w="148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33D90ED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0.010±0.006</w:t>
            </w:r>
          </w:p>
          <w:p w14:paraId="291C587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(4.9%)</w:t>
            </w:r>
          </w:p>
        </w:tc>
        <w:tc>
          <w:tcPr>
            <w:tcW w:w="148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3F7A3302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0.002~0.046</w:t>
            </w:r>
          </w:p>
        </w:tc>
        <w:tc>
          <w:tcPr>
            <w:tcW w:w="1726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4E03978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0.017±0.005</w:t>
            </w:r>
          </w:p>
          <w:p w14:paraId="7AD94B5E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(10.0%)</w:t>
            </w:r>
          </w:p>
        </w:tc>
        <w:tc>
          <w:tcPr>
            <w:tcW w:w="1524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7D2D44D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0.000~0.028</w:t>
            </w:r>
          </w:p>
        </w:tc>
      </w:tr>
      <w:tr w:rsidR="00DB6BA9" w14:paraId="7B7A4A71" w14:textId="77777777">
        <w:trPr>
          <w:trHeight w:val="726"/>
        </w:trPr>
        <w:tc>
          <w:tcPr>
            <w:tcW w:w="1666" w:type="dxa"/>
            <w:tcBorders>
              <w:tl2br w:val="nil"/>
              <w:tr2bl w:val="nil"/>
            </w:tcBorders>
            <w:vAlign w:val="center"/>
          </w:tcPr>
          <w:p w14:paraId="4215E28A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Cu</w:t>
            </w:r>
          </w:p>
        </w:tc>
        <w:tc>
          <w:tcPr>
            <w:tcW w:w="1713" w:type="dxa"/>
            <w:tcBorders>
              <w:tl2br w:val="nil"/>
              <w:tr2bl w:val="nil"/>
            </w:tcBorders>
            <w:vAlign w:val="center"/>
          </w:tcPr>
          <w:p w14:paraId="5CA09382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1747D817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 w14:paraId="3A39B97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2.74±2.54 (12%)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 w14:paraId="538D765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0.66~17.67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vAlign w:val="center"/>
          </w:tcPr>
          <w:p w14:paraId="75015BC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4.78±3.16</w:t>
            </w:r>
          </w:p>
          <w:p w14:paraId="502A539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(21.0%)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vAlign w:val="center"/>
          </w:tcPr>
          <w:p w14:paraId="02D54BD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1.09~20.44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vAlign w:val="center"/>
          </w:tcPr>
          <w:p w14:paraId="4BCACF8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14.28±6.18</w:t>
            </w:r>
          </w:p>
          <w:p w14:paraId="3E88E4E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(67.0%)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 w14:paraId="24C382B6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6.93~43.31</w:t>
            </w:r>
          </w:p>
        </w:tc>
      </w:tr>
      <w:tr w:rsidR="00DB6BA9" w14:paraId="37E6AC36" w14:textId="77777777">
        <w:trPr>
          <w:trHeight w:val="726"/>
        </w:trPr>
        <w:tc>
          <w:tcPr>
            <w:tcW w:w="1666" w:type="dxa"/>
            <w:tcBorders>
              <w:tl2br w:val="nil"/>
              <w:tr2bl w:val="nil"/>
            </w:tcBorders>
            <w:vAlign w:val="center"/>
          </w:tcPr>
          <w:p w14:paraId="1D86D873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Ni</w:t>
            </w:r>
          </w:p>
        </w:tc>
        <w:tc>
          <w:tcPr>
            <w:tcW w:w="1713" w:type="dxa"/>
            <w:tcBorders>
              <w:tl2br w:val="nil"/>
              <w:tr2bl w:val="nil"/>
            </w:tcBorders>
            <w:vAlign w:val="center"/>
          </w:tcPr>
          <w:p w14:paraId="592A6FF2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0.58±0.62 (2.4%)</w:t>
            </w: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4C156B48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0.04~3.88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 w14:paraId="6CC1973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1.83±1.47 (7.8%)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 w14:paraId="59D35F6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0.05~7.39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vAlign w:val="center"/>
          </w:tcPr>
          <w:p w14:paraId="1CFF5892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1.46±0.99</w:t>
            </w:r>
          </w:p>
          <w:p w14:paraId="0AF5995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(7.3%)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vAlign w:val="center"/>
          </w:tcPr>
          <w:p w14:paraId="0B07FF8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0.35~4.53</w:t>
            </w:r>
          </w:p>
        </w:tc>
        <w:tc>
          <w:tcPr>
            <w:tcW w:w="1726" w:type="dxa"/>
            <w:tcBorders>
              <w:tl2br w:val="nil"/>
              <w:tr2bl w:val="nil"/>
            </w:tcBorders>
            <w:vAlign w:val="center"/>
          </w:tcPr>
          <w:p w14:paraId="4CE20FD1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19.45±16.02</w:t>
            </w:r>
          </w:p>
          <w:p w14:paraId="1785ACD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(82.5%)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vAlign w:val="center"/>
          </w:tcPr>
          <w:p w14:paraId="7E44FE8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4.50~85.02</w:t>
            </w:r>
          </w:p>
        </w:tc>
      </w:tr>
      <w:tr w:rsidR="00DB6BA9" w14:paraId="38FC1F3C" w14:textId="77777777">
        <w:trPr>
          <w:trHeight w:val="815"/>
        </w:trPr>
        <w:tc>
          <w:tcPr>
            <w:tcW w:w="1666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27695BA0" w14:textId="77777777" w:rsidR="00DB6BA9" w:rsidRDefault="0000000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Zn</w:t>
            </w:r>
          </w:p>
        </w:tc>
        <w:tc>
          <w:tcPr>
            <w:tcW w:w="1713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0FECD1F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4.89±6.33 </w:t>
            </w:r>
          </w:p>
          <w:p w14:paraId="0B3F6CC3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(5.9%)</w:t>
            </w:r>
          </w:p>
        </w:tc>
        <w:tc>
          <w:tcPr>
            <w:tcW w:w="152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1B3C36A1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0.06~49.58</w:t>
            </w:r>
          </w:p>
        </w:tc>
        <w:tc>
          <w:tcPr>
            <w:tcW w:w="172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70088465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13.29±9.76 </w:t>
            </w:r>
          </w:p>
          <w:p w14:paraId="11CC0297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(14.1%)</w:t>
            </w:r>
          </w:p>
        </w:tc>
        <w:tc>
          <w:tcPr>
            <w:tcW w:w="146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5A8C23E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3.78~71.81</w:t>
            </w:r>
          </w:p>
        </w:tc>
        <w:tc>
          <w:tcPr>
            <w:tcW w:w="148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D4A7F4E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4.81±2.14</w:t>
            </w:r>
          </w:p>
          <w:p w14:paraId="3E02AF20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(8.5%)</w:t>
            </w:r>
          </w:p>
        </w:tc>
        <w:tc>
          <w:tcPr>
            <w:tcW w:w="1485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080525A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1.26~15.60</w:t>
            </w:r>
          </w:p>
        </w:tc>
        <w:tc>
          <w:tcPr>
            <w:tcW w:w="1726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8827F5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54.31±16.10</w:t>
            </w:r>
          </w:p>
          <w:p w14:paraId="515CEAC0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(71.5%)</w:t>
            </w:r>
          </w:p>
        </w:tc>
        <w:tc>
          <w:tcPr>
            <w:tcW w:w="152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74A6AB07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27.37~112.69</w:t>
            </w:r>
          </w:p>
        </w:tc>
      </w:tr>
    </w:tbl>
    <w:p w14:paraId="3B4705A8" w14:textId="77777777" w:rsidR="00DB6BA9" w:rsidRDefault="00000000">
      <w:pPr>
        <w:pStyle w:val="3"/>
        <w:ind w:firstLineChars="100" w:firstLine="180"/>
        <w:jc w:val="both"/>
        <w:rPr>
          <w:sz w:val="18"/>
          <w:szCs w:val="18"/>
        </w:rPr>
        <w:sectPr w:rsidR="00DB6BA9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  <w:r>
        <w:rPr>
          <w:sz w:val="18"/>
          <w:szCs w:val="18"/>
        </w:rPr>
        <w:t>“—”</w:t>
      </w:r>
      <w:r>
        <w:rPr>
          <w:rFonts w:hint="eastAsia"/>
          <w:sz w:val="18"/>
          <w:szCs w:val="18"/>
        </w:rPr>
        <w:t xml:space="preserve">: </w:t>
      </w:r>
      <w:r>
        <w:rPr>
          <w:sz w:val="18"/>
          <w:szCs w:val="18"/>
        </w:rPr>
        <w:t>indicates the contents of heavy metals is not checked out.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The percentage in bracket means that the heavy metal fractions content divided by the total heavy metal content</w:t>
      </w:r>
    </w:p>
    <w:bookmarkEnd w:id="0"/>
    <w:bookmarkEnd w:id="1"/>
    <w:p w14:paraId="2EB0D519" w14:textId="77777777" w:rsidR="00DB6BA9" w:rsidRDefault="00DB6BA9">
      <w:pPr>
        <w:spacing w:line="300" w:lineRule="auto"/>
        <w:jc w:val="center"/>
        <w:rPr>
          <w:b/>
          <w:bCs/>
          <w:sz w:val="24"/>
        </w:rPr>
      </w:pPr>
    </w:p>
    <w:p w14:paraId="50EBFC78" w14:textId="77777777" w:rsidR="00DB6BA9" w:rsidRDefault="00000000">
      <w:pPr>
        <w:spacing w:line="300" w:lineRule="auto"/>
        <w:jc w:val="center"/>
        <w:rPr>
          <w:b/>
          <w:bCs/>
          <w:szCs w:val="21"/>
        </w:rPr>
      </w:pPr>
      <w:r>
        <w:rPr>
          <w:b/>
          <w:bCs/>
          <w:sz w:val="24"/>
        </w:rPr>
        <w:t xml:space="preserve">Table </w:t>
      </w:r>
      <w:r>
        <w:rPr>
          <w:rFonts w:hint="eastAsia"/>
          <w:b/>
          <w:bCs/>
          <w:sz w:val="24"/>
        </w:rPr>
        <w:t>S4</w:t>
      </w:r>
      <w:r>
        <w:rPr>
          <w:b/>
          <w:bCs/>
          <w:szCs w:val="21"/>
        </w:rPr>
        <w:t xml:space="preserve"> </w:t>
      </w:r>
      <w:r>
        <w:rPr>
          <w:sz w:val="24"/>
        </w:rPr>
        <w:t>The semi-variogram models and parameters for heavy metals in soil</w:t>
      </w:r>
    </w:p>
    <w:tbl>
      <w:tblPr>
        <w:tblStyle w:val="a8"/>
        <w:tblW w:w="904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ash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2"/>
        <w:gridCol w:w="1234"/>
        <w:gridCol w:w="1164"/>
        <w:gridCol w:w="1369"/>
        <w:gridCol w:w="1588"/>
        <w:gridCol w:w="1569"/>
        <w:gridCol w:w="1074"/>
      </w:tblGrid>
      <w:tr w:rsidR="00DB6BA9" w14:paraId="1FA9DA9E" w14:textId="77777777">
        <w:trPr>
          <w:trHeight w:val="716"/>
        </w:trPr>
        <w:tc>
          <w:tcPr>
            <w:tcW w:w="1042" w:type="dxa"/>
            <w:tcBorders>
              <w:bottom w:val="single" w:sz="12" w:space="0" w:color="auto"/>
              <w:tl2br w:val="nil"/>
              <w:tr2bl w:val="nil"/>
            </w:tcBorders>
          </w:tcPr>
          <w:p w14:paraId="08416003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Metals</w:t>
            </w:r>
          </w:p>
        </w:tc>
        <w:tc>
          <w:tcPr>
            <w:tcW w:w="1234" w:type="dxa"/>
            <w:tcBorders>
              <w:bottom w:val="single" w:sz="12" w:space="0" w:color="auto"/>
              <w:tl2br w:val="nil"/>
              <w:tr2bl w:val="nil"/>
            </w:tcBorders>
          </w:tcPr>
          <w:p w14:paraId="4F0D1374" w14:textId="77777777" w:rsidR="00DB6BA9" w:rsidRDefault="00000000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Models</w:t>
            </w:r>
          </w:p>
        </w:tc>
        <w:tc>
          <w:tcPr>
            <w:tcW w:w="1164" w:type="dxa"/>
            <w:tcBorders>
              <w:bottom w:val="single" w:sz="12" w:space="0" w:color="auto"/>
              <w:tl2br w:val="nil"/>
              <w:tr2bl w:val="nil"/>
            </w:tcBorders>
          </w:tcPr>
          <w:p w14:paraId="43B0241B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Nugget</w:t>
            </w:r>
          </w:p>
          <w:p w14:paraId="5765E6EA" w14:textId="77777777" w:rsidR="00DB6BA9" w:rsidRDefault="00000000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int="eastAsia"/>
                <w:kern w:val="0"/>
                <w:sz w:val="24"/>
              </w:rPr>
              <w:t>(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/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rFonts w:eastAsiaTheme="minorEastAsia" w:hint="eastAsia"/>
                <w:kern w:val="0"/>
                <w:sz w:val="24"/>
              </w:rPr>
              <w:t>)</w:t>
            </w:r>
          </w:p>
        </w:tc>
        <w:tc>
          <w:tcPr>
            <w:tcW w:w="1369" w:type="dxa"/>
            <w:tcBorders>
              <w:bottom w:val="single" w:sz="12" w:space="0" w:color="auto"/>
              <w:tl2br w:val="nil"/>
              <w:tr2bl w:val="nil"/>
            </w:tcBorders>
          </w:tcPr>
          <w:p w14:paraId="7B58874E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Sill</w:t>
            </w:r>
          </w:p>
          <w:p w14:paraId="0E4BB58C" w14:textId="77777777" w:rsidR="00DB6BA9" w:rsidRDefault="00000000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int="eastAsia"/>
                <w:kern w:val="0"/>
                <w:sz w:val="24"/>
              </w:rPr>
              <w:t>(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/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rFonts w:eastAsiaTheme="minorEastAsia"/>
                <w:kern w:val="0"/>
                <w:sz w:val="24"/>
              </w:rPr>
              <w:t>+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 w:hint="eastAsia"/>
                <w:kern w:val="0"/>
                <w:sz w:val="24"/>
              </w:rPr>
              <w:t>)</w:t>
            </w:r>
          </w:p>
        </w:tc>
        <w:tc>
          <w:tcPr>
            <w:tcW w:w="1588" w:type="dxa"/>
            <w:tcBorders>
              <w:bottom w:val="single" w:sz="12" w:space="0" w:color="auto"/>
              <w:tl2br w:val="nil"/>
              <w:tr2bl w:val="nil"/>
            </w:tcBorders>
          </w:tcPr>
          <w:p w14:paraId="0980793B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Nugget/Sill</w:t>
            </w:r>
          </w:p>
          <w:p w14:paraId="20B776D8" w14:textId="77777777" w:rsidR="00DB6BA9" w:rsidRDefault="00000000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int="eastAsia"/>
                <w:kern w:val="0"/>
                <w:sz w:val="24"/>
              </w:rPr>
              <w:t>[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/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rFonts w:eastAsiaTheme="minorEastAsia"/>
                <w:kern w:val="0"/>
                <w:sz w:val="24"/>
              </w:rPr>
              <w:t>/(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/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rFonts w:eastAsiaTheme="minorEastAsia"/>
                <w:kern w:val="0"/>
                <w:sz w:val="24"/>
              </w:rPr>
              <w:t>+</w:t>
            </w:r>
            <w:r>
              <w:rPr>
                <w:rFonts w:eastAsiaTheme="minorEastAsia"/>
                <w:i/>
                <w:iCs/>
                <w:kern w:val="0"/>
                <w:sz w:val="24"/>
              </w:rPr>
              <w:t>C</w:t>
            </w:r>
            <w:r>
              <w:rPr>
                <w:rFonts w:eastAsiaTheme="minorEastAsia"/>
                <w:kern w:val="0"/>
                <w:sz w:val="24"/>
              </w:rPr>
              <w:t>)</w:t>
            </w:r>
            <w:r>
              <w:rPr>
                <w:rFonts w:eastAsiaTheme="minorEastAsia" w:hint="eastAsia"/>
                <w:kern w:val="0"/>
                <w:sz w:val="24"/>
              </w:rPr>
              <w:t>]</w:t>
            </w:r>
            <w:r>
              <w:rPr>
                <w:rFonts w:eastAsiaTheme="minorEastAsia"/>
                <w:kern w:val="0"/>
                <w:sz w:val="24"/>
              </w:rPr>
              <w:t xml:space="preserve"> </w:t>
            </w:r>
            <w:r>
              <w:rPr>
                <w:rFonts w:eastAsiaTheme="minorEastAsia" w:hint="eastAsia"/>
                <w:kern w:val="0"/>
                <w:sz w:val="24"/>
              </w:rPr>
              <w:t>(%)</w:t>
            </w:r>
          </w:p>
        </w:tc>
        <w:tc>
          <w:tcPr>
            <w:tcW w:w="1569" w:type="dxa"/>
            <w:tcBorders>
              <w:bottom w:val="single" w:sz="12" w:space="0" w:color="auto"/>
              <w:tl2br w:val="nil"/>
              <w:tr2bl w:val="nil"/>
            </w:tcBorders>
          </w:tcPr>
          <w:p w14:paraId="39570EF7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Range</w:t>
            </w:r>
            <w:r>
              <w:rPr>
                <w:rFonts w:eastAsiaTheme="minorEastAsia" w:hint="eastAsia"/>
                <w:kern w:val="0"/>
                <w:sz w:val="24"/>
              </w:rPr>
              <w:t xml:space="preserve"> </w:t>
            </w:r>
            <w:r>
              <w:rPr>
                <w:rFonts w:eastAsiaTheme="minorEastAsia"/>
                <w:kern w:val="0"/>
                <w:sz w:val="24"/>
              </w:rPr>
              <w:t>(km)</w:t>
            </w:r>
          </w:p>
        </w:tc>
        <w:tc>
          <w:tcPr>
            <w:tcW w:w="1074" w:type="dxa"/>
            <w:tcBorders>
              <w:bottom w:val="single" w:sz="12" w:space="0" w:color="auto"/>
              <w:tl2br w:val="nil"/>
              <w:tr2bl w:val="nil"/>
            </w:tcBorders>
          </w:tcPr>
          <w:p w14:paraId="5BE5F30B" w14:textId="77777777" w:rsidR="00DB6BA9" w:rsidRDefault="00000000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i/>
                <w:iCs/>
                <w:sz w:val="24"/>
              </w:rPr>
              <w:t>R</w:t>
            </w:r>
            <w:r>
              <w:rPr>
                <w:rFonts w:eastAsiaTheme="minorEastAsia"/>
                <w:sz w:val="24"/>
                <w:vertAlign w:val="superscript"/>
              </w:rPr>
              <w:t>2</w:t>
            </w:r>
          </w:p>
        </w:tc>
      </w:tr>
      <w:tr w:rsidR="00DB6BA9" w14:paraId="1E553AF6" w14:textId="77777777">
        <w:trPr>
          <w:trHeight w:val="428"/>
        </w:trPr>
        <w:tc>
          <w:tcPr>
            <w:tcW w:w="1042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5234AF45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proofErr w:type="spellStart"/>
            <w:r>
              <w:rPr>
                <w:rFonts w:eastAsiaTheme="minorEastAsia"/>
                <w:kern w:val="0"/>
                <w:sz w:val="24"/>
              </w:rPr>
              <w:t>Cd</w:t>
            </w:r>
            <w:r>
              <w:rPr>
                <w:rFonts w:eastAsiaTheme="minorEastAsia"/>
                <w:kern w:val="0"/>
                <w:sz w:val="24"/>
                <w:vertAlign w:val="subscript"/>
              </w:rPr>
              <w:t>soil</w:t>
            </w:r>
            <w:proofErr w:type="spellEnd"/>
          </w:p>
        </w:tc>
        <w:tc>
          <w:tcPr>
            <w:tcW w:w="1234" w:type="dxa"/>
            <w:tcBorders>
              <w:top w:val="single" w:sz="12" w:space="0" w:color="auto"/>
              <w:tl2br w:val="nil"/>
              <w:tr2bl w:val="nil"/>
            </w:tcBorders>
          </w:tcPr>
          <w:p w14:paraId="4A34DC08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Exponential</w:t>
            </w:r>
          </w:p>
        </w:tc>
        <w:tc>
          <w:tcPr>
            <w:tcW w:w="1164" w:type="dxa"/>
            <w:tcBorders>
              <w:top w:val="single" w:sz="12" w:space="0" w:color="auto"/>
              <w:tl2br w:val="nil"/>
              <w:tr2bl w:val="nil"/>
            </w:tcBorders>
          </w:tcPr>
          <w:p w14:paraId="68EA034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  <w:tc>
          <w:tcPr>
            <w:tcW w:w="1369" w:type="dxa"/>
            <w:tcBorders>
              <w:top w:val="single" w:sz="12" w:space="0" w:color="auto"/>
              <w:tl2br w:val="nil"/>
              <w:tr2bl w:val="nil"/>
            </w:tcBorders>
          </w:tcPr>
          <w:p w14:paraId="748DD6D2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0.119</w:t>
            </w:r>
          </w:p>
        </w:tc>
        <w:tc>
          <w:tcPr>
            <w:tcW w:w="1588" w:type="dxa"/>
            <w:tcBorders>
              <w:top w:val="single" w:sz="12" w:space="0" w:color="auto"/>
              <w:tl2br w:val="nil"/>
              <w:tr2bl w:val="nil"/>
            </w:tcBorders>
          </w:tcPr>
          <w:p w14:paraId="0077306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13.9</w:t>
            </w:r>
          </w:p>
        </w:tc>
        <w:tc>
          <w:tcPr>
            <w:tcW w:w="1569" w:type="dxa"/>
            <w:tcBorders>
              <w:top w:val="single" w:sz="12" w:space="0" w:color="auto"/>
              <w:tl2br w:val="nil"/>
              <w:tr2bl w:val="nil"/>
            </w:tcBorders>
          </w:tcPr>
          <w:p w14:paraId="77897C11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1074" w:type="dxa"/>
            <w:tcBorders>
              <w:top w:val="single" w:sz="12" w:space="0" w:color="auto"/>
              <w:tl2br w:val="nil"/>
              <w:tr2bl w:val="nil"/>
            </w:tcBorders>
          </w:tcPr>
          <w:p w14:paraId="70699A66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0.915</w:t>
            </w:r>
          </w:p>
        </w:tc>
      </w:tr>
      <w:tr w:rsidR="00DB6BA9" w14:paraId="6D388E67" w14:textId="77777777">
        <w:trPr>
          <w:trHeight w:val="403"/>
        </w:trPr>
        <w:tc>
          <w:tcPr>
            <w:tcW w:w="1042" w:type="dxa"/>
            <w:tcBorders>
              <w:tl2br w:val="nil"/>
              <w:tr2bl w:val="nil"/>
            </w:tcBorders>
            <w:vAlign w:val="center"/>
          </w:tcPr>
          <w:p w14:paraId="46C3A53E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proofErr w:type="spellStart"/>
            <w:r>
              <w:rPr>
                <w:rFonts w:eastAsiaTheme="minorEastAsia"/>
                <w:kern w:val="0"/>
                <w:sz w:val="24"/>
              </w:rPr>
              <w:t>Cu</w:t>
            </w:r>
            <w:r>
              <w:rPr>
                <w:rFonts w:eastAsiaTheme="minorEastAsia"/>
                <w:kern w:val="0"/>
                <w:sz w:val="24"/>
                <w:vertAlign w:val="subscript"/>
              </w:rPr>
              <w:t>soil</w:t>
            </w:r>
            <w:proofErr w:type="spellEnd"/>
          </w:p>
        </w:tc>
        <w:tc>
          <w:tcPr>
            <w:tcW w:w="1234" w:type="dxa"/>
            <w:tcBorders>
              <w:tl2br w:val="nil"/>
              <w:tr2bl w:val="nil"/>
            </w:tcBorders>
          </w:tcPr>
          <w:p w14:paraId="5AA70600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Spherical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549E1CF8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0.044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0CA304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0.152</w:t>
            </w:r>
          </w:p>
        </w:tc>
        <w:tc>
          <w:tcPr>
            <w:tcW w:w="1588" w:type="dxa"/>
            <w:tcBorders>
              <w:tl2br w:val="nil"/>
              <w:tr2bl w:val="nil"/>
            </w:tcBorders>
          </w:tcPr>
          <w:p w14:paraId="77AC14D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28.4</w:t>
            </w:r>
          </w:p>
        </w:tc>
        <w:tc>
          <w:tcPr>
            <w:tcW w:w="1569" w:type="dxa"/>
            <w:tcBorders>
              <w:tl2br w:val="nil"/>
              <w:tr2bl w:val="nil"/>
            </w:tcBorders>
          </w:tcPr>
          <w:p w14:paraId="1FA8B3F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074" w:type="dxa"/>
            <w:tcBorders>
              <w:tl2br w:val="nil"/>
              <w:tr2bl w:val="nil"/>
            </w:tcBorders>
          </w:tcPr>
          <w:p w14:paraId="260D746F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0.940</w:t>
            </w:r>
          </w:p>
        </w:tc>
      </w:tr>
      <w:tr w:rsidR="00DB6BA9" w14:paraId="1778F0E9" w14:textId="77777777">
        <w:trPr>
          <w:trHeight w:val="403"/>
        </w:trPr>
        <w:tc>
          <w:tcPr>
            <w:tcW w:w="1042" w:type="dxa"/>
            <w:tcBorders>
              <w:tl2br w:val="nil"/>
              <w:tr2bl w:val="nil"/>
            </w:tcBorders>
            <w:vAlign w:val="center"/>
          </w:tcPr>
          <w:p w14:paraId="2DBBFB95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proofErr w:type="spellStart"/>
            <w:r>
              <w:rPr>
                <w:rFonts w:eastAsiaTheme="minorEastAsia"/>
                <w:kern w:val="0"/>
                <w:sz w:val="24"/>
              </w:rPr>
              <w:t>Ni</w:t>
            </w:r>
            <w:r>
              <w:rPr>
                <w:rFonts w:eastAsiaTheme="minorEastAsia"/>
                <w:kern w:val="0"/>
                <w:sz w:val="24"/>
                <w:vertAlign w:val="subscript"/>
              </w:rPr>
              <w:t>soil</w:t>
            </w:r>
            <w:proofErr w:type="spellEnd"/>
          </w:p>
        </w:tc>
        <w:tc>
          <w:tcPr>
            <w:tcW w:w="1234" w:type="dxa"/>
            <w:tcBorders>
              <w:tl2br w:val="nil"/>
              <w:tr2bl w:val="nil"/>
            </w:tcBorders>
          </w:tcPr>
          <w:p w14:paraId="1FAF47D7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Exponential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2263CC3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0.013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699EFE6C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0.425</w:t>
            </w:r>
          </w:p>
        </w:tc>
        <w:tc>
          <w:tcPr>
            <w:tcW w:w="1588" w:type="dxa"/>
            <w:tcBorders>
              <w:tl2br w:val="nil"/>
              <w:tr2bl w:val="nil"/>
            </w:tcBorders>
          </w:tcPr>
          <w:p w14:paraId="1393734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3.0</w:t>
            </w:r>
          </w:p>
        </w:tc>
        <w:tc>
          <w:tcPr>
            <w:tcW w:w="1569" w:type="dxa"/>
            <w:tcBorders>
              <w:tl2br w:val="nil"/>
              <w:tr2bl w:val="nil"/>
            </w:tcBorders>
          </w:tcPr>
          <w:p w14:paraId="1AB9BF1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074" w:type="dxa"/>
            <w:tcBorders>
              <w:tl2br w:val="nil"/>
              <w:tr2bl w:val="nil"/>
            </w:tcBorders>
          </w:tcPr>
          <w:p w14:paraId="62E572F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0.971</w:t>
            </w:r>
          </w:p>
        </w:tc>
      </w:tr>
      <w:tr w:rsidR="00DB6BA9" w14:paraId="50F1A656" w14:textId="77777777">
        <w:trPr>
          <w:trHeight w:val="403"/>
        </w:trPr>
        <w:tc>
          <w:tcPr>
            <w:tcW w:w="1042" w:type="dxa"/>
            <w:tcBorders>
              <w:tl2br w:val="nil"/>
              <w:tr2bl w:val="nil"/>
            </w:tcBorders>
            <w:vAlign w:val="center"/>
          </w:tcPr>
          <w:p w14:paraId="15BED970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proofErr w:type="spellStart"/>
            <w:r>
              <w:rPr>
                <w:rFonts w:eastAsiaTheme="minorEastAsia"/>
                <w:kern w:val="0"/>
                <w:sz w:val="24"/>
              </w:rPr>
              <w:t>Pb</w:t>
            </w:r>
            <w:r>
              <w:rPr>
                <w:rFonts w:eastAsiaTheme="minorEastAsia"/>
                <w:kern w:val="0"/>
                <w:sz w:val="24"/>
                <w:vertAlign w:val="subscript"/>
              </w:rPr>
              <w:t>soil</w:t>
            </w:r>
            <w:proofErr w:type="spellEnd"/>
          </w:p>
        </w:tc>
        <w:tc>
          <w:tcPr>
            <w:tcW w:w="1234" w:type="dxa"/>
            <w:tcBorders>
              <w:tl2br w:val="nil"/>
              <w:tr2bl w:val="nil"/>
            </w:tcBorders>
          </w:tcPr>
          <w:p w14:paraId="55A85968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Spherical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367ABBB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3.30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1D7FC8D3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43.88</w:t>
            </w:r>
          </w:p>
        </w:tc>
        <w:tc>
          <w:tcPr>
            <w:tcW w:w="1588" w:type="dxa"/>
            <w:tcBorders>
              <w:tl2br w:val="nil"/>
              <w:tr2bl w:val="nil"/>
            </w:tcBorders>
          </w:tcPr>
          <w:p w14:paraId="4A4817B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1569" w:type="dxa"/>
            <w:tcBorders>
              <w:tl2br w:val="nil"/>
              <w:tr2bl w:val="nil"/>
            </w:tcBorders>
          </w:tcPr>
          <w:p w14:paraId="4AC30293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1074" w:type="dxa"/>
            <w:tcBorders>
              <w:tl2br w:val="nil"/>
              <w:tr2bl w:val="nil"/>
            </w:tcBorders>
          </w:tcPr>
          <w:p w14:paraId="3646B099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0.903</w:t>
            </w:r>
          </w:p>
        </w:tc>
      </w:tr>
      <w:tr w:rsidR="00DB6BA9" w14:paraId="6EA4754F" w14:textId="77777777">
        <w:trPr>
          <w:trHeight w:val="460"/>
        </w:trPr>
        <w:tc>
          <w:tcPr>
            <w:tcW w:w="1042" w:type="dxa"/>
            <w:tcBorders>
              <w:tl2br w:val="nil"/>
              <w:tr2bl w:val="nil"/>
            </w:tcBorders>
            <w:vAlign w:val="center"/>
          </w:tcPr>
          <w:p w14:paraId="61871964" w14:textId="77777777" w:rsidR="00DB6BA9" w:rsidRDefault="00000000">
            <w:pPr>
              <w:widowControl/>
              <w:spacing w:line="300" w:lineRule="auto"/>
              <w:jc w:val="center"/>
              <w:rPr>
                <w:rFonts w:eastAsiaTheme="minorEastAsia"/>
                <w:sz w:val="24"/>
              </w:rPr>
            </w:pPr>
            <w:proofErr w:type="spellStart"/>
            <w:r>
              <w:rPr>
                <w:rFonts w:eastAsiaTheme="minorEastAsia"/>
                <w:kern w:val="0"/>
                <w:sz w:val="24"/>
              </w:rPr>
              <w:t>Zn</w:t>
            </w:r>
            <w:r>
              <w:rPr>
                <w:rFonts w:eastAsiaTheme="minorEastAsia"/>
                <w:kern w:val="0"/>
                <w:sz w:val="24"/>
                <w:vertAlign w:val="subscript"/>
              </w:rPr>
              <w:t>soil</w:t>
            </w:r>
            <w:proofErr w:type="spellEnd"/>
          </w:p>
        </w:tc>
        <w:tc>
          <w:tcPr>
            <w:tcW w:w="1234" w:type="dxa"/>
            <w:tcBorders>
              <w:tl2br w:val="nil"/>
              <w:tr2bl w:val="nil"/>
            </w:tcBorders>
          </w:tcPr>
          <w:p w14:paraId="16E5FD9A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Exponential</w:t>
            </w:r>
          </w:p>
        </w:tc>
        <w:tc>
          <w:tcPr>
            <w:tcW w:w="1164" w:type="dxa"/>
            <w:tcBorders>
              <w:tl2br w:val="nil"/>
              <w:tr2bl w:val="nil"/>
            </w:tcBorders>
          </w:tcPr>
          <w:p w14:paraId="103EC27B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427.0</w:t>
            </w:r>
          </w:p>
        </w:tc>
        <w:tc>
          <w:tcPr>
            <w:tcW w:w="1369" w:type="dxa"/>
            <w:tcBorders>
              <w:tl2br w:val="nil"/>
              <w:tr2bl w:val="nil"/>
            </w:tcBorders>
          </w:tcPr>
          <w:p w14:paraId="52B7B1BD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864.3</w:t>
            </w:r>
          </w:p>
        </w:tc>
        <w:tc>
          <w:tcPr>
            <w:tcW w:w="1588" w:type="dxa"/>
            <w:tcBorders>
              <w:tl2br w:val="nil"/>
              <w:tr2bl w:val="nil"/>
            </w:tcBorders>
          </w:tcPr>
          <w:p w14:paraId="6C2A7D51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49.2</w:t>
            </w:r>
          </w:p>
        </w:tc>
        <w:tc>
          <w:tcPr>
            <w:tcW w:w="1569" w:type="dxa"/>
            <w:tcBorders>
              <w:tl2br w:val="nil"/>
              <w:tr2bl w:val="nil"/>
            </w:tcBorders>
          </w:tcPr>
          <w:p w14:paraId="35168E94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074" w:type="dxa"/>
            <w:tcBorders>
              <w:tl2br w:val="nil"/>
              <w:tr2bl w:val="nil"/>
            </w:tcBorders>
          </w:tcPr>
          <w:p w14:paraId="3D688AE0" w14:textId="77777777" w:rsidR="00DB6BA9" w:rsidRDefault="0000000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0.855</w:t>
            </w:r>
          </w:p>
        </w:tc>
      </w:tr>
    </w:tbl>
    <w:p w14:paraId="363551E8" w14:textId="77777777" w:rsidR="00DB6BA9" w:rsidRDefault="00DB6BA9">
      <w:pPr>
        <w:spacing w:line="360" w:lineRule="auto"/>
        <w:ind w:firstLineChars="300" w:firstLine="720"/>
        <w:rPr>
          <w:sz w:val="24"/>
        </w:rPr>
      </w:pPr>
    </w:p>
    <w:p w14:paraId="36941503" w14:textId="77777777" w:rsidR="00DB6BA9" w:rsidRDefault="00DB6BA9">
      <w:pPr>
        <w:spacing w:line="360" w:lineRule="auto"/>
        <w:ind w:firstLineChars="300" w:firstLine="720"/>
        <w:rPr>
          <w:sz w:val="24"/>
        </w:rPr>
      </w:pPr>
    </w:p>
    <w:p w14:paraId="69F6E4DC" w14:textId="77777777" w:rsidR="00DB6BA9" w:rsidRDefault="00DB6BA9">
      <w:pPr>
        <w:spacing w:line="360" w:lineRule="auto"/>
        <w:ind w:firstLineChars="300" w:firstLine="720"/>
        <w:rPr>
          <w:sz w:val="24"/>
        </w:rPr>
      </w:pPr>
    </w:p>
    <w:p w14:paraId="3FB6C4C8" w14:textId="77777777" w:rsidR="00DB6BA9" w:rsidRDefault="00000000">
      <w:pPr>
        <w:spacing w:line="300" w:lineRule="auto"/>
        <w:jc w:val="center"/>
        <w:rPr>
          <w:b/>
          <w:bCs/>
          <w:szCs w:val="21"/>
        </w:rPr>
      </w:pPr>
      <w:r>
        <w:rPr>
          <w:b/>
          <w:bCs/>
          <w:sz w:val="24"/>
        </w:rPr>
        <w:t xml:space="preserve">Table </w:t>
      </w:r>
      <w:r>
        <w:rPr>
          <w:rFonts w:hint="eastAsia"/>
          <w:b/>
          <w:bCs/>
          <w:sz w:val="24"/>
        </w:rPr>
        <w:t>S5</w:t>
      </w:r>
      <w:r>
        <w:rPr>
          <w:b/>
          <w:bCs/>
          <w:szCs w:val="21"/>
        </w:rPr>
        <w:t xml:space="preserve"> </w:t>
      </w:r>
      <w:r>
        <w:rPr>
          <w:rFonts w:hint="eastAsia"/>
          <w:sz w:val="24"/>
        </w:rPr>
        <w:t>T</w:t>
      </w:r>
      <w:r>
        <w:rPr>
          <w:sz w:val="24"/>
        </w:rPr>
        <w:t>he</w:t>
      </w:r>
      <w:r>
        <w:rPr>
          <w:rFonts w:hint="eastAsia"/>
          <w:sz w:val="24"/>
        </w:rPr>
        <w:t xml:space="preserve"> </w:t>
      </w:r>
      <w:r>
        <w:rPr>
          <w:sz w:val="24"/>
        </w:rPr>
        <w:t>semi-variogram models and parameters for rice heavy metals</w:t>
      </w:r>
    </w:p>
    <w:tbl>
      <w:tblPr>
        <w:tblpPr w:leftFromText="180" w:rightFromText="180" w:vertAnchor="text" w:horzAnchor="page" w:tblpX="1767" w:tblpY="121"/>
        <w:tblOverlap w:val="never"/>
        <w:tblW w:w="917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5"/>
        <w:gridCol w:w="1432"/>
        <w:gridCol w:w="1251"/>
        <w:gridCol w:w="1433"/>
        <w:gridCol w:w="1786"/>
        <w:gridCol w:w="1234"/>
        <w:gridCol w:w="966"/>
      </w:tblGrid>
      <w:tr w:rsidR="00DB6BA9" w14:paraId="2C6297B1" w14:textId="77777777">
        <w:trPr>
          <w:trHeight w:val="1049"/>
        </w:trPr>
        <w:tc>
          <w:tcPr>
            <w:tcW w:w="107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1A805F8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Metals</w:t>
            </w:r>
          </w:p>
        </w:tc>
        <w:tc>
          <w:tcPr>
            <w:tcW w:w="1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5F9E8B8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Models</w:t>
            </w:r>
          </w:p>
        </w:tc>
        <w:tc>
          <w:tcPr>
            <w:tcW w:w="125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5F61845A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Nugget</w:t>
            </w:r>
          </w:p>
          <w:p w14:paraId="3B1F62A9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i/>
                <w:iCs/>
                <w:kern w:val="0"/>
                <w:sz w:val="24"/>
              </w:rPr>
              <w:t>C</w:t>
            </w:r>
            <w:r>
              <w:rPr>
                <w:i/>
                <w:iCs/>
                <w:kern w:val="0"/>
                <w:sz w:val="24"/>
                <w:vertAlign w:val="subscript"/>
              </w:rPr>
              <w:t>0</w:t>
            </w:r>
          </w:p>
        </w:tc>
        <w:tc>
          <w:tcPr>
            <w:tcW w:w="143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E18D1CD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Sill</w:t>
            </w:r>
          </w:p>
          <w:p w14:paraId="5935683C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i/>
                <w:iCs/>
                <w:kern w:val="0"/>
                <w:sz w:val="24"/>
              </w:rPr>
              <w:t>C</w:t>
            </w:r>
            <w:r>
              <w:rPr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kern w:val="0"/>
                <w:sz w:val="24"/>
              </w:rPr>
              <w:t>+</w:t>
            </w:r>
            <w:r>
              <w:rPr>
                <w:i/>
                <w:iCs/>
                <w:kern w:val="0"/>
                <w:sz w:val="24"/>
              </w:rPr>
              <w:t>C</w:t>
            </w:r>
          </w:p>
        </w:tc>
        <w:tc>
          <w:tcPr>
            <w:tcW w:w="178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0EC9990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Nugget/Sill</w:t>
            </w:r>
          </w:p>
          <w:p w14:paraId="3FCC2C5D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i/>
                <w:iCs/>
                <w:kern w:val="0"/>
                <w:sz w:val="24"/>
              </w:rPr>
              <w:t>C</w:t>
            </w:r>
            <w:r>
              <w:rPr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kern w:val="0"/>
                <w:sz w:val="24"/>
              </w:rPr>
              <w:t>/(</w:t>
            </w:r>
            <w:r>
              <w:rPr>
                <w:i/>
                <w:iCs/>
                <w:kern w:val="0"/>
                <w:sz w:val="24"/>
              </w:rPr>
              <w:t>C</w:t>
            </w:r>
            <w:r>
              <w:rPr>
                <w:i/>
                <w:iCs/>
                <w:kern w:val="0"/>
                <w:sz w:val="24"/>
                <w:vertAlign w:val="subscript"/>
              </w:rPr>
              <w:t>0</w:t>
            </w:r>
            <w:r>
              <w:rPr>
                <w:kern w:val="0"/>
                <w:sz w:val="24"/>
              </w:rPr>
              <w:t>+</w:t>
            </w:r>
            <w:r>
              <w:rPr>
                <w:i/>
                <w:iCs/>
                <w:kern w:val="0"/>
                <w:sz w:val="24"/>
              </w:rPr>
              <w:t>C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12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16CEB9CA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i/>
                <w:iCs/>
                <w:kern w:val="0"/>
                <w:sz w:val="24"/>
              </w:rPr>
              <w:t>a</w:t>
            </w:r>
            <w:r>
              <w:rPr>
                <w:kern w:val="0"/>
                <w:sz w:val="24"/>
              </w:rPr>
              <w:t xml:space="preserve"> (km)</w:t>
            </w:r>
          </w:p>
          <w:p w14:paraId="13BA313C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Range</w:t>
            </w:r>
          </w:p>
        </w:tc>
        <w:tc>
          <w:tcPr>
            <w:tcW w:w="96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8FF7CC6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i/>
                <w:iCs/>
                <w:sz w:val="24"/>
              </w:rPr>
              <w:t>R</w:t>
            </w:r>
            <w:r>
              <w:rPr>
                <w:sz w:val="24"/>
                <w:vertAlign w:val="superscript"/>
              </w:rPr>
              <w:t>2</w:t>
            </w:r>
          </w:p>
        </w:tc>
      </w:tr>
      <w:tr w:rsidR="00DB6BA9" w14:paraId="102E935A" w14:textId="77777777">
        <w:trPr>
          <w:trHeight w:val="488"/>
        </w:trPr>
        <w:tc>
          <w:tcPr>
            <w:tcW w:w="1075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D621A05" w14:textId="77777777" w:rsidR="00DB6BA9" w:rsidRDefault="00000000">
            <w:pPr>
              <w:widowControl/>
              <w:spacing w:line="300" w:lineRule="auto"/>
              <w:jc w:val="center"/>
              <w:rPr>
                <w:rFonts w:eastAsia="等线"/>
                <w:kern w:val="0"/>
                <w:sz w:val="24"/>
              </w:rPr>
            </w:pPr>
            <w:proofErr w:type="spellStart"/>
            <w:r>
              <w:rPr>
                <w:rFonts w:eastAsia="等线"/>
                <w:kern w:val="0"/>
                <w:sz w:val="24"/>
              </w:rPr>
              <w:t>Cd</w:t>
            </w:r>
            <w:r>
              <w:rPr>
                <w:rFonts w:eastAsia="等线"/>
                <w:kern w:val="0"/>
                <w:sz w:val="24"/>
                <w:vertAlign w:val="subscript"/>
              </w:rPr>
              <w:t>rice</w:t>
            </w:r>
            <w:proofErr w:type="spellEnd"/>
          </w:p>
        </w:tc>
        <w:tc>
          <w:tcPr>
            <w:tcW w:w="1432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178D1EEA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Exponential</w:t>
            </w:r>
          </w:p>
        </w:tc>
        <w:tc>
          <w:tcPr>
            <w:tcW w:w="1251" w:type="dxa"/>
            <w:tcBorders>
              <w:top w:val="single" w:sz="12" w:space="0" w:color="000000"/>
            </w:tcBorders>
            <w:shd w:val="clear" w:color="auto" w:fill="auto"/>
          </w:tcPr>
          <w:p w14:paraId="1BE7BC78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0.045</w:t>
            </w:r>
          </w:p>
        </w:tc>
        <w:tc>
          <w:tcPr>
            <w:tcW w:w="1433" w:type="dxa"/>
            <w:tcBorders>
              <w:top w:val="single" w:sz="12" w:space="0" w:color="000000"/>
            </w:tcBorders>
            <w:shd w:val="clear" w:color="auto" w:fill="auto"/>
          </w:tcPr>
          <w:p w14:paraId="243609AF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0.999</w:t>
            </w:r>
          </w:p>
        </w:tc>
        <w:tc>
          <w:tcPr>
            <w:tcW w:w="1786" w:type="dxa"/>
            <w:tcBorders>
              <w:top w:val="single" w:sz="12" w:space="0" w:color="000000"/>
            </w:tcBorders>
            <w:shd w:val="clear" w:color="auto" w:fill="auto"/>
          </w:tcPr>
          <w:p w14:paraId="481E39FE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46.7</w:t>
            </w:r>
          </w:p>
        </w:tc>
        <w:tc>
          <w:tcPr>
            <w:tcW w:w="1234" w:type="dxa"/>
            <w:tcBorders>
              <w:top w:val="single" w:sz="12" w:space="0" w:color="000000"/>
            </w:tcBorders>
            <w:shd w:val="clear" w:color="auto" w:fill="auto"/>
          </w:tcPr>
          <w:p w14:paraId="4AA3A0B0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5.8</w:t>
            </w:r>
          </w:p>
        </w:tc>
        <w:tc>
          <w:tcPr>
            <w:tcW w:w="966" w:type="dxa"/>
            <w:tcBorders>
              <w:top w:val="single" w:sz="12" w:space="0" w:color="000000"/>
            </w:tcBorders>
            <w:shd w:val="clear" w:color="auto" w:fill="auto"/>
          </w:tcPr>
          <w:p w14:paraId="02584A7F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0.868</w:t>
            </w:r>
          </w:p>
        </w:tc>
      </w:tr>
      <w:tr w:rsidR="00DB6BA9" w14:paraId="4F18D147" w14:textId="77777777">
        <w:trPr>
          <w:trHeight w:val="424"/>
        </w:trPr>
        <w:tc>
          <w:tcPr>
            <w:tcW w:w="1075" w:type="dxa"/>
            <w:shd w:val="clear" w:color="auto" w:fill="auto"/>
            <w:vAlign w:val="center"/>
          </w:tcPr>
          <w:p w14:paraId="65D7936D" w14:textId="77777777" w:rsidR="00DB6BA9" w:rsidRDefault="00000000">
            <w:pPr>
              <w:widowControl/>
              <w:spacing w:line="300" w:lineRule="auto"/>
              <w:jc w:val="center"/>
              <w:rPr>
                <w:rFonts w:eastAsia="等线"/>
                <w:kern w:val="0"/>
                <w:sz w:val="24"/>
              </w:rPr>
            </w:pPr>
            <w:proofErr w:type="spellStart"/>
            <w:r>
              <w:rPr>
                <w:rFonts w:eastAsia="等线"/>
                <w:kern w:val="0"/>
                <w:sz w:val="24"/>
              </w:rPr>
              <w:t>Cu</w:t>
            </w:r>
            <w:r>
              <w:rPr>
                <w:rFonts w:eastAsia="等线"/>
                <w:kern w:val="0"/>
                <w:sz w:val="24"/>
                <w:vertAlign w:val="subscript"/>
              </w:rPr>
              <w:t>rice</w:t>
            </w:r>
            <w:proofErr w:type="spellEnd"/>
          </w:p>
        </w:tc>
        <w:tc>
          <w:tcPr>
            <w:tcW w:w="1432" w:type="dxa"/>
            <w:shd w:val="clear" w:color="auto" w:fill="auto"/>
            <w:vAlign w:val="center"/>
          </w:tcPr>
          <w:p w14:paraId="1A3FA221" w14:textId="77777777" w:rsidR="00DB6BA9" w:rsidRDefault="00000000">
            <w:pPr>
              <w:widowControl/>
              <w:spacing w:line="30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Exponential</w:t>
            </w:r>
          </w:p>
        </w:tc>
        <w:tc>
          <w:tcPr>
            <w:tcW w:w="1251" w:type="dxa"/>
            <w:shd w:val="clear" w:color="auto" w:fill="auto"/>
          </w:tcPr>
          <w:p w14:paraId="163B8430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0.471</w:t>
            </w:r>
          </w:p>
        </w:tc>
        <w:tc>
          <w:tcPr>
            <w:tcW w:w="1433" w:type="dxa"/>
            <w:shd w:val="clear" w:color="auto" w:fill="auto"/>
          </w:tcPr>
          <w:p w14:paraId="044AE1C2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1.227</w:t>
            </w:r>
          </w:p>
        </w:tc>
        <w:tc>
          <w:tcPr>
            <w:tcW w:w="1786" w:type="dxa"/>
            <w:shd w:val="clear" w:color="auto" w:fill="auto"/>
          </w:tcPr>
          <w:p w14:paraId="47C38B6B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38.6</w:t>
            </w:r>
          </w:p>
        </w:tc>
        <w:tc>
          <w:tcPr>
            <w:tcW w:w="1234" w:type="dxa"/>
            <w:shd w:val="clear" w:color="auto" w:fill="auto"/>
          </w:tcPr>
          <w:p w14:paraId="33C86DB3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966" w:type="dxa"/>
            <w:shd w:val="clear" w:color="auto" w:fill="auto"/>
          </w:tcPr>
          <w:p w14:paraId="2B254019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0.942</w:t>
            </w:r>
          </w:p>
        </w:tc>
      </w:tr>
      <w:tr w:rsidR="00DB6BA9" w14:paraId="6CBAC177" w14:textId="77777777">
        <w:trPr>
          <w:trHeight w:val="424"/>
        </w:trPr>
        <w:tc>
          <w:tcPr>
            <w:tcW w:w="1075" w:type="dxa"/>
            <w:shd w:val="clear" w:color="auto" w:fill="auto"/>
            <w:vAlign w:val="center"/>
          </w:tcPr>
          <w:p w14:paraId="0621749A" w14:textId="77777777" w:rsidR="00DB6BA9" w:rsidRDefault="00000000">
            <w:pPr>
              <w:widowControl/>
              <w:spacing w:line="300" w:lineRule="auto"/>
              <w:jc w:val="center"/>
              <w:rPr>
                <w:rFonts w:eastAsia="等线"/>
                <w:kern w:val="0"/>
                <w:sz w:val="24"/>
              </w:rPr>
            </w:pPr>
            <w:proofErr w:type="spellStart"/>
            <w:r>
              <w:rPr>
                <w:rFonts w:eastAsia="等线"/>
                <w:kern w:val="0"/>
                <w:sz w:val="24"/>
              </w:rPr>
              <w:t>Ni</w:t>
            </w:r>
            <w:r>
              <w:rPr>
                <w:rFonts w:eastAsia="等线"/>
                <w:kern w:val="0"/>
                <w:sz w:val="24"/>
                <w:vertAlign w:val="subscript"/>
              </w:rPr>
              <w:t>rice</w:t>
            </w:r>
            <w:proofErr w:type="spellEnd"/>
          </w:p>
        </w:tc>
        <w:tc>
          <w:tcPr>
            <w:tcW w:w="1432" w:type="dxa"/>
            <w:shd w:val="clear" w:color="auto" w:fill="auto"/>
          </w:tcPr>
          <w:p w14:paraId="4C82E953" w14:textId="77777777" w:rsidR="00DB6BA9" w:rsidRDefault="00000000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Spherical</w:t>
            </w:r>
          </w:p>
        </w:tc>
        <w:tc>
          <w:tcPr>
            <w:tcW w:w="1251" w:type="dxa"/>
            <w:shd w:val="clear" w:color="auto" w:fill="auto"/>
          </w:tcPr>
          <w:p w14:paraId="553DE387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0.028</w:t>
            </w:r>
          </w:p>
        </w:tc>
        <w:tc>
          <w:tcPr>
            <w:tcW w:w="1433" w:type="dxa"/>
            <w:shd w:val="clear" w:color="auto" w:fill="auto"/>
          </w:tcPr>
          <w:p w14:paraId="424E8BBB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0.375</w:t>
            </w:r>
          </w:p>
        </w:tc>
        <w:tc>
          <w:tcPr>
            <w:tcW w:w="1786" w:type="dxa"/>
            <w:shd w:val="clear" w:color="auto" w:fill="auto"/>
          </w:tcPr>
          <w:p w14:paraId="5A536F08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1234" w:type="dxa"/>
            <w:shd w:val="clear" w:color="auto" w:fill="auto"/>
          </w:tcPr>
          <w:p w14:paraId="4DD7678A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966" w:type="dxa"/>
            <w:shd w:val="clear" w:color="auto" w:fill="auto"/>
          </w:tcPr>
          <w:p w14:paraId="5BABE69B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0.945</w:t>
            </w:r>
          </w:p>
        </w:tc>
      </w:tr>
      <w:tr w:rsidR="00DB6BA9" w14:paraId="092005F8" w14:textId="77777777">
        <w:trPr>
          <w:trHeight w:val="488"/>
        </w:trPr>
        <w:tc>
          <w:tcPr>
            <w:tcW w:w="107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539CE76B" w14:textId="77777777" w:rsidR="00DB6BA9" w:rsidRDefault="00000000">
            <w:pPr>
              <w:widowControl/>
              <w:spacing w:line="300" w:lineRule="auto"/>
              <w:jc w:val="center"/>
              <w:rPr>
                <w:rFonts w:eastAsia="等线"/>
                <w:kern w:val="0"/>
                <w:sz w:val="24"/>
              </w:rPr>
            </w:pPr>
            <w:proofErr w:type="spellStart"/>
            <w:r>
              <w:rPr>
                <w:rFonts w:eastAsia="等线"/>
                <w:kern w:val="0"/>
                <w:sz w:val="24"/>
              </w:rPr>
              <w:t>Zn</w:t>
            </w:r>
            <w:r>
              <w:rPr>
                <w:rFonts w:eastAsia="等线"/>
                <w:kern w:val="0"/>
                <w:sz w:val="24"/>
                <w:vertAlign w:val="subscript"/>
              </w:rPr>
              <w:t>rice</w:t>
            </w:r>
            <w:proofErr w:type="spellEnd"/>
          </w:p>
        </w:tc>
        <w:tc>
          <w:tcPr>
            <w:tcW w:w="1432" w:type="dxa"/>
            <w:tcBorders>
              <w:bottom w:val="single" w:sz="12" w:space="0" w:color="000000"/>
            </w:tcBorders>
            <w:shd w:val="clear" w:color="auto" w:fill="auto"/>
          </w:tcPr>
          <w:p w14:paraId="4566D102" w14:textId="77777777" w:rsidR="00DB6BA9" w:rsidRDefault="00000000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Exponential</w:t>
            </w:r>
          </w:p>
        </w:tc>
        <w:tc>
          <w:tcPr>
            <w:tcW w:w="1251" w:type="dxa"/>
            <w:tcBorders>
              <w:bottom w:val="single" w:sz="12" w:space="0" w:color="000000"/>
            </w:tcBorders>
            <w:shd w:val="clear" w:color="auto" w:fill="auto"/>
          </w:tcPr>
          <w:p w14:paraId="146D0B1A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2.37</w:t>
            </w:r>
          </w:p>
        </w:tc>
        <w:tc>
          <w:tcPr>
            <w:tcW w:w="1433" w:type="dxa"/>
            <w:tcBorders>
              <w:bottom w:val="single" w:sz="12" w:space="0" w:color="000000"/>
            </w:tcBorders>
            <w:shd w:val="clear" w:color="auto" w:fill="auto"/>
          </w:tcPr>
          <w:p w14:paraId="364FA1F6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12.84</w:t>
            </w:r>
          </w:p>
        </w:tc>
        <w:tc>
          <w:tcPr>
            <w:tcW w:w="1786" w:type="dxa"/>
            <w:tcBorders>
              <w:bottom w:val="single" w:sz="12" w:space="0" w:color="000000"/>
            </w:tcBorders>
            <w:shd w:val="clear" w:color="auto" w:fill="auto"/>
          </w:tcPr>
          <w:p w14:paraId="28053914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18.4</w:t>
            </w:r>
          </w:p>
        </w:tc>
        <w:tc>
          <w:tcPr>
            <w:tcW w:w="1234" w:type="dxa"/>
            <w:tcBorders>
              <w:bottom w:val="single" w:sz="12" w:space="0" w:color="000000"/>
            </w:tcBorders>
            <w:shd w:val="clear" w:color="auto" w:fill="auto"/>
          </w:tcPr>
          <w:p w14:paraId="6B6B7E84" w14:textId="77777777" w:rsidR="00DB6BA9" w:rsidRDefault="00000000">
            <w:pPr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966" w:type="dxa"/>
            <w:tcBorders>
              <w:bottom w:val="single" w:sz="12" w:space="0" w:color="000000"/>
            </w:tcBorders>
            <w:shd w:val="clear" w:color="auto" w:fill="auto"/>
          </w:tcPr>
          <w:p w14:paraId="15E18E62" w14:textId="77777777" w:rsidR="00DB6BA9" w:rsidRDefault="00000000">
            <w:pPr>
              <w:jc w:val="center"/>
              <w:rPr>
                <w:rFonts w:eastAsia="等线"/>
                <w:kern w:val="0"/>
                <w:sz w:val="24"/>
              </w:rPr>
            </w:pPr>
            <w:r>
              <w:rPr>
                <w:sz w:val="24"/>
              </w:rPr>
              <w:t>0.869</w:t>
            </w:r>
          </w:p>
        </w:tc>
      </w:tr>
    </w:tbl>
    <w:p w14:paraId="2C91AFB2" w14:textId="77777777" w:rsidR="00DB6BA9" w:rsidRDefault="00DB6BA9"/>
    <w:p w14:paraId="6C0E06C5" w14:textId="77777777" w:rsidR="00DB6BA9" w:rsidRDefault="00DB6BA9"/>
    <w:p w14:paraId="71269BDD" w14:textId="77777777" w:rsidR="00DB6BA9" w:rsidRDefault="00DB6BA9"/>
    <w:p w14:paraId="7136677E" w14:textId="77777777" w:rsidR="00DB6BA9" w:rsidRDefault="00DB6BA9"/>
    <w:p w14:paraId="4F2D3081" w14:textId="77777777" w:rsidR="00DB6BA9" w:rsidRDefault="00DB6BA9"/>
    <w:p w14:paraId="13AA95B7" w14:textId="77777777" w:rsidR="00DB6BA9" w:rsidRDefault="00000000">
      <w:r>
        <w:rPr>
          <w:noProof/>
        </w:rPr>
        <w:lastRenderedPageBreak/>
        <w:drawing>
          <wp:inline distT="0" distB="0" distL="114300" distR="114300" wp14:anchorId="4868886A" wp14:editId="6D461822">
            <wp:extent cx="4817110" cy="2830195"/>
            <wp:effectExtent l="4445" t="4445" r="17145" b="22860"/>
            <wp:docPr id="98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23E4096" w14:textId="77777777" w:rsidR="00DB6BA9" w:rsidRDefault="00000000">
      <w:pPr>
        <w:jc w:val="center"/>
        <w:rPr>
          <w:sz w:val="24"/>
        </w:rPr>
      </w:pPr>
      <w:r>
        <w:rPr>
          <w:b/>
          <w:bCs/>
          <w:sz w:val="24"/>
        </w:rPr>
        <w:t>F</w:t>
      </w:r>
      <w:r>
        <w:rPr>
          <w:rFonts w:hint="eastAsia"/>
          <w:b/>
          <w:bCs/>
          <w:sz w:val="24"/>
        </w:rPr>
        <w:t xml:space="preserve">ig. </w:t>
      </w:r>
      <w:r>
        <w:rPr>
          <w:b/>
          <w:bCs/>
          <w:sz w:val="24"/>
        </w:rPr>
        <w:t>S1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sz w:val="24"/>
        </w:rPr>
        <w:t>The bio-availability of HMs in the soil-rice system</w:t>
      </w:r>
    </w:p>
    <w:p w14:paraId="79406952" w14:textId="77777777" w:rsidR="00DB6BA9" w:rsidRDefault="00DB6BA9">
      <w:pPr>
        <w:rPr>
          <w:sz w:val="24"/>
        </w:rPr>
      </w:pPr>
    </w:p>
    <w:p w14:paraId="37155CC9" w14:textId="77777777" w:rsidR="00DB6BA9" w:rsidRDefault="00000000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Ref.</w:t>
      </w:r>
    </w:p>
    <w:p w14:paraId="0E64528F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r w:rsidRPr="007F585E">
        <w:rPr>
          <w:sz w:val="24"/>
        </w:rPr>
        <w:t xml:space="preserve">Cao, S., Duan, X., Zhao, X., Ma, J., Dong, T., Huang, N., et al. (2014). Health risks from the exposure of children to As, Se, Pb and other heavy metals near the largest coking plant in China. Science of The Total Environment, 472, 1001–1009. </w:t>
      </w:r>
      <w:hyperlink r:id="rId8" w:history="1">
        <w:r w:rsidRPr="007F585E">
          <w:rPr>
            <w:rStyle w:val="a9"/>
            <w:sz w:val="24"/>
          </w:rPr>
          <w:t>https://doi.org/10.1016/j.scitotenv.2013.11.124</w:t>
        </w:r>
      </w:hyperlink>
    </w:p>
    <w:p w14:paraId="39C00161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proofErr w:type="spellStart"/>
      <w:r w:rsidRPr="007F585E">
        <w:rPr>
          <w:sz w:val="24"/>
        </w:rPr>
        <w:t>Hakanson</w:t>
      </w:r>
      <w:proofErr w:type="spellEnd"/>
      <w:r w:rsidRPr="007F585E">
        <w:rPr>
          <w:sz w:val="24"/>
        </w:rPr>
        <w:t xml:space="preserve">, L. (1980). An ecological risk index for aquatic pollution </w:t>
      </w:r>
      <w:proofErr w:type="spellStart"/>
      <w:proofErr w:type="gramStart"/>
      <w:r w:rsidRPr="007F585E">
        <w:rPr>
          <w:sz w:val="24"/>
        </w:rPr>
        <w:t>control.a</w:t>
      </w:r>
      <w:proofErr w:type="spellEnd"/>
      <w:proofErr w:type="gramEnd"/>
      <w:r w:rsidRPr="007F585E">
        <w:rPr>
          <w:sz w:val="24"/>
        </w:rPr>
        <w:t xml:space="preserve"> sedimentological approach. Water Research, 14(8), 975–1001. </w:t>
      </w:r>
      <w:hyperlink r:id="rId9" w:history="1">
        <w:r w:rsidRPr="007F585E">
          <w:rPr>
            <w:rStyle w:val="a9"/>
            <w:sz w:val="24"/>
          </w:rPr>
          <w:t>https://doi.org/10.1016/0043-1354(80)90143-8</w:t>
        </w:r>
      </w:hyperlink>
    </w:p>
    <w:p w14:paraId="1601C061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proofErr w:type="spellStart"/>
      <w:r w:rsidRPr="007F585E">
        <w:rPr>
          <w:sz w:val="24"/>
        </w:rPr>
        <w:t>Ke</w:t>
      </w:r>
      <w:proofErr w:type="spellEnd"/>
      <w:r w:rsidRPr="007F585E">
        <w:rPr>
          <w:sz w:val="24"/>
        </w:rPr>
        <w:t xml:space="preserve">, X., Gui, S., Huang, H., Zhang, H., Wang, C., &amp; Guo, W. (2017). Ecological risk assessment and source identification for heavy metals in surface sediment from the </w:t>
      </w:r>
      <w:proofErr w:type="spellStart"/>
      <w:r w:rsidRPr="007F585E">
        <w:rPr>
          <w:sz w:val="24"/>
        </w:rPr>
        <w:t>Liaohe</w:t>
      </w:r>
      <w:proofErr w:type="spellEnd"/>
      <w:r w:rsidRPr="007F585E">
        <w:rPr>
          <w:sz w:val="24"/>
        </w:rPr>
        <w:t xml:space="preserve"> River protected area, China. Chemosphere, 175, 473–481. </w:t>
      </w:r>
      <w:hyperlink r:id="rId10" w:history="1">
        <w:r w:rsidRPr="007F585E">
          <w:rPr>
            <w:rStyle w:val="a9"/>
            <w:sz w:val="24"/>
          </w:rPr>
          <w:t>https://doi.org/10.1016/j.chemosphere.2017.02.029</w:t>
        </w:r>
      </w:hyperlink>
    </w:p>
    <w:p w14:paraId="5C3E106B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r w:rsidRPr="007F585E">
        <w:rPr>
          <w:sz w:val="24"/>
        </w:rPr>
        <w:t xml:space="preserve">Li, Z., Ma, Z., van der </w:t>
      </w:r>
      <w:proofErr w:type="spellStart"/>
      <w:r w:rsidRPr="007F585E">
        <w:rPr>
          <w:sz w:val="24"/>
        </w:rPr>
        <w:t>Kuijp</w:t>
      </w:r>
      <w:proofErr w:type="spellEnd"/>
      <w:r w:rsidRPr="007F585E">
        <w:rPr>
          <w:sz w:val="24"/>
        </w:rPr>
        <w:t xml:space="preserve">, T. J., Yuan, Z., &amp; Huang, L. (2014). A review of soil heavy metal pollution from mines in China: Pollution and health risk assessment. Science of The Total Environment, 468–469, 843–853. </w:t>
      </w:r>
      <w:hyperlink r:id="rId11" w:history="1">
        <w:r w:rsidRPr="007F585E">
          <w:rPr>
            <w:rStyle w:val="a9"/>
            <w:sz w:val="24"/>
          </w:rPr>
          <w:t>https://doi.org/10.1016/j.scitotenv.2013.08.090</w:t>
        </w:r>
      </w:hyperlink>
    </w:p>
    <w:p w14:paraId="5408C824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r w:rsidRPr="007F585E">
        <w:rPr>
          <w:sz w:val="24"/>
        </w:rPr>
        <w:t xml:space="preserve">Liu, X., Gu, S., Yang, S., Deng, J., &amp; Xu, J. (2021). Heavy metals in soil-vegetable system around E-waste site and the health risk assessment. Science of The Total </w:t>
      </w:r>
      <w:r w:rsidRPr="007F585E">
        <w:rPr>
          <w:sz w:val="24"/>
        </w:rPr>
        <w:lastRenderedPageBreak/>
        <w:t>Environment, 779, 146438.</w:t>
      </w:r>
      <w:r w:rsidRPr="007F585E">
        <w:rPr>
          <w:rStyle w:val="a9"/>
        </w:rPr>
        <w:t xml:space="preserve"> </w:t>
      </w:r>
      <w:hyperlink r:id="rId12" w:history="1">
        <w:r w:rsidRPr="007F585E">
          <w:rPr>
            <w:rStyle w:val="a9"/>
            <w:sz w:val="24"/>
          </w:rPr>
          <w:t>https://doi.org/10.1016/j.scitotenv.2021.146438</w:t>
        </w:r>
      </w:hyperlink>
    </w:p>
    <w:p w14:paraId="3614A5BB" w14:textId="509AF4DD" w:rsidR="00DB6BA9" w:rsidRDefault="00000000">
      <w:pPr>
        <w:spacing w:line="360" w:lineRule="auto"/>
        <w:ind w:left="480" w:hangingChars="200" w:hanging="480"/>
        <w:rPr>
          <w:sz w:val="24"/>
        </w:rPr>
      </w:pPr>
      <w:r w:rsidRPr="007F585E">
        <w:rPr>
          <w:rFonts w:hint="eastAsia"/>
          <w:sz w:val="24"/>
        </w:rPr>
        <w:t xml:space="preserve">Lu, R. K. </w:t>
      </w:r>
      <w:r w:rsidR="007F585E">
        <w:rPr>
          <w:rFonts w:hint="eastAsia"/>
          <w:sz w:val="24"/>
        </w:rPr>
        <w:t>(</w:t>
      </w:r>
      <w:r w:rsidRPr="007F585E">
        <w:rPr>
          <w:rFonts w:hint="eastAsia"/>
          <w:sz w:val="24"/>
        </w:rPr>
        <w:t>2000</w:t>
      </w:r>
      <w:r w:rsidR="007F585E">
        <w:rPr>
          <w:sz w:val="24"/>
        </w:rPr>
        <w:t>)</w:t>
      </w:r>
      <w:r w:rsidRPr="007F585E">
        <w:rPr>
          <w:rFonts w:hint="eastAsia"/>
          <w:sz w:val="24"/>
        </w:rPr>
        <w:t>. Analysis Methods of Soil and Agricultural Chemistry. Beijing: 594 Chinese Agricultural Science and Technology Press</w:t>
      </w:r>
      <w:r w:rsidR="007F585E">
        <w:rPr>
          <w:sz w:val="24"/>
        </w:rPr>
        <w:t>,</w:t>
      </w:r>
      <w:r w:rsidRPr="007F585E">
        <w:rPr>
          <w:rFonts w:hint="eastAsia"/>
          <w:sz w:val="24"/>
        </w:rPr>
        <w:t xml:space="preserve"> 146-315. (In Chinese)</w:t>
      </w:r>
    </w:p>
    <w:p w14:paraId="64C8EAAF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proofErr w:type="spellStart"/>
      <w:r w:rsidRPr="007F585E">
        <w:rPr>
          <w:sz w:val="24"/>
        </w:rPr>
        <w:t>Maanan</w:t>
      </w:r>
      <w:proofErr w:type="spellEnd"/>
      <w:r w:rsidRPr="007F585E">
        <w:rPr>
          <w:sz w:val="24"/>
        </w:rPr>
        <w:t xml:space="preserve">, M., </w:t>
      </w:r>
      <w:proofErr w:type="spellStart"/>
      <w:r w:rsidRPr="007F585E">
        <w:rPr>
          <w:sz w:val="24"/>
        </w:rPr>
        <w:t>Saddik</w:t>
      </w:r>
      <w:proofErr w:type="spellEnd"/>
      <w:r w:rsidRPr="007F585E">
        <w:rPr>
          <w:sz w:val="24"/>
        </w:rPr>
        <w:t xml:space="preserve">, M., </w:t>
      </w:r>
      <w:proofErr w:type="spellStart"/>
      <w:r w:rsidRPr="007F585E">
        <w:rPr>
          <w:sz w:val="24"/>
        </w:rPr>
        <w:t>Maanan</w:t>
      </w:r>
      <w:proofErr w:type="spellEnd"/>
      <w:r w:rsidRPr="007F585E">
        <w:rPr>
          <w:sz w:val="24"/>
        </w:rPr>
        <w:t xml:space="preserve">, M., </w:t>
      </w:r>
      <w:proofErr w:type="spellStart"/>
      <w:r w:rsidRPr="007F585E">
        <w:rPr>
          <w:sz w:val="24"/>
        </w:rPr>
        <w:t>Chaibi</w:t>
      </w:r>
      <w:proofErr w:type="spellEnd"/>
      <w:r w:rsidRPr="007F585E">
        <w:rPr>
          <w:sz w:val="24"/>
        </w:rPr>
        <w:t xml:space="preserve">, M., </w:t>
      </w:r>
      <w:proofErr w:type="spellStart"/>
      <w:r w:rsidRPr="007F585E">
        <w:rPr>
          <w:sz w:val="24"/>
        </w:rPr>
        <w:t>Assobhei</w:t>
      </w:r>
      <w:proofErr w:type="spellEnd"/>
      <w:r w:rsidRPr="007F585E">
        <w:rPr>
          <w:sz w:val="24"/>
        </w:rPr>
        <w:t xml:space="preserve">, O., &amp; </w:t>
      </w:r>
      <w:proofErr w:type="spellStart"/>
      <w:r w:rsidRPr="007F585E">
        <w:rPr>
          <w:sz w:val="24"/>
        </w:rPr>
        <w:t>Zourarah</w:t>
      </w:r>
      <w:proofErr w:type="spellEnd"/>
      <w:r w:rsidRPr="007F585E">
        <w:rPr>
          <w:sz w:val="24"/>
        </w:rPr>
        <w:t xml:space="preserve">, B. (2015). Environmental and ecological risk assessment of heavy metals in sediments of </w:t>
      </w:r>
      <w:proofErr w:type="spellStart"/>
      <w:r w:rsidRPr="007F585E">
        <w:rPr>
          <w:sz w:val="24"/>
        </w:rPr>
        <w:t>Nador</w:t>
      </w:r>
      <w:proofErr w:type="spellEnd"/>
      <w:r w:rsidRPr="007F585E">
        <w:rPr>
          <w:sz w:val="24"/>
        </w:rPr>
        <w:t xml:space="preserve"> lagoon, Morocco. Ecological Indicators, 48, 616–626. </w:t>
      </w:r>
      <w:hyperlink r:id="rId13" w:history="1">
        <w:r w:rsidRPr="007F585E">
          <w:rPr>
            <w:rStyle w:val="a9"/>
            <w:sz w:val="24"/>
          </w:rPr>
          <w:t>https://doi.org/10.1016/j.ecolind.2014.09.034</w:t>
        </w:r>
      </w:hyperlink>
    </w:p>
    <w:p w14:paraId="0AE038A2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r w:rsidRPr="007F585E">
        <w:rPr>
          <w:sz w:val="24"/>
        </w:rPr>
        <w:t xml:space="preserve">Sun, J., Zhao, M., Huang, J., Liu, Y., Wu, Y., Cai, B., et al. (2022). Determination of priority control factors for the management of soil trace metal(loid)s based on source-oriented health risk assessment. Journal of Hazardous Materials, 423, 127116. </w:t>
      </w:r>
      <w:hyperlink r:id="rId14" w:history="1">
        <w:r w:rsidRPr="007F585E">
          <w:rPr>
            <w:rStyle w:val="a9"/>
            <w:sz w:val="24"/>
          </w:rPr>
          <w:t>https://doi.org/10.1016/j.jhazmat.2021.127116</w:t>
        </w:r>
      </w:hyperlink>
    </w:p>
    <w:p w14:paraId="56E95865" w14:textId="77777777" w:rsidR="007F585E" w:rsidRPr="007F585E" w:rsidRDefault="007F585E" w:rsidP="007F585E">
      <w:pPr>
        <w:spacing w:line="360" w:lineRule="auto"/>
        <w:ind w:left="480" w:hangingChars="200" w:hanging="480"/>
        <w:rPr>
          <w:sz w:val="24"/>
        </w:rPr>
      </w:pPr>
      <w:r w:rsidRPr="007F585E">
        <w:rPr>
          <w:sz w:val="24"/>
        </w:rPr>
        <w:t xml:space="preserve">Yu, Z., Dong, J., Fu, W., Ye, Z., Li, W., &amp; Zhao, K. (2019). The Transfer Characteristics of Potentially Toxic Trace Elements in Different Soil-Rice Systems and Their Quantitative Models in Southeastern China. International Journal of Environmental Research and Public Health, 16(14). </w:t>
      </w:r>
      <w:hyperlink r:id="rId15" w:history="1">
        <w:r w:rsidRPr="007F585E">
          <w:rPr>
            <w:rStyle w:val="a9"/>
            <w:sz w:val="24"/>
          </w:rPr>
          <w:t>https://doi.org/10.3390/ijerph16142503</w:t>
        </w:r>
      </w:hyperlink>
    </w:p>
    <w:p w14:paraId="54F96B35" w14:textId="145ACD32" w:rsidR="00DB6BA9" w:rsidRDefault="00000000">
      <w:pPr>
        <w:spacing w:line="360" w:lineRule="auto"/>
        <w:ind w:left="480" w:hangingChars="200" w:hanging="480"/>
        <w:rPr>
          <w:szCs w:val="21"/>
        </w:rPr>
      </w:pPr>
      <w:r w:rsidRPr="007F585E">
        <w:rPr>
          <w:rFonts w:hint="eastAsia"/>
          <w:sz w:val="24"/>
        </w:rPr>
        <w:t>USEPA (The United States Environmental Protection Agency)</w:t>
      </w:r>
      <w:r w:rsidR="007F585E" w:rsidRPr="007F585E">
        <w:rPr>
          <w:sz w:val="24"/>
        </w:rPr>
        <w:t>. (</w:t>
      </w:r>
      <w:r w:rsidRPr="007F585E">
        <w:rPr>
          <w:rFonts w:hint="eastAsia"/>
          <w:sz w:val="24"/>
        </w:rPr>
        <w:t>2011</w:t>
      </w:r>
      <w:r w:rsidR="007F585E" w:rsidRPr="007F585E">
        <w:rPr>
          <w:sz w:val="24"/>
        </w:rPr>
        <w:t>)</w:t>
      </w:r>
      <w:r w:rsidRPr="007F585E">
        <w:rPr>
          <w:rFonts w:hint="eastAsia"/>
          <w:sz w:val="24"/>
        </w:rPr>
        <w:t>. Exposure Factors Handbook 2011 Edition (Final). U.S. Environmental Protection Agency, Washington, DC, EPA/600/R-09/052F</w:t>
      </w:r>
      <w:r w:rsidR="007F585E" w:rsidRPr="007F585E">
        <w:rPr>
          <w:sz w:val="24"/>
        </w:rPr>
        <w:t>.</w:t>
      </w:r>
    </w:p>
    <w:p w14:paraId="7F92BF98" w14:textId="77777777" w:rsidR="00DB6BA9" w:rsidRPr="007F585E" w:rsidRDefault="00DB6BA9">
      <w:pPr>
        <w:rPr>
          <w:sz w:val="24"/>
        </w:rPr>
      </w:pPr>
    </w:p>
    <w:sectPr w:rsidR="00DB6BA9" w:rsidRPr="007F585E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2ACE"/>
    <w:rsid w:val="001B46DD"/>
    <w:rsid w:val="00317C15"/>
    <w:rsid w:val="00342ACE"/>
    <w:rsid w:val="005C4704"/>
    <w:rsid w:val="00772DA9"/>
    <w:rsid w:val="007F585E"/>
    <w:rsid w:val="00934D05"/>
    <w:rsid w:val="00A70A6C"/>
    <w:rsid w:val="00D3460E"/>
    <w:rsid w:val="00DB6BA9"/>
    <w:rsid w:val="00E50D89"/>
    <w:rsid w:val="00EB6726"/>
    <w:rsid w:val="00EF362F"/>
    <w:rsid w:val="01451CF0"/>
    <w:rsid w:val="01CA5442"/>
    <w:rsid w:val="05B50B96"/>
    <w:rsid w:val="064417F3"/>
    <w:rsid w:val="072013AD"/>
    <w:rsid w:val="07F81873"/>
    <w:rsid w:val="09D00CCA"/>
    <w:rsid w:val="09F11719"/>
    <w:rsid w:val="0A18499F"/>
    <w:rsid w:val="0D2D4B59"/>
    <w:rsid w:val="0D5A4E83"/>
    <w:rsid w:val="0F3975CC"/>
    <w:rsid w:val="10F8340E"/>
    <w:rsid w:val="11A96222"/>
    <w:rsid w:val="12514F1C"/>
    <w:rsid w:val="19BE087F"/>
    <w:rsid w:val="1B075CEA"/>
    <w:rsid w:val="1BAC4F6C"/>
    <w:rsid w:val="1CFC553D"/>
    <w:rsid w:val="20F84C60"/>
    <w:rsid w:val="259D394F"/>
    <w:rsid w:val="27BE5F6C"/>
    <w:rsid w:val="28905D1E"/>
    <w:rsid w:val="28C374FE"/>
    <w:rsid w:val="29C86E52"/>
    <w:rsid w:val="2A014B87"/>
    <w:rsid w:val="2B431F26"/>
    <w:rsid w:val="2D73226B"/>
    <w:rsid w:val="2E8C2D61"/>
    <w:rsid w:val="33B42005"/>
    <w:rsid w:val="37525FB7"/>
    <w:rsid w:val="3770315A"/>
    <w:rsid w:val="3A1C7480"/>
    <w:rsid w:val="3AA80EE9"/>
    <w:rsid w:val="3C131CFB"/>
    <w:rsid w:val="3D0C0CF4"/>
    <w:rsid w:val="3EF41419"/>
    <w:rsid w:val="40A018F8"/>
    <w:rsid w:val="40C32122"/>
    <w:rsid w:val="41C80279"/>
    <w:rsid w:val="43D33F68"/>
    <w:rsid w:val="4B025D28"/>
    <w:rsid w:val="4CEF3233"/>
    <w:rsid w:val="4E312B51"/>
    <w:rsid w:val="542A7467"/>
    <w:rsid w:val="578878DF"/>
    <w:rsid w:val="58C56730"/>
    <w:rsid w:val="5968019A"/>
    <w:rsid w:val="5B2649D5"/>
    <w:rsid w:val="5D1B6AC4"/>
    <w:rsid w:val="5ED8131D"/>
    <w:rsid w:val="5FB74466"/>
    <w:rsid w:val="624A0327"/>
    <w:rsid w:val="662651D0"/>
    <w:rsid w:val="67AD6BAA"/>
    <w:rsid w:val="6AFC296A"/>
    <w:rsid w:val="6C565175"/>
    <w:rsid w:val="6EBC4E6C"/>
    <w:rsid w:val="7141740A"/>
    <w:rsid w:val="71EA1548"/>
    <w:rsid w:val="7C95310E"/>
    <w:rsid w:val="7DEE2A96"/>
    <w:rsid w:val="7FFC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6BE824"/>
  <w15:docId w15:val="{7634F5D8-62F3-439F-80F3-01D17E449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3">
    <w:name w:val="样式3"/>
    <w:basedOn w:val="a"/>
    <w:next w:val="a"/>
    <w:qFormat/>
    <w:pPr>
      <w:jc w:val="center"/>
    </w:pPr>
  </w:style>
  <w:style w:type="character" w:customStyle="1" w:styleId="a7">
    <w:name w:val="页眉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qFormat/>
    <w:rPr>
      <w:rFonts w:ascii="Times New Roman" w:hAnsi="Times New Roman" w:cs="Times New Roman" w:hint="default"/>
      <w:i/>
      <w:iCs/>
      <w:color w:val="000000"/>
      <w:sz w:val="20"/>
      <w:szCs w:val="20"/>
      <w:u w:val="none"/>
      <w:vertAlign w:val="subscript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b/>
      <w:bCs/>
      <w:i/>
      <w:iCs/>
      <w:color w:val="000000"/>
      <w:sz w:val="20"/>
      <w:szCs w:val="20"/>
      <w:u w:val="none"/>
      <w:vertAlign w:val="subscript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b/>
      <w:bCs/>
      <w:i/>
      <w:iCs/>
      <w:color w:val="000000"/>
      <w:sz w:val="20"/>
      <w:szCs w:val="20"/>
      <w:u w:val="none"/>
    </w:rPr>
  </w:style>
  <w:style w:type="character" w:customStyle="1" w:styleId="font131">
    <w:name w:val="font131"/>
    <w:basedOn w:val="a0"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141">
    <w:name w:val="font1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51">
    <w:name w:val="font1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styleId="aa">
    <w:name w:val="Unresolved Mention"/>
    <w:basedOn w:val="a0"/>
    <w:uiPriority w:val="99"/>
    <w:semiHidden/>
    <w:unhideWhenUsed/>
    <w:rsid w:val="007F5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6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166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7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87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2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9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9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26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1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55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6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scitotenv.2013.11.124" TargetMode="External"/><Relationship Id="rId13" Type="http://schemas.openxmlformats.org/officeDocument/2006/relationships/hyperlink" Target="https://doi.org/10.1016/j.ecolind.2014.09.034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hyperlink" Target="https://doi.org/10.1016/j.scitotenv.2021.146438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hyperlink" Target="https://doi.org/10.1016/j.scitotenv.2013.08.090" TargetMode="External"/><Relationship Id="rId5" Type="http://schemas.openxmlformats.org/officeDocument/2006/relationships/image" Target="media/image1.wmf"/><Relationship Id="rId15" Type="http://schemas.openxmlformats.org/officeDocument/2006/relationships/hyperlink" Target="https://doi.org/10.3390/ijerph16142503" TargetMode="External"/><Relationship Id="rId10" Type="http://schemas.openxmlformats.org/officeDocument/2006/relationships/hyperlink" Target="https://doi.org/10.1016/j.chemosphere.2017.02.0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0043-1354(80)90143-8" TargetMode="External"/><Relationship Id="rId14" Type="http://schemas.openxmlformats.org/officeDocument/2006/relationships/hyperlink" Target="https://doi.org/10.1016/j.jhazmat.2021.127116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research\&#35770;&#25991;\&#26412;&#20154;&#35770;&#25991;&#38598;\&#25104;&#26524;&#27719;&#24635;\finished%20files\&#20013;&#22269;&#29983;&#24577;&#20892;&#19994;&#23398;&#25253;\&#22270;&#2441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1205673758865"/>
          <c:y val="5.5532617671345999E-2"/>
          <c:w val="0.82817966903073303"/>
          <c:h val="0.78042939719240301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'D:\学术\科研成果\论文\My papers\paper writing\submitted manuscript\中国生态农业学报\模型\[enrichment index.xls]Sheet4'!$K$29</c:f>
              <c:strCache>
                <c:ptCount val="1"/>
                <c:pt idx="0">
                  <c:v>嵊州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 w="12700" cmpd="sng">
              <a:solidFill>
                <a:schemeClr val="tx1"/>
              </a:solidFill>
              <a:prstDash val="solid"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3.0146781121374502E-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algn="ctr">
                      <a:defRPr lang="zh-CN" sz="1000" b="1" i="0" u="none" strike="noStrike" kern="1200" baseline="0">
                        <a:solidFill>
                          <a:srgbClr val="000000"/>
                        </a:solidFill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defRPr>
                    </a:pPr>
                    <a:r>
                      <a:rPr lang="en-US" altLang="en-US" sz="1200" b="1"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rPr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2F3-46D9-B2B2-A3471DDE3C2C}"/>
                </c:ext>
              </c:extLst>
            </c:dLbl>
            <c:dLbl>
              <c:idx val="1"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algn="ctr">
                      <a:defRPr lang="zh-CN" sz="1000" b="1" i="0" u="none" strike="noStrike" kern="1200" baseline="0">
                        <a:solidFill>
                          <a:srgbClr val="000000"/>
                        </a:solidFill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defRPr>
                    </a:pPr>
                    <a:r>
                      <a:rPr lang="en-US" altLang="en-US" sz="1200" b="1"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rPr>
                      <a:t>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2F3-46D9-B2B2-A3471DDE3C2C}"/>
                </c:ext>
              </c:extLst>
            </c:dLbl>
            <c:dLbl>
              <c:idx val="2"/>
              <c:layout>
                <c:manualLayout>
                  <c:x val="0"/>
                  <c:y val="1.26582278481013E-2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algn="ctr">
                      <a:defRPr lang="zh-CN" sz="1000" b="1" i="0" u="none" strike="noStrike" kern="1200" baseline="0">
                        <a:solidFill>
                          <a:srgbClr val="000000"/>
                        </a:solidFill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defRPr>
                    </a:pPr>
                    <a:r>
                      <a:rPr lang="en-US" altLang="en-US" sz="1200" b="1"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rPr>
                      <a:t>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2F3-46D9-B2B2-A3471DDE3C2C}"/>
                </c:ext>
              </c:extLst>
            </c:dLbl>
            <c:dLbl>
              <c:idx val="3"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algn="ctr">
                      <a:defRPr lang="zh-CN" sz="1000" b="1" i="0" u="none" strike="noStrike" kern="1200" baseline="0">
                        <a:solidFill>
                          <a:srgbClr val="000000"/>
                        </a:solidFill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defRPr>
                    </a:pPr>
                    <a:r>
                      <a:rPr lang="en-US" altLang="en-US" sz="1200" b="1">
                        <a:latin typeface="Arial" panose="020B0604020202020204" pitchFamily="2" charset="0"/>
                        <a:ea typeface="Arial" panose="020B0604020202020204" pitchFamily="2" charset="0"/>
                        <a:cs typeface="Arial" panose="020B0604020202020204" pitchFamily="2" charset="0"/>
                        <a:sym typeface="Arial" panose="020B0604020202020204" pitchFamily="2" charset="0"/>
                      </a:rPr>
                      <a:t>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2F3-46D9-B2B2-A3471DDE3C2C}"/>
                </c:ext>
              </c:extLst>
            </c:dLbl>
            <c:spPr>
              <a:noFill/>
              <a:ln w="25400">
                <a:noFill/>
              </a:ln>
              <a:effectLst/>
            </c:spPr>
            <c:txPr>
              <a:bodyPr rot="0" spcFirstLastPara="0" vertOverflow="ellipsis" horzOverflow="overflow" vert="horz" wrap="square" lIns="38100" tIns="19050" rIns="38100" bIns="19050" anchor="ctr" anchorCtr="1"/>
              <a:lstStyle/>
              <a:p>
                <a:pPr>
                  <a:defRPr lang="zh-CN" sz="1200" b="1" i="0" u="none" strike="noStrike" kern="1200" baseline="0">
                    <a:solidFill>
                      <a:srgbClr val="333333"/>
                    </a:solidFill>
                    <a:latin typeface="Arial" panose="020B0604020202020204" pitchFamily="2" charset="0"/>
                    <a:ea typeface="Arial" panose="020B0604020202020204" pitchFamily="2" charset="0"/>
                    <a:cs typeface="Arial" panose="020B0604020202020204" pitchFamily="2" charset="0"/>
                    <a:sym typeface="Arial" panose="020B0604020202020204" pitchFamily="2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plus"/>
            <c:errValType val="cust"/>
            <c:noEndCap val="0"/>
            <c:plus>
              <c:numRef>
                <c:f>'D:\学术\科研成果\论文\My papers\paper writing\submitted manuscript\中国生态农业学报\模型\[enrichment index.xls]Sheet4'!$K$35:$K$38</c:f>
                <c:numCache>
                  <c:formatCode>General</c:formatCode>
                  <c:ptCount val="4"/>
                  <c:pt idx="0">
                    <c:v>5.4215590527582902E-2</c:v>
                  </c:pt>
                  <c:pt idx="1">
                    <c:v>6.4050362419691498E-3</c:v>
                  </c:pt>
                  <c:pt idx="2">
                    <c:v>1.4282931315322499E-3</c:v>
                  </c:pt>
                  <c:pt idx="3">
                    <c:v>9.1671153492873993E-3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9525" cap="flat" cmpd="sng" algn="ctr">
                <a:solidFill>
                  <a:schemeClr val="tx1"/>
                </a:solidFill>
                <a:prstDash val="solid"/>
                <a:round/>
              </a:ln>
              <a:effectLst/>
            </c:spPr>
          </c:errBars>
          <c:cat>
            <c:strRef>
              <c:f>'D:\学术\科研成果\论文\My papers\paper writing\submitted manuscript\中国生态农业学报\模型\[enrichment index.xls]Sheet4'!$I$30:$I$33</c:f>
              <c:strCache>
                <c:ptCount val="4"/>
                <c:pt idx="0">
                  <c:v>Cd</c:v>
                </c:pt>
                <c:pt idx="1">
                  <c:v>Cu</c:v>
                </c:pt>
                <c:pt idx="2">
                  <c:v>Ni</c:v>
                </c:pt>
                <c:pt idx="3">
                  <c:v>Zn</c:v>
                </c:pt>
              </c:strCache>
            </c:strRef>
          </c:cat>
          <c:val>
            <c:numRef>
              <c:f>'D:\学术\科研成果\论文\My papers\paper writing\submitted manuscript\中国生态农业学报\模型\[enrichment index.xls]Sheet4'!$K$30:$K$33</c:f>
              <c:numCache>
                <c:formatCode>General</c:formatCode>
                <c:ptCount val="4"/>
                <c:pt idx="0">
                  <c:v>0.51591086387426599</c:v>
                </c:pt>
                <c:pt idx="1">
                  <c:v>0.12135415477450701</c:v>
                </c:pt>
                <c:pt idx="2">
                  <c:v>1.80028684795898E-2</c:v>
                </c:pt>
                <c:pt idx="3">
                  <c:v>0.24879922588292899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2F3-46D9-B2B2-A3471DDE3C2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96275456"/>
        <c:axId val="96310016"/>
      </c:barChart>
      <c:catAx>
        <c:axId val="96275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0" spcFirstLastPara="0" vertOverflow="ellipsis" horzOverflow="overflow" vert="horz" wrap="square" anchor="ctr" anchorCtr="1"/>
          <a:lstStyle/>
          <a:p>
            <a:pPr>
              <a:defRPr lang="zh-CN" sz="1200" b="1" i="0" u="none" strike="noStrike" kern="1200" baseline="0">
                <a:solidFill>
                  <a:srgbClr val="000000"/>
                </a:solidFill>
                <a:latin typeface="Times New Roman" panose="02020603050405020304" pitchFamily="4"/>
                <a:ea typeface="Times New Roman" panose="02020603050405020304" pitchFamily="4"/>
                <a:cs typeface="Times New Roman" panose="02020603050405020304" pitchFamily="4"/>
              </a:defRPr>
            </a:pPr>
            <a:endParaRPr lang="zh-CN"/>
          </a:p>
        </c:txPr>
        <c:crossAx val="96310016"/>
        <c:crossesAt val="0"/>
        <c:auto val="1"/>
        <c:lblAlgn val="ctr"/>
        <c:lblOffset val="100"/>
        <c:noMultiLvlLbl val="0"/>
      </c:catAx>
      <c:valAx>
        <c:axId val="96310016"/>
        <c:scaling>
          <c:orientation val="minMax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prstDash val="solid"/>
            <a:round/>
          </a:ln>
          <a:effectLst/>
        </c:spPr>
        <c:txPr>
          <a:bodyPr rot="0" spcFirstLastPara="0" vertOverflow="ellipsis" horzOverflow="overflow" vert="horz" wrap="square" anchor="ctr" anchorCtr="1"/>
          <a:lstStyle/>
          <a:p>
            <a:pPr>
              <a:defRPr lang="zh-CN" sz="1200" b="1" i="0" u="none" strike="noStrike" kern="1200" baseline="0">
                <a:solidFill>
                  <a:srgbClr val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96275456"/>
        <c:crosses val="autoZero"/>
        <c:crossBetween val="between"/>
      </c:valAx>
      <c:spPr>
        <a:noFill/>
        <a:ln w="12700" cmpd="sng">
          <a:solidFill>
            <a:schemeClr val="tx1"/>
          </a:solidFill>
          <a:prstDash val="solid"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rot="0" spcFirstLastPara="0" vertOverflow="ellipsis" horzOverflow="overflow" vert="horz" wrap="square" anchor="ctr" anchorCtr="1"/>
    <a:lstStyle/>
    <a:p>
      <a:pPr>
        <a:defRPr lang="zh-CN" sz="1000" b="0" i="0" u="none" strike="noStrike" baseline="0">
          <a:solidFill>
            <a:srgbClr val="000000"/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</a:defRPr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1109</Words>
  <Characters>6324</Characters>
  <Application>Microsoft Office Word</Application>
  <DocSecurity>0</DocSecurity>
  <Lines>52</Lines>
  <Paragraphs>14</Paragraphs>
  <ScaleCrop>false</ScaleCrop>
  <Company>P R C</Company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ying he</cp:lastModifiedBy>
  <cp:revision>7</cp:revision>
  <dcterms:created xsi:type="dcterms:W3CDTF">2019-12-25T07:15:00Z</dcterms:created>
  <dcterms:modified xsi:type="dcterms:W3CDTF">2023-07-25T09:54:00Z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8D5635C736A3444BAC86B658A266C30C</vt:lpwstr>
  </property>
</Properties>
</file>