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926A0" w14:textId="77777777" w:rsidR="006A0FDF" w:rsidRDefault="006A0FDF" w:rsidP="006A0FDF">
      <w:pPr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 4. The evaluation method of brittleness index based on rock strength</w:t>
      </w:r>
    </w:p>
    <w:tbl>
      <w:tblPr>
        <w:tblStyle w:val="TableGrid"/>
        <w:tblW w:w="85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8"/>
        <w:gridCol w:w="2655"/>
        <w:gridCol w:w="3072"/>
        <w:gridCol w:w="1253"/>
      </w:tblGrid>
      <w:tr w:rsidR="006A0FDF" w14:paraId="18DFF4EA" w14:textId="77777777" w:rsidTr="00C9731E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B815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References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EEAA9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245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Variable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91538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Test method</w:t>
            </w:r>
          </w:p>
        </w:tc>
      </w:tr>
      <w:tr w:rsidR="006A0FDF" w14:paraId="51F82127" w14:textId="77777777" w:rsidTr="00C9731E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C37A3D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0F0FFF"/>
                <w:sz w:val="18"/>
                <w:szCs w:val="18"/>
              </w:rPr>
              <w:t>Honda and Sanada</w:t>
            </w:r>
            <w:r>
              <w:rPr>
                <w:rFonts w:eastAsia="SimSun" w:hint="eastAsia"/>
                <w:color w:val="0F0FFF"/>
                <w:sz w:val="18"/>
                <w:szCs w:val="18"/>
              </w:rPr>
              <w:t>,1956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357013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4"/>
                <w:sz w:val="18"/>
                <w:szCs w:val="18"/>
              </w:rPr>
              <w:object w:dxaOrig="1623" w:dyaOrig="344" w14:anchorId="65530B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17.25pt" o:ole="">
                  <v:imagedata r:id="rId4" o:title=""/>
                </v:shape>
                <o:OLEObject Type="Embed" ProgID="Equation.KSEE3" ShapeID="_x0000_i1025" DrawAspect="Content" ObjectID="_1752035520" r:id="rId5"/>
              </w:objec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D192A53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H</w:t>
            </w:r>
            <w:r>
              <w:rPr>
                <w:rFonts w:eastAsia="SimSun"/>
                <w:sz w:val="18"/>
                <w:szCs w:val="18"/>
                <w:vertAlign w:val="subscript"/>
              </w:rPr>
              <w:t>μ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 xml:space="preserve">and </w:t>
            </w:r>
            <w:r>
              <w:rPr>
                <w:rFonts w:eastAsia="SimSun"/>
                <w:sz w:val="18"/>
                <w:szCs w:val="18"/>
              </w:rPr>
              <w:t>H</w:t>
            </w:r>
            <w:r>
              <w:rPr>
                <w:rFonts w:eastAsia="SimSun" w:hint="eastAsia"/>
                <w:sz w:val="18"/>
                <w:szCs w:val="18"/>
              </w:rPr>
              <w:t xml:space="preserve">: </w:t>
            </w:r>
            <w:r>
              <w:rPr>
                <w:rFonts w:eastAsia="SimSun"/>
                <w:sz w:val="18"/>
                <w:szCs w:val="18"/>
              </w:rPr>
              <w:t>the micro and macro indentation hardness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69796614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K</w:t>
            </w:r>
            <w:r>
              <w:rPr>
                <w:rFonts w:eastAsia="SimSun" w:hint="eastAsia"/>
                <w:sz w:val="18"/>
                <w:szCs w:val="18"/>
              </w:rPr>
              <w:t xml:space="preserve">: </w:t>
            </w:r>
            <w:r>
              <w:rPr>
                <w:rFonts w:eastAsia="SimSun"/>
                <w:sz w:val="18"/>
                <w:szCs w:val="18"/>
              </w:rPr>
              <w:t>the bulk modulus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714DF0C5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K</w:t>
            </w:r>
            <w:r>
              <w:rPr>
                <w:rFonts w:eastAsia="SimSun"/>
                <w:sz w:val="18"/>
                <w:szCs w:val="18"/>
                <w:vertAlign w:val="subscript"/>
              </w:rPr>
              <w:t>IC</w:t>
            </w:r>
            <w:r>
              <w:rPr>
                <w:rFonts w:eastAsia="SimSun" w:hint="eastAsia"/>
                <w:sz w:val="18"/>
                <w:szCs w:val="18"/>
              </w:rPr>
              <w:t>: the fracture toughness;</w:t>
            </w:r>
          </w:p>
          <w:p w14:paraId="561A97CC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E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Young's modulus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53E4C0B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Hardness test</w:t>
            </w:r>
          </w:p>
        </w:tc>
      </w:tr>
      <w:tr w:rsidR="006A0FDF" w14:paraId="4A4F707B" w14:textId="77777777" w:rsidTr="00C9731E">
        <w:trPr>
          <w:trHeight w:val="473"/>
          <w:jc w:val="center"/>
        </w:trPr>
        <w:tc>
          <w:tcPr>
            <w:tcW w:w="0" w:type="auto"/>
            <w:vAlign w:val="center"/>
          </w:tcPr>
          <w:p w14:paraId="371CC93C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2525FF"/>
                <w:sz w:val="18"/>
                <w:szCs w:val="18"/>
              </w:rPr>
              <w:t>Lawn and Marshall</w:t>
            </w:r>
            <w:r>
              <w:rPr>
                <w:rFonts w:eastAsia="SimSun" w:hint="eastAsia"/>
                <w:color w:val="2525FF"/>
                <w:sz w:val="18"/>
                <w:szCs w:val="18"/>
              </w:rPr>
              <w:t>,1979</w:t>
            </w:r>
          </w:p>
        </w:tc>
        <w:tc>
          <w:tcPr>
            <w:tcW w:w="0" w:type="auto"/>
            <w:vAlign w:val="center"/>
          </w:tcPr>
          <w:p w14:paraId="6660C422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257" w:dyaOrig="344" w14:anchorId="3DDF56CB">
                <v:shape id="_x0000_i1026" type="#_x0000_t75" style="width:63pt;height:17.25pt" o:ole="">
                  <v:imagedata r:id="rId6" o:title=""/>
                </v:shape>
                <o:OLEObject Type="Embed" ProgID="Equation.KSEE3" ShapeID="_x0000_i1026" DrawAspect="Content" ObjectID="_1752035521" r:id="rId7"/>
              </w:object>
            </w:r>
          </w:p>
        </w:tc>
        <w:tc>
          <w:tcPr>
            <w:tcW w:w="0" w:type="auto"/>
            <w:vMerge/>
            <w:vAlign w:val="center"/>
          </w:tcPr>
          <w:p w14:paraId="2951352E" w14:textId="77777777" w:rsidR="006A0FDF" w:rsidRDefault="006A0FDF" w:rsidP="00C9731E">
            <w:pPr>
              <w:adjustRightInd w:val="0"/>
              <w:snapToGrid w:val="0"/>
              <w:jc w:val="left"/>
              <w:rPr>
                <w:sz w:val="18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B71DD9C" w14:textId="77777777" w:rsidR="006A0FDF" w:rsidRDefault="006A0FDF" w:rsidP="00C9731E">
            <w:pPr>
              <w:adjustRightInd w:val="0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6A0FDF" w14:paraId="5E20870B" w14:textId="77777777" w:rsidTr="00C9731E">
        <w:trPr>
          <w:trHeight w:val="391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9AEB1C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Quinn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,1997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3A7581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311" w:dyaOrig="344" w14:anchorId="3C11871B">
                <v:shape id="_x0000_i1027" type="#_x0000_t75" style="width:65.25pt;height:17.25pt" o:ole="">
                  <v:imagedata r:id="rId8" o:title=""/>
                </v:shape>
                <o:OLEObject Type="Embed" ProgID="Equation.KSEE3" ShapeID="_x0000_i1027" DrawAspect="Content" ObjectID="_1752035522" r:id="rId9"/>
              </w:objec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BBA91A8" w14:textId="77777777" w:rsidR="006A0FDF" w:rsidRDefault="006A0FDF" w:rsidP="00C9731E">
            <w:pPr>
              <w:adjustRightInd w:val="0"/>
              <w:snapToGrid w:val="0"/>
              <w:jc w:val="left"/>
              <w:rPr>
                <w:sz w:val="18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F72B1EC" w14:textId="77777777" w:rsidR="006A0FDF" w:rsidRDefault="006A0FDF" w:rsidP="00C9731E">
            <w:pPr>
              <w:adjustRightInd w:val="0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6A0FDF" w14:paraId="186ECC34" w14:textId="77777777" w:rsidTr="00C9731E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E9A8C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0F0FFF"/>
                <w:sz w:val="18"/>
                <w:szCs w:val="18"/>
              </w:rPr>
              <w:t>Hucka and Das</w:t>
            </w:r>
            <w:r>
              <w:rPr>
                <w:rFonts w:eastAsia="SimSun" w:hint="eastAsia"/>
                <w:color w:val="0F0FFF"/>
                <w:sz w:val="18"/>
                <w:szCs w:val="18"/>
              </w:rPr>
              <w:t>,1974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FDD1A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257" w:dyaOrig="344" w14:anchorId="0778FD17">
                <v:shape id="_x0000_i1028" type="#_x0000_t75" style="width:63pt;height:17.25pt" o:ole="">
                  <v:imagedata r:id="rId10" o:title=""/>
                </v:shape>
                <o:OLEObject Type="Embed" ProgID="Equation.KSEE3" ShapeID="_x0000_i1028" DrawAspect="Content" ObjectID="_1752035523" r:id="rId11"/>
              </w:objec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A62012A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σ</w:t>
            </w:r>
            <w:r>
              <w:rPr>
                <w:rFonts w:eastAsia="SimSun"/>
                <w:sz w:val="18"/>
                <w:szCs w:val="18"/>
                <w:vertAlign w:val="subscript"/>
              </w:rPr>
              <w:t>C</w:t>
            </w:r>
            <w:r>
              <w:rPr>
                <w:rFonts w:eastAsia="SimSun"/>
                <w:sz w:val="18"/>
                <w:szCs w:val="18"/>
              </w:rPr>
              <w:t xml:space="preserve"> and σ</w:t>
            </w:r>
            <w:r>
              <w:rPr>
                <w:rFonts w:eastAsia="SimSun"/>
                <w:sz w:val="18"/>
                <w:szCs w:val="18"/>
                <w:vertAlign w:val="subscript"/>
              </w:rPr>
              <w:t>T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unconfined compressive strength and tensile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strength</w:t>
            </w:r>
          </w:p>
          <w:p w14:paraId="0CD372E4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α=0.1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26EB4502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ɛ</w:t>
            </w:r>
            <w:r>
              <w:rPr>
                <w:rFonts w:eastAsia="SimSun"/>
                <w:sz w:val="18"/>
                <w:szCs w:val="18"/>
                <w:vertAlign w:val="subscript"/>
              </w:rPr>
              <w:t>f</w:t>
            </w:r>
            <w:r>
              <w:rPr>
                <w:rFonts w:eastAsia="SimSun" w:hint="eastAsia"/>
                <w:sz w:val="18"/>
                <w:szCs w:val="18"/>
              </w:rPr>
              <w:t xml:space="preserve"> and </w:t>
            </w:r>
            <w:r>
              <w:rPr>
                <w:rFonts w:eastAsia="SimSun"/>
                <w:sz w:val="18"/>
                <w:szCs w:val="18"/>
              </w:rPr>
              <w:t>ɛ</w:t>
            </w:r>
            <w:r>
              <w:rPr>
                <w:rFonts w:eastAsia="SimSun"/>
                <w:sz w:val="18"/>
                <w:szCs w:val="18"/>
                <w:vertAlign w:val="subscript"/>
              </w:rPr>
              <w:t>b</w:t>
            </w:r>
            <w:r>
              <w:rPr>
                <w:rFonts w:eastAsia="SimSun" w:hint="eastAsia"/>
                <w:sz w:val="18"/>
                <w:szCs w:val="18"/>
              </w:rPr>
              <w:t xml:space="preserve">: the </w:t>
            </w:r>
            <w:r>
              <w:rPr>
                <w:rFonts w:eastAsia="SimSun"/>
                <w:sz w:val="18"/>
                <w:szCs w:val="18"/>
              </w:rPr>
              <w:t>strain</w:t>
            </w:r>
            <w:r>
              <w:rPr>
                <w:rFonts w:eastAsia="SimSun" w:hint="eastAsia"/>
                <w:sz w:val="18"/>
                <w:szCs w:val="18"/>
              </w:rPr>
              <w:t xml:space="preserve"> b</w:t>
            </w:r>
            <w:r>
              <w:rPr>
                <w:rFonts w:eastAsia="SimSun"/>
                <w:sz w:val="18"/>
                <w:szCs w:val="18"/>
              </w:rPr>
              <w:t xml:space="preserve">efore and after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peak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AC32FB3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UCS and Brazilian tensile</w:t>
            </w:r>
          </w:p>
          <w:p w14:paraId="1D09B4E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strength test</w:t>
            </w:r>
          </w:p>
        </w:tc>
      </w:tr>
      <w:tr w:rsidR="006A0FDF" w14:paraId="2EB86228" w14:textId="77777777" w:rsidTr="00C9731E">
        <w:trPr>
          <w:trHeight w:val="473"/>
          <w:jc w:val="center"/>
        </w:trPr>
        <w:tc>
          <w:tcPr>
            <w:tcW w:w="0" w:type="auto"/>
            <w:vAlign w:val="center"/>
          </w:tcPr>
          <w:p w14:paraId="6D9CB424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0F0FFF"/>
                <w:sz w:val="18"/>
                <w:szCs w:val="18"/>
              </w:rPr>
              <w:t>Hucka and Das</w:t>
            </w:r>
            <w:r>
              <w:rPr>
                <w:rFonts w:eastAsia="SimSun" w:hint="eastAsia"/>
                <w:color w:val="0F0FFF"/>
                <w:sz w:val="18"/>
                <w:szCs w:val="18"/>
              </w:rPr>
              <w:t>,1974</w:t>
            </w:r>
          </w:p>
        </w:tc>
        <w:tc>
          <w:tcPr>
            <w:tcW w:w="0" w:type="auto"/>
            <w:vAlign w:val="center"/>
          </w:tcPr>
          <w:p w14:paraId="2FB7AD55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2439" w:dyaOrig="344" w14:anchorId="47920C82">
                <v:shape id="_x0000_i1029" type="#_x0000_t75" style="width:122.25pt;height:17.25pt" o:ole="">
                  <v:imagedata r:id="rId12" o:title=""/>
                </v:shape>
                <o:OLEObject Type="Embed" ProgID="Equation.KSEE3" ShapeID="_x0000_i1029" DrawAspect="Content" ObjectID="_1752035524" r:id="rId13"/>
              </w:object>
            </w:r>
          </w:p>
        </w:tc>
        <w:tc>
          <w:tcPr>
            <w:tcW w:w="0" w:type="auto"/>
            <w:vMerge/>
            <w:vAlign w:val="center"/>
          </w:tcPr>
          <w:p w14:paraId="34817138" w14:textId="77777777" w:rsidR="006A0FDF" w:rsidRDefault="006A0FDF" w:rsidP="00C9731E">
            <w:pPr>
              <w:adjustRightInd w:val="0"/>
              <w:snapToGrid w:val="0"/>
              <w:jc w:val="left"/>
              <w:rPr>
                <w:sz w:val="18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4E134ED" w14:textId="77777777" w:rsidR="006A0FDF" w:rsidRDefault="006A0FDF" w:rsidP="00C9731E">
            <w:pPr>
              <w:adjustRightInd w:val="0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6A0FDF" w14:paraId="39880BDA" w14:textId="77777777" w:rsidTr="00C9731E">
        <w:trPr>
          <w:trHeight w:val="391"/>
          <w:jc w:val="center"/>
        </w:trPr>
        <w:tc>
          <w:tcPr>
            <w:tcW w:w="0" w:type="auto"/>
            <w:vAlign w:val="center"/>
          </w:tcPr>
          <w:p w14:paraId="729A6E3F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color w:val="2525FF"/>
                <w:sz w:val="18"/>
                <w:szCs w:val="18"/>
              </w:rPr>
              <w:t>Feng et al.,2000</w:t>
            </w:r>
          </w:p>
        </w:tc>
        <w:tc>
          <w:tcPr>
            <w:tcW w:w="0" w:type="auto"/>
            <w:vAlign w:val="center"/>
          </w:tcPr>
          <w:p w14:paraId="29845F4C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891" w:dyaOrig="344" w14:anchorId="48F6B70F">
                <v:shape id="_x0000_i1030" type="#_x0000_t75" style="width:94.5pt;height:17.25pt" o:ole="">
                  <v:imagedata r:id="rId14" o:title=""/>
                </v:shape>
                <o:OLEObject Type="Embed" ProgID="Equation.KSEE3" ShapeID="_x0000_i1030" DrawAspect="Content" ObjectID="_1752035525" r:id="rId15"/>
              </w:object>
            </w:r>
          </w:p>
        </w:tc>
        <w:tc>
          <w:tcPr>
            <w:tcW w:w="0" w:type="auto"/>
            <w:vMerge/>
            <w:vAlign w:val="center"/>
          </w:tcPr>
          <w:p w14:paraId="5648BC8D" w14:textId="77777777" w:rsidR="006A0FDF" w:rsidRDefault="006A0FDF" w:rsidP="00C9731E">
            <w:pPr>
              <w:adjustRightInd w:val="0"/>
              <w:snapToGrid w:val="0"/>
              <w:jc w:val="left"/>
              <w:rPr>
                <w:sz w:val="18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F76542D" w14:textId="77777777" w:rsidR="006A0FDF" w:rsidRDefault="006A0FDF" w:rsidP="00C9731E">
            <w:pPr>
              <w:adjustRightInd w:val="0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6A0FDF" w14:paraId="469C53EA" w14:textId="77777777" w:rsidTr="00C9731E">
        <w:trPr>
          <w:trHeight w:val="391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3B8B4E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Altindag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5BF266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365" w:dyaOrig="344" w14:anchorId="3BD9A081">
                <v:shape id="_x0000_i1031" type="#_x0000_t75" style="width:68.25pt;height:17.25pt" o:ole="">
                  <v:imagedata r:id="rId16" o:title=""/>
                </v:shape>
                <o:OLEObject Type="Embed" ProgID="Equation.KSEE3" ShapeID="_x0000_i1031" DrawAspect="Content" ObjectID="_1752035526" r:id="rId17"/>
              </w:objec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86EFC55" w14:textId="77777777" w:rsidR="006A0FDF" w:rsidRDefault="006A0FDF" w:rsidP="00C9731E">
            <w:pPr>
              <w:adjustRightInd w:val="0"/>
              <w:snapToGrid w:val="0"/>
              <w:jc w:val="left"/>
              <w:rPr>
                <w:sz w:val="18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4D33B71" w14:textId="77777777" w:rsidR="006A0FDF" w:rsidRDefault="006A0FDF" w:rsidP="00C9731E">
            <w:pPr>
              <w:adjustRightInd w:val="0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6A0FDF" w14:paraId="0FD4461D" w14:textId="77777777" w:rsidTr="00C9731E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4C0721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Copur et al.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BA75F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343" w:dyaOrig="344" w14:anchorId="26EF377A">
                <v:shape id="_x0000_i1032" type="#_x0000_t75" style="width:67.5pt;height:17.25pt" o:ole="">
                  <v:imagedata r:id="rId18" o:title=""/>
                </v:shape>
                <o:OLEObject Type="Embed" ProgID="Equation.KSEE3" ShapeID="_x0000_i1032" DrawAspect="Content" ObjectID="_1752035527" r:id="rId19"/>
              </w:objec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54D9EF6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F</w:t>
            </w:r>
            <w:r>
              <w:rPr>
                <w:rFonts w:eastAsia="SimSun"/>
                <w:sz w:val="18"/>
                <w:szCs w:val="18"/>
                <w:vertAlign w:val="subscript"/>
              </w:rPr>
              <w:t>max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>the m</w:t>
            </w:r>
            <w:r>
              <w:rPr>
                <w:rFonts w:eastAsia="SimSun"/>
                <w:sz w:val="18"/>
                <w:szCs w:val="18"/>
              </w:rPr>
              <w:t>aximum applied force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1DD82FB7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P: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corresponding penetration at F</w:t>
            </w:r>
            <w:r>
              <w:rPr>
                <w:rFonts w:eastAsia="SimSun"/>
                <w:sz w:val="18"/>
                <w:szCs w:val="18"/>
                <w:vertAlign w:val="subscript"/>
              </w:rPr>
              <w:t>max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9AB4BFC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P</w:t>
            </w:r>
            <w:r>
              <w:rPr>
                <w:rFonts w:eastAsia="SimSun"/>
                <w:sz w:val="18"/>
                <w:szCs w:val="18"/>
                <w:vertAlign w:val="subscript"/>
              </w:rPr>
              <w:t>inc</w:t>
            </w:r>
            <w:r>
              <w:rPr>
                <w:rFonts w:eastAsia="SimSun" w:hint="eastAsia"/>
                <w:sz w:val="18"/>
                <w:szCs w:val="18"/>
              </w:rPr>
              <w:t>: the load incremental;</w:t>
            </w:r>
          </w:p>
          <w:p w14:paraId="0B8EC77C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P</w:t>
            </w:r>
            <w:r>
              <w:rPr>
                <w:rFonts w:eastAsia="SimSun"/>
                <w:sz w:val="18"/>
                <w:szCs w:val="18"/>
                <w:vertAlign w:val="subscript"/>
              </w:rPr>
              <w:t>dec</w:t>
            </w:r>
            <w:r>
              <w:rPr>
                <w:rFonts w:eastAsia="SimSun" w:hint="eastAsia"/>
                <w:sz w:val="18"/>
                <w:szCs w:val="18"/>
              </w:rPr>
              <w:t>: the load decremental;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F8797B7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Punch penetration test</w:t>
            </w:r>
          </w:p>
        </w:tc>
      </w:tr>
      <w:tr w:rsidR="006A0FDF" w14:paraId="2E5707B8" w14:textId="77777777" w:rsidTr="00C9731E">
        <w:trPr>
          <w:trHeight w:val="101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92791C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Yagiz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,2009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3D1850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257" w:dyaOrig="344" w14:anchorId="42300927">
                <v:shape id="_x0000_i1033" type="#_x0000_t75" style="width:63pt;height:17.25pt" o:ole="">
                  <v:imagedata r:id="rId20" o:title=""/>
                </v:shape>
                <o:OLEObject Type="Embed" ProgID="Equation.KSEE3" ShapeID="_x0000_i1033" DrawAspect="Content" ObjectID="_1752035528" r:id="rId21"/>
              </w:objec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DDA998A" w14:textId="77777777" w:rsidR="006A0FDF" w:rsidRDefault="006A0FDF" w:rsidP="00C9731E">
            <w:pPr>
              <w:adjustRightInd w:val="0"/>
              <w:snapToGrid w:val="0"/>
              <w:jc w:val="left"/>
              <w:rPr>
                <w:sz w:val="18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641333A" w14:textId="77777777" w:rsidR="006A0FDF" w:rsidRDefault="006A0FDF" w:rsidP="00C9731E">
            <w:pPr>
              <w:adjustRightInd w:val="0"/>
              <w:snapToGrid w:val="0"/>
              <w:jc w:val="center"/>
              <w:rPr>
                <w:sz w:val="18"/>
                <w:szCs w:val="21"/>
              </w:rPr>
            </w:pPr>
          </w:p>
        </w:tc>
      </w:tr>
      <w:tr w:rsidR="006A0FDF" w14:paraId="2E580EE6" w14:textId="77777777" w:rsidTr="00C9731E">
        <w:trPr>
          <w:trHeight w:val="476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CFFAE7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0F0FFF"/>
                <w:kern w:val="0"/>
                <w:sz w:val="18"/>
                <w:szCs w:val="18"/>
                <w:lang w:bidi="ar"/>
              </w:rPr>
              <w:t>Bishop</w:t>
            </w:r>
            <w:r>
              <w:rPr>
                <w:rFonts w:eastAsia="SimSun" w:hint="eastAsia"/>
                <w:color w:val="0F0FFF"/>
                <w:kern w:val="0"/>
                <w:sz w:val="18"/>
                <w:szCs w:val="18"/>
                <w:lang w:bidi="ar"/>
              </w:rPr>
              <w:t>,1967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D960A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4"/>
                <w:sz w:val="18"/>
                <w:szCs w:val="18"/>
              </w:rPr>
              <w:object w:dxaOrig="1655" w:dyaOrig="344" w14:anchorId="47DC0219">
                <v:shape id="_x0000_i1034" type="#_x0000_t75" style="width:82.5pt;height:17.25pt" o:ole="">
                  <v:imagedata r:id="rId22" o:title=""/>
                </v:shape>
                <o:OLEObject Type="Embed" ProgID="Equation.KSEE3" ShapeID="_x0000_i1034" DrawAspect="Content" ObjectID="_1752035529" r:id="rId23"/>
              </w:objec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25F0193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ε</w:t>
            </w:r>
            <w:r>
              <w:rPr>
                <w:rFonts w:eastAsia="SimSun"/>
                <w:sz w:val="18"/>
                <w:szCs w:val="18"/>
                <w:vertAlign w:val="subscript"/>
              </w:rPr>
              <w:t>el</w:t>
            </w:r>
            <w:r>
              <w:rPr>
                <w:rFonts w:eastAsia="SimSun" w:hint="eastAsia"/>
                <w:sz w:val="18"/>
                <w:szCs w:val="18"/>
              </w:rPr>
              <w:t xml:space="preserve"> and </w:t>
            </w:r>
            <w:r>
              <w:rPr>
                <w:rFonts w:eastAsia="SimSun"/>
                <w:sz w:val="18"/>
                <w:szCs w:val="18"/>
              </w:rPr>
              <w:t>ε</w:t>
            </w:r>
            <w:r>
              <w:rPr>
                <w:rFonts w:eastAsia="SimSun"/>
                <w:sz w:val="18"/>
                <w:szCs w:val="18"/>
                <w:vertAlign w:val="subscript"/>
              </w:rPr>
              <w:t>tot</w:t>
            </w:r>
            <w:r>
              <w:rPr>
                <w:rFonts w:eastAsia="SimSun" w:hint="eastAsia"/>
                <w:sz w:val="18"/>
                <w:szCs w:val="18"/>
              </w:rPr>
              <w:t xml:space="preserve">: the </w:t>
            </w:r>
            <w:r>
              <w:rPr>
                <w:rFonts w:eastAsia="SimSun"/>
                <w:sz w:val="18"/>
                <w:szCs w:val="18"/>
              </w:rPr>
              <w:t>elastic and total strain at failure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1CC42BE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W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>el</w:t>
            </w:r>
            <w:r>
              <w:rPr>
                <w:rFonts w:eastAsia="SimSun" w:hint="eastAsia"/>
                <w:sz w:val="18"/>
                <w:szCs w:val="18"/>
              </w:rPr>
              <w:t xml:space="preserve"> and </w:t>
            </w:r>
            <w:r>
              <w:rPr>
                <w:rFonts w:eastAsia="SimSun"/>
                <w:sz w:val="18"/>
                <w:szCs w:val="18"/>
              </w:rPr>
              <w:t>W</w:t>
            </w:r>
            <w:r>
              <w:rPr>
                <w:rFonts w:eastAsia="SimSun"/>
                <w:sz w:val="18"/>
                <w:szCs w:val="18"/>
                <w:vertAlign w:val="subscript"/>
              </w:rPr>
              <w:t>t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>ot</w:t>
            </w:r>
            <w:r>
              <w:rPr>
                <w:rFonts w:eastAsia="SimSun" w:hint="eastAsia"/>
                <w:sz w:val="18"/>
                <w:szCs w:val="18"/>
              </w:rPr>
              <w:t>: the elastic and total energy at failure;</w:t>
            </w:r>
          </w:p>
          <w:p w14:paraId="14291A70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τ</w:t>
            </w:r>
            <w:r>
              <w:rPr>
                <w:rFonts w:eastAsia="SimSun"/>
                <w:sz w:val="18"/>
                <w:szCs w:val="18"/>
                <w:vertAlign w:val="subscript"/>
              </w:rPr>
              <w:t>p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and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τ</w:t>
            </w:r>
            <w:r>
              <w:rPr>
                <w:rFonts w:eastAsia="SimSun"/>
                <w:sz w:val="18"/>
                <w:szCs w:val="18"/>
                <w:vertAlign w:val="subscript"/>
              </w:rPr>
              <w:t>r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the peak and residual shear strengths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7E80300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ε</w:t>
            </w:r>
            <w:r>
              <w:rPr>
                <w:rFonts w:eastAsia="SimSun"/>
                <w:sz w:val="18"/>
                <w:szCs w:val="18"/>
                <w:vertAlign w:val="subscript"/>
              </w:rPr>
              <w:t>l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>i</w:t>
            </w:r>
            <w:r>
              <w:rPr>
                <w:rFonts w:eastAsia="SimSun" w:hint="eastAsia"/>
                <w:sz w:val="18"/>
                <w:szCs w:val="18"/>
              </w:rPr>
              <w:t xml:space="preserve">: the </w:t>
            </w:r>
            <w:r>
              <w:rPr>
                <w:rFonts w:eastAsia="SimSun"/>
                <w:sz w:val="18"/>
                <w:szCs w:val="18"/>
              </w:rPr>
              <w:t>absolute irreversible longitudinal strain at failure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6AC7C5FA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ɛ</w:t>
            </w:r>
            <w:r>
              <w:rPr>
                <w:rFonts w:eastAsia="SimSun"/>
                <w:sz w:val="18"/>
                <w:szCs w:val="18"/>
                <w:vertAlign w:val="subscript"/>
              </w:rPr>
              <w:t>f</w:t>
            </w:r>
            <w:r>
              <w:rPr>
                <w:rFonts w:eastAsia="SimSun"/>
                <w:sz w:val="18"/>
                <w:szCs w:val="18"/>
                <w:vertAlign w:val="superscript"/>
              </w:rPr>
              <w:t>p</w:t>
            </w:r>
            <w:r>
              <w:rPr>
                <w:rFonts w:eastAsia="SimSun"/>
                <w:sz w:val="18"/>
                <w:szCs w:val="18"/>
              </w:rPr>
              <w:t xml:space="preserve"> and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ɛ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>C</w:t>
            </w:r>
            <w:r>
              <w:rPr>
                <w:rFonts w:eastAsia="SimSun"/>
                <w:sz w:val="18"/>
                <w:szCs w:val="18"/>
                <w:vertAlign w:val="superscript"/>
              </w:rPr>
              <w:t>p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the plastic strains at which the friction strength is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fully mobilized and the cohesive strength reduces to the residual</w:t>
            </w:r>
            <w:r>
              <w:rPr>
                <w:rFonts w:eastAsia="SimSun" w:hint="eastAsia"/>
                <w:sz w:val="18"/>
                <w:szCs w:val="18"/>
              </w:rPr>
              <w:t xml:space="preserve"> v</w:t>
            </w:r>
            <w:r>
              <w:rPr>
                <w:rFonts w:eastAsia="SimSun"/>
                <w:sz w:val="18"/>
                <w:szCs w:val="18"/>
              </w:rPr>
              <w:t>alue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D0303C1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M </w:t>
            </w:r>
            <w:r>
              <w:rPr>
                <w:rFonts w:eastAsia="SimSun" w:hint="eastAsia"/>
                <w:sz w:val="18"/>
                <w:szCs w:val="18"/>
              </w:rPr>
              <w:t xml:space="preserve">: the </w:t>
            </w:r>
            <w:r>
              <w:rPr>
                <w:rFonts w:eastAsia="SimSun"/>
                <w:sz w:val="18"/>
                <w:szCs w:val="18"/>
              </w:rPr>
              <w:t>softening modulus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47B3C75F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E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Young's modulus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56F4738F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ν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Poisson's ratio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7B020BF0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ρ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the density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1890F1F9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λ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Lame's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first parameter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B9F93A2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μ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shear modulus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3EF6DD8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E</w:t>
            </w:r>
            <w:r>
              <w:rPr>
                <w:rFonts w:eastAsia="SimSun"/>
                <w:sz w:val="18"/>
                <w:szCs w:val="18"/>
                <w:vertAlign w:val="subscript"/>
              </w:rPr>
              <w:t>n</w:t>
            </w:r>
            <w:r>
              <w:rPr>
                <w:rFonts w:eastAsia="SimSun"/>
                <w:sz w:val="18"/>
                <w:szCs w:val="18"/>
              </w:rPr>
              <w:t xml:space="preserve"> and ν</w:t>
            </w:r>
            <w:r>
              <w:rPr>
                <w:rFonts w:eastAsia="SimSun"/>
                <w:sz w:val="18"/>
                <w:szCs w:val="18"/>
                <w:vertAlign w:val="subscript"/>
              </w:rPr>
              <w:t>n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the normalized Young's Modulus and Poisson's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ratio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1355AF98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E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>u</w:t>
            </w:r>
            <w:r>
              <w:rPr>
                <w:rFonts w:eastAsia="SimSun" w:hint="eastAsia"/>
                <w:sz w:val="18"/>
                <w:szCs w:val="18"/>
              </w:rPr>
              <w:t xml:space="preserve">: </w:t>
            </w:r>
            <w:r>
              <w:rPr>
                <w:rFonts w:eastAsia="SimSun"/>
                <w:sz w:val="18"/>
                <w:szCs w:val="18"/>
              </w:rPr>
              <w:t>the unloading elastic modulus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593E0F91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M: the post-peak elastic modulus;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CE8141A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Stress strain test</w:t>
            </w:r>
          </w:p>
        </w:tc>
      </w:tr>
      <w:tr w:rsidR="006A0FDF" w14:paraId="053B9663" w14:textId="77777777" w:rsidTr="00C9731E">
        <w:trPr>
          <w:trHeight w:val="589"/>
          <w:jc w:val="center"/>
        </w:trPr>
        <w:tc>
          <w:tcPr>
            <w:tcW w:w="0" w:type="auto"/>
            <w:vAlign w:val="center"/>
          </w:tcPr>
          <w:p w14:paraId="03406526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0F0FFF"/>
                <w:sz w:val="18"/>
                <w:szCs w:val="18"/>
              </w:rPr>
              <w:t>Hucka and Das</w:t>
            </w:r>
            <w:r>
              <w:rPr>
                <w:rFonts w:eastAsia="SimSun" w:hint="eastAsia"/>
                <w:color w:val="0F0FFF"/>
                <w:sz w:val="18"/>
                <w:szCs w:val="18"/>
              </w:rPr>
              <w:t>,1974</w:t>
            </w:r>
          </w:p>
        </w:tc>
        <w:tc>
          <w:tcPr>
            <w:tcW w:w="0" w:type="auto"/>
            <w:vAlign w:val="center"/>
          </w:tcPr>
          <w:p w14:paraId="5875233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279" w:dyaOrig="344" w14:anchorId="5E494642">
                <v:shape id="_x0000_i1035" type="#_x0000_t75" style="width:63.75pt;height:17.25pt" o:ole="">
                  <v:imagedata r:id="rId24" o:title=""/>
                </v:shape>
                <o:OLEObject Type="Embed" ProgID="Equation.KSEE3" ShapeID="_x0000_i1035" DrawAspect="Content" ObjectID="_1752035530" r:id="rId25"/>
              </w:object>
            </w:r>
          </w:p>
        </w:tc>
        <w:tc>
          <w:tcPr>
            <w:tcW w:w="0" w:type="auto"/>
            <w:vMerge/>
            <w:vAlign w:val="center"/>
          </w:tcPr>
          <w:p w14:paraId="20D5E376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4883D97E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622C4225" w14:textId="77777777" w:rsidTr="00C9731E">
        <w:trPr>
          <w:trHeight w:val="534"/>
          <w:jc w:val="center"/>
        </w:trPr>
        <w:tc>
          <w:tcPr>
            <w:tcW w:w="0" w:type="auto"/>
            <w:vAlign w:val="center"/>
          </w:tcPr>
          <w:p w14:paraId="5A04FEB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0F0FFF"/>
                <w:sz w:val="18"/>
                <w:szCs w:val="18"/>
              </w:rPr>
              <w:t>Hucka and Das</w:t>
            </w:r>
            <w:r>
              <w:rPr>
                <w:rFonts w:eastAsia="SimSun" w:hint="eastAsia"/>
                <w:color w:val="0F0FFF"/>
                <w:sz w:val="18"/>
                <w:szCs w:val="18"/>
              </w:rPr>
              <w:t>,1974</w:t>
            </w:r>
          </w:p>
        </w:tc>
        <w:tc>
          <w:tcPr>
            <w:tcW w:w="0" w:type="auto"/>
            <w:vAlign w:val="center"/>
          </w:tcPr>
          <w:p w14:paraId="0CADDABA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504" w:dyaOrig="344" w14:anchorId="3C192F43">
                <v:shape id="_x0000_i1036" type="#_x0000_t75" style="width:75pt;height:17.25pt" o:ole="">
                  <v:imagedata r:id="rId26" o:title=""/>
                </v:shape>
                <o:OLEObject Type="Embed" ProgID="Equation.KSEE3" ShapeID="_x0000_i1036" DrawAspect="Content" ObjectID="_1752035531" r:id="rId27"/>
              </w:object>
            </w:r>
          </w:p>
        </w:tc>
        <w:tc>
          <w:tcPr>
            <w:tcW w:w="0" w:type="auto"/>
            <w:vMerge/>
            <w:vAlign w:val="center"/>
          </w:tcPr>
          <w:p w14:paraId="04ACD649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5A55149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75A13F12" w14:textId="77777777" w:rsidTr="00C9731E">
        <w:trPr>
          <w:trHeight w:val="391"/>
          <w:jc w:val="center"/>
        </w:trPr>
        <w:tc>
          <w:tcPr>
            <w:tcW w:w="0" w:type="auto"/>
            <w:vAlign w:val="center"/>
          </w:tcPr>
          <w:p w14:paraId="56F2838B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Andreev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,1995</w:t>
            </w:r>
          </w:p>
        </w:tc>
        <w:tc>
          <w:tcPr>
            <w:tcW w:w="0" w:type="auto"/>
            <w:vAlign w:val="center"/>
          </w:tcPr>
          <w:p w14:paraId="30AD603C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569" w:dyaOrig="344" w14:anchorId="2D36FCA6">
                <v:shape id="_x0000_i1037" type="#_x0000_t75" style="width:78.75pt;height:17.25pt" o:ole="">
                  <v:imagedata r:id="rId28" o:title=""/>
                </v:shape>
                <o:OLEObject Type="Embed" ProgID="Equation.KSEE3" ShapeID="_x0000_i1037" DrawAspect="Content" ObjectID="_1752035532" r:id="rId29"/>
              </w:object>
            </w:r>
          </w:p>
        </w:tc>
        <w:tc>
          <w:tcPr>
            <w:tcW w:w="0" w:type="auto"/>
            <w:vMerge/>
            <w:vAlign w:val="center"/>
          </w:tcPr>
          <w:p w14:paraId="0651B77D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07F8FA26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7348D155" w14:textId="77777777" w:rsidTr="00C9731E">
        <w:trPr>
          <w:trHeight w:val="619"/>
          <w:jc w:val="center"/>
        </w:trPr>
        <w:tc>
          <w:tcPr>
            <w:tcW w:w="0" w:type="auto"/>
            <w:vAlign w:val="center"/>
          </w:tcPr>
          <w:p w14:paraId="45FD8961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Hajiabdolmajid and Kaiser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,2003</w:t>
            </w:r>
          </w:p>
        </w:tc>
        <w:tc>
          <w:tcPr>
            <w:tcW w:w="0" w:type="auto"/>
            <w:vAlign w:val="center"/>
          </w:tcPr>
          <w:p w14:paraId="2A8C212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827" w:dyaOrig="344" w14:anchorId="318747F1">
                <v:shape id="_x0000_i1038" type="#_x0000_t75" style="width:91.5pt;height:17.25pt" o:ole="">
                  <v:imagedata r:id="rId30" o:title=""/>
                </v:shape>
                <o:OLEObject Type="Embed" ProgID="Equation.KSEE3" ShapeID="_x0000_i1038" DrawAspect="Content" ObjectID="_1752035533" r:id="rId31"/>
              </w:object>
            </w:r>
          </w:p>
        </w:tc>
        <w:tc>
          <w:tcPr>
            <w:tcW w:w="0" w:type="auto"/>
            <w:vMerge/>
            <w:vAlign w:val="center"/>
          </w:tcPr>
          <w:p w14:paraId="5CE1E4D6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114BAA2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0EE4538D" w14:textId="77777777" w:rsidTr="00C9731E">
        <w:trPr>
          <w:trHeight w:val="473"/>
          <w:jc w:val="center"/>
        </w:trPr>
        <w:tc>
          <w:tcPr>
            <w:tcW w:w="0" w:type="auto"/>
            <w:vAlign w:val="center"/>
          </w:tcPr>
          <w:p w14:paraId="4B93AD14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Liu and Shen,2005</w:t>
            </w:r>
          </w:p>
        </w:tc>
        <w:tc>
          <w:tcPr>
            <w:tcW w:w="0" w:type="auto"/>
            <w:vAlign w:val="center"/>
          </w:tcPr>
          <w:p w14:paraId="7B63B433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268" w:dyaOrig="344" w14:anchorId="2DDFC803">
                <v:shape id="_x0000_i1039" type="#_x0000_t75" style="width:63.75pt;height:17.25pt" o:ole="">
                  <v:imagedata r:id="rId32" o:title=""/>
                </v:shape>
                <o:OLEObject Type="Embed" ProgID="Equation.KSEE3" ShapeID="_x0000_i1039" DrawAspect="Content" ObjectID="_1752035534" r:id="rId33"/>
              </w:object>
            </w:r>
          </w:p>
        </w:tc>
        <w:tc>
          <w:tcPr>
            <w:tcW w:w="0" w:type="auto"/>
            <w:vMerge/>
            <w:vAlign w:val="center"/>
          </w:tcPr>
          <w:p w14:paraId="3B0503DC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4A71E829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76BA320D" w14:textId="77777777" w:rsidTr="00C9731E">
        <w:trPr>
          <w:trHeight w:val="473"/>
          <w:jc w:val="center"/>
        </w:trPr>
        <w:tc>
          <w:tcPr>
            <w:tcW w:w="0" w:type="auto"/>
            <w:vAlign w:val="center"/>
          </w:tcPr>
          <w:p w14:paraId="6865F5DA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Rickman et al.</w:t>
            </w: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0" w:type="auto"/>
            <w:vAlign w:val="center"/>
          </w:tcPr>
          <w:p w14:paraId="2A959DCA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762" w:dyaOrig="344" w14:anchorId="7D08DE4C">
                <v:shape id="_x0000_i1040" type="#_x0000_t75" style="width:87.75pt;height:17.25pt" o:ole="">
                  <v:imagedata r:id="rId34" o:title=""/>
                </v:shape>
                <o:OLEObject Type="Embed" ProgID="Equation.KSEE3" ShapeID="_x0000_i1040" DrawAspect="Content" ObjectID="_1752035535" r:id="rId35"/>
              </w:object>
            </w:r>
          </w:p>
        </w:tc>
        <w:tc>
          <w:tcPr>
            <w:tcW w:w="0" w:type="auto"/>
            <w:vMerge/>
            <w:vAlign w:val="center"/>
          </w:tcPr>
          <w:p w14:paraId="48D30FF2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4178E47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3A5535FF" w14:textId="77777777" w:rsidTr="00C9731E">
        <w:trPr>
          <w:trHeight w:val="461"/>
          <w:jc w:val="center"/>
        </w:trPr>
        <w:tc>
          <w:tcPr>
            <w:tcW w:w="0" w:type="auto"/>
            <w:vAlign w:val="center"/>
          </w:tcPr>
          <w:p w14:paraId="601F0B04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Guo et al.,2012</w:t>
            </w:r>
          </w:p>
        </w:tc>
        <w:tc>
          <w:tcPr>
            <w:tcW w:w="0" w:type="auto"/>
            <w:vAlign w:val="center"/>
          </w:tcPr>
          <w:p w14:paraId="21F680A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752" w:dyaOrig="365" w14:anchorId="58450730">
                <v:shape id="_x0000_i1041" type="#_x0000_t75" style="width:87.75pt;height:18pt" o:ole="">
                  <v:imagedata r:id="rId36" o:title=""/>
                </v:shape>
                <o:OLEObject Type="Embed" ProgID="Equation.KSEE3" ShapeID="_x0000_i1041" DrawAspect="Content" ObjectID="_1752035536" r:id="rId37"/>
              </w:object>
            </w:r>
          </w:p>
        </w:tc>
        <w:tc>
          <w:tcPr>
            <w:tcW w:w="0" w:type="auto"/>
            <w:vMerge/>
            <w:vAlign w:val="center"/>
          </w:tcPr>
          <w:p w14:paraId="08B36017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47A13C4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2DC41A8F" w14:textId="77777777" w:rsidTr="00C9731E">
        <w:trPr>
          <w:trHeight w:val="483"/>
          <w:jc w:val="center"/>
        </w:trPr>
        <w:tc>
          <w:tcPr>
            <w:tcW w:w="0" w:type="auto"/>
            <w:vAlign w:val="center"/>
          </w:tcPr>
          <w:p w14:paraId="720551C6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Sun et al.,2013</w:t>
            </w:r>
          </w:p>
        </w:tc>
        <w:tc>
          <w:tcPr>
            <w:tcW w:w="0" w:type="auto"/>
            <w:vAlign w:val="center"/>
          </w:tcPr>
          <w:p w14:paraId="511F0679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268" w:dyaOrig="365" w14:anchorId="6B31A6C2">
                <v:shape id="_x0000_i1042" type="#_x0000_t75" style="width:63.75pt;height:18pt" o:ole="">
                  <v:imagedata r:id="rId38" o:title=""/>
                </v:shape>
                <o:OLEObject Type="Embed" ProgID="Equation.KSEE3" ShapeID="_x0000_i1042" DrawAspect="Content" ObjectID="_1752035537" r:id="rId39"/>
              </w:object>
            </w:r>
          </w:p>
        </w:tc>
        <w:tc>
          <w:tcPr>
            <w:tcW w:w="0" w:type="auto"/>
            <w:vMerge/>
            <w:vAlign w:val="center"/>
          </w:tcPr>
          <w:p w14:paraId="2E483F60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24B4238A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6E6418FE" w14:textId="77777777" w:rsidTr="00C9731E">
        <w:trPr>
          <w:trHeight w:val="603"/>
          <w:jc w:val="center"/>
        </w:trPr>
        <w:tc>
          <w:tcPr>
            <w:tcW w:w="0" w:type="auto"/>
            <w:vAlign w:val="center"/>
          </w:tcPr>
          <w:p w14:paraId="573BA6FB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Tarasov and Potvin,2013</w:t>
            </w:r>
          </w:p>
        </w:tc>
        <w:tc>
          <w:tcPr>
            <w:tcW w:w="0" w:type="auto"/>
            <w:vAlign w:val="center"/>
          </w:tcPr>
          <w:p w14:paraId="2681CC84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827" w:dyaOrig="344" w14:anchorId="6AD75703">
                <v:shape id="_x0000_i1043" type="#_x0000_t75" style="width:91.5pt;height:17.25pt" o:ole="">
                  <v:imagedata r:id="rId40" o:title=""/>
                </v:shape>
                <o:OLEObject Type="Embed" ProgID="Equation.KSEE3" ShapeID="_x0000_i1043" DrawAspect="Content" ObjectID="_1752035538" r:id="rId41"/>
              </w:object>
            </w:r>
          </w:p>
        </w:tc>
        <w:tc>
          <w:tcPr>
            <w:tcW w:w="0" w:type="auto"/>
            <w:vMerge/>
            <w:vAlign w:val="center"/>
          </w:tcPr>
          <w:p w14:paraId="5C8FBBEB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12909A7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6490D12E" w14:textId="77777777" w:rsidTr="00C9731E">
        <w:trPr>
          <w:trHeight w:val="668"/>
          <w:jc w:val="center"/>
        </w:trPr>
        <w:tc>
          <w:tcPr>
            <w:tcW w:w="0" w:type="auto"/>
            <w:vAlign w:val="center"/>
          </w:tcPr>
          <w:p w14:paraId="111FB380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Luan et al.,2014</w:t>
            </w:r>
          </w:p>
        </w:tc>
        <w:tc>
          <w:tcPr>
            <w:tcW w:w="0" w:type="auto"/>
            <w:vAlign w:val="center"/>
          </w:tcPr>
          <w:p w14:paraId="0835E648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161" w:dyaOrig="365" w14:anchorId="6231F5B7">
                <v:shape id="_x0000_i1044" type="#_x0000_t75" style="width:57.75pt;height:18pt" o:ole="">
                  <v:imagedata r:id="rId42" o:title=""/>
                </v:shape>
                <o:OLEObject Type="Embed" ProgID="Equation.KSEE3" ShapeID="_x0000_i1044" DrawAspect="Content" ObjectID="_1752035539" r:id="rId43"/>
              </w:object>
            </w:r>
          </w:p>
        </w:tc>
        <w:tc>
          <w:tcPr>
            <w:tcW w:w="0" w:type="auto"/>
            <w:vMerge/>
            <w:vAlign w:val="center"/>
          </w:tcPr>
          <w:p w14:paraId="16D01527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47C82719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  <w:tr w:rsidR="006A0FDF" w14:paraId="6C5EE8ED" w14:textId="77777777" w:rsidTr="00C9731E">
        <w:trPr>
          <w:trHeight w:val="1254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B5CF85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Chen et al.,2014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E6D3D2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0"/>
                <w:sz w:val="18"/>
                <w:szCs w:val="18"/>
              </w:rPr>
              <w:object w:dxaOrig="1107" w:dyaOrig="322" w14:anchorId="31AC4F6A">
                <v:shape id="_x0000_i1045" type="#_x0000_t75" style="width:55.5pt;height:15.75pt" o:ole="">
                  <v:imagedata r:id="rId44" o:title=""/>
                </v:shape>
                <o:OLEObject Type="Embed" ProgID="Equation.KSEE3" ShapeID="_x0000_i1045" DrawAspect="Content" ObjectID="_1752035540" r:id="rId45"/>
              </w:objec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958E31A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20D1EAF" w14:textId="77777777" w:rsidR="006A0FDF" w:rsidRDefault="006A0FDF" w:rsidP="00C9731E">
            <w:pPr>
              <w:adjustRightInd w:val="0"/>
              <w:snapToGrid w:val="0"/>
              <w:jc w:val="center"/>
            </w:pPr>
          </w:p>
        </w:tc>
      </w:tr>
    </w:tbl>
    <w:p w14:paraId="101AC5A2" w14:textId="77777777" w:rsidR="006A0FDF" w:rsidRDefault="006A0FDF" w:rsidP="006A0FDF">
      <w:pPr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 5. The evaluation method of brittleness index based on physical properties of rocks</w:t>
      </w:r>
    </w:p>
    <w:tbl>
      <w:tblPr>
        <w:tblStyle w:val="TableGrid"/>
        <w:tblW w:w="499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3730"/>
        <w:gridCol w:w="2480"/>
        <w:gridCol w:w="1379"/>
      </w:tblGrid>
      <w:tr w:rsidR="006A0FDF" w14:paraId="519EE43C" w14:textId="77777777" w:rsidTr="00C9731E">
        <w:trPr>
          <w:trHeight w:val="23"/>
          <w:jc w:val="center"/>
        </w:trPr>
        <w:tc>
          <w:tcPr>
            <w:tcW w:w="9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CA34D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References</w:t>
            </w:r>
          </w:p>
        </w:tc>
        <w:tc>
          <w:tcPr>
            <w:tcW w:w="19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1BDCD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Formula</w:t>
            </w: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B52FD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Variable description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B94D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Test </w:t>
            </w:r>
          </w:p>
          <w:p w14:paraId="1BCAE423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method</w:t>
            </w:r>
          </w:p>
        </w:tc>
      </w:tr>
      <w:tr w:rsidR="006A0FDF" w14:paraId="27F22036" w14:textId="77777777" w:rsidTr="00C9731E">
        <w:trPr>
          <w:trHeight w:val="752"/>
          <w:jc w:val="center"/>
        </w:trPr>
        <w:tc>
          <w:tcPr>
            <w:tcW w:w="944" w:type="pct"/>
            <w:tcBorders>
              <w:top w:val="single" w:sz="4" w:space="0" w:color="auto"/>
            </w:tcBorders>
            <w:vAlign w:val="center"/>
          </w:tcPr>
          <w:p w14:paraId="57A6C39D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lastRenderedPageBreak/>
              <w:t>Sondergeld et al.,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 xml:space="preserve"> 2010</w:t>
            </w:r>
          </w:p>
        </w:tc>
        <w:tc>
          <w:tcPr>
            <w:tcW w:w="1993" w:type="pct"/>
            <w:tcBorders>
              <w:top w:val="single" w:sz="4" w:space="0" w:color="auto"/>
            </w:tcBorders>
            <w:vAlign w:val="center"/>
          </w:tcPr>
          <w:p w14:paraId="33AB3481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4"/>
                <w:sz w:val="18"/>
                <w:szCs w:val="18"/>
              </w:rPr>
              <w:object w:dxaOrig="1558" w:dyaOrig="344" w14:anchorId="3A6F587F">
                <v:shape id="_x0000_i1046" type="#_x0000_t75" style="width:78pt;height:17.25pt" o:ole="">
                  <v:imagedata r:id="rId46" o:title=""/>
                </v:shape>
                <o:OLEObject Type="Embed" ProgID="Equation.KSEE3" ShapeID="_x0000_i1046" DrawAspect="Content" ObjectID="_1752035541" r:id="rId47"/>
              </w:object>
            </w:r>
          </w:p>
        </w:tc>
        <w:tc>
          <w:tcPr>
            <w:tcW w:w="1325" w:type="pct"/>
            <w:vMerge w:val="restart"/>
            <w:tcBorders>
              <w:top w:val="single" w:sz="4" w:space="0" w:color="auto"/>
            </w:tcBorders>
            <w:vAlign w:val="center"/>
          </w:tcPr>
          <w:p w14:paraId="4A0A03DE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W</w:t>
            </w:r>
            <w:r>
              <w:rPr>
                <w:rFonts w:eastAsia="SimSun"/>
                <w:sz w:val="18"/>
                <w:szCs w:val="18"/>
                <w:vertAlign w:val="subscript"/>
              </w:rPr>
              <w:t>Qtz</w:t>
            </w:r>
            <w:r>
              <w:rPr>
                <w:rFonts w:eastAsia="SimSun" w:hint="eastAsia"/>
                <w:sz w:val="18"/>
                <w:szCs w:val="18"/>
              </w:rPr>
              <w:t xml:space="preserve">: the weight of brittle mineral; </w:t>
            </w:r>
          </w:p>
          <w:p w14:paraId="7D432EAA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W</w:t>
            </w:r>
            <w:r>
              <w:rPr>
                <w:rFonts w:eastAsia="SimSun"/>
                <w:sz w:val="18"/>
                <w:szCs w:val="18"/>
                <w:vertAlign w:val="subscript"/>
              </w:rPr>
              <w:t>Tot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weight of total minerals</w:t>
            </w:r>
          </w:p>
          <w:p w14:paraId="156239DB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W</w:t>
            </w:r>
            <w:r>
              <w:rPr>
                <w:rFonts w:eastAsia="SimSun"/>
                <w:sz w:val="18"/>
                <w:szCs w:val="18"/>
                <w:vertAlign w:val="subscript"/>
              </w:rPr>
              <w:t>QFM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weight of quartz, feldspar and mica</w:t>
            </w:r>
            <w:r>
              <w:rPr>
                <w:rFonts w:eastAsia="SimSun" w:hint="eastAsia"/>
                <w:sz w:val="18"/>
                <w:szCs w:val="18"/>
              </w:rPr>
              <w:t xml:space="preserve">; </w:t>
            </w:r>
          </w:p>
          <w:p w14:paraId="7452310A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W</w:t>
            </w:r>
            <w:r>
              <w:rPr>
                <w:rFonts w:eastAsia="SimSun"/>
                <w:sz w:val="18"/>
                <w:szCs w:val="18"/>
                <w:vertAlign w:val="subscript"/>
              </w:rPr>
              <w:t>Carb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weight of carbonate minerals including dolomite, calcite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and other carbonate minerals</w:t>
            </w:r>
            <w:r>
              <w:rPr>
                <w:rFonts w:eastAsia="SimSun" w:hint="eastAsia"/>
                <w:sz w:val="18"/>
                <w:szCs w:val="18"/>
              </w:rPr>
              <w:t xml:space="preserve">; 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vAlign w:val="center"/>
          </w:tcPr>
          <w:p w14:paraId="10304C77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Mineral composition analysis</w:t>
            </w:r>
          </w:p>
        </w:tc>
      </w:tr>
      <w:tr w:rsidR="006A0FDF" w14:paraId="1B8B2E30" w14:textId="77777777" w:rsidTr="00C9731E">
        <w:trPr>
          <w:trHeight w:val="23"/>
          <w:jc w:val="center"/>
        </w:trPr>
        <w:tc>
          <w:tcPr>
            <w:tcW w:w="944" w:type="pct"/>
            <w:vAlign w:val="center"/>
          </w:tcPr>
          <w:p w14:paraId="0ECA8D30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Jin et al., 2014, 2015</w:t>
            </w:r>
          </w:p>
        </w:tc>
        <w:tc>
          <w:tcPr>
            <w:tcW w:w="1993" w:type="pct"/>
            <w:vAlign w:val="center"/>
          </w:tcPr>
          <w:p w14:paraId="0B972E8D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30"/>
                <w:sz w:val="18"/>
                <w:szCs w:val="18"/>
              </w:rPr>
              <w:object w:dxaOrig="1827" w:dyaOrig="623" w14:anchorId="5CA2C272">
                <v:shape id="_x0000_i1047" type="#_x0000_t75" style="width:91.5pt;height:31.5pt" o:ole="">
                  <v:imagedata r:id="rId48" o:title=""/>
                </v:shape>
                <o:OLEObject Type="Embed" ProgID="Equation.KSEE3" ShapeID="_x0000_i1047" DrawAspect="Content" ObjectID="_1752035542" r:id="rId49"/>
              </w:object>
            </w:r>
          </w:p>
        </w:tc>
        <w:tc>
          <w:tcPr>
            <w:tcW w:w="1325" w:type="pct"/>
            <w:vMerge/>
            <w:vAlign w:val="center"/>
          </w:tcPr>
          <w:p w14:paraId="41E18EF8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737" w:type="pct"/>
            <w:vMerge/>
            <w:vAlign w:val="center"/>
          </w:tcPr>
          <w:p w14:paraId="05369F55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</w:p>
        </w:tc>
      </w:tr>
      <w:tr w:rsidR="006A0FDF" w14:paraId="7BD4318C" w14:textId="77777777" w:rsidTr="00C9731E">
        <w:trPr>
          <w:trHeight w:val="824"/>
          <w:jc w:val="center"/>
        </w:trPr>
        <w:tc>
          <w:tcPr>
            <w:tcW w:w="944" w:type="pct"/>
            <w:vAlign w:val="center"/>
          </w:tcPr>
          <w:p w14:paraId="4577A4A7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Wang and Gale, 2009</w:t>
            </w:r>
          </w:p>
        </w:tc>
        <w:tc>
          <w:tcPr>
            <w:tcW w:w="1993" w:type="pct"/>
            <w:vAlign w:val="center"/>
          </w:tcPr>
          <w:p w14:paraId="19F483D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28"/>
                <w:sz w:val="18"/>
                <w:szCs w:val="18"/>
              </w:rPr>
              <w:object w:dxaOrig="3030" w:dyaOrig="623" w14:anchorId="6B0A8619">
                <v:shape id="_x0000_i1048" type="#_x0000_t75" style="width:151.5pt;height:31.5pt" o:ole="">
                  <v:imagedata r:id="rId50" o:title=""/>
                </v:shape>
                <o:OLEObject Type="Embed" ProgID="Equation.KSEE3" ShapeID="_x0000_i1048" DrawAspect="Content" ObjectID="_1752035543" r:id="rId51"/>
              </w:object>
            </w:r>
          </w:p>
        </w:tc>
        <w:tc>
          <w:tcPr>
            <w:tcW w:w="1325" w:type="pct"/>
            <w:vMerge w:val="restart"/>
            <w:vAlign w:val="center"/>
          </w:tcPr>
          <w:p w14:paraId="5473B663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Q : quartz;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Dol: dolomite;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Cl: clay;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</w:p>
          <w:p w14:paraId="7628CC87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Lm: limestone;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TOC : total organic content</w:t>
            </w:r>
            <w:r>
              <w:rPr>
                <w:rFonts w:eastAsia="SimSun" w:hint="eastAsia"/>
                <w:sz w:val="18"/>
                <w:szCs w:val="18"/>
              </w:rPr>
              <w:t xml:space="preserve">; </w:t>
            </w:r>
            <w:r>
              <w:rPr>
                <w:rFonts w:eastAsia="SimSun"/>
                <w:sz w:val="18"/>
                <w:szCs w:val="18"/>
              </w:rPr>
              <w:t>C : carbonate;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</w:p>
        </w:tc>
        <w:tc>
          <w:tcPr>
            <w:tcW w:w="737" w:type="pct"/>
            <w:vMerge/>
            <w:vAlign w:val="center"/>
          </w:tcPr>
          <w:p w14:paraId="163B4BB6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</w:p>
        </w:tc>
      </w:tr>
      <w:tr w:rsidR="006A0FDF" w14:paraId="542D2842" w14:textId="77777777" w:rsidTr="00C9731E">
        <w:trPr>
          <w:trHeight w:val="737"/>
          <w:jc w:val="center"/>
        </w:trPr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167DBD0D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Jarvie et al., 2007</w:t>
            </w:r>
          </w:p>
        </w:tc>
        <w:tc>
          <w:tcPr>
            <w:tcW w:w="1993" w:type="pct"/>
            <w:tcBorders>
              <w:bottom w:val="single" w:sz="4" w:space="0" w:color="auto"/>
            </w:tcBorders>
            <w:vAlign w:val="center"/>
          </w:tcPr>
          <w:p w14:paraId="70CA527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28"/>
                <w:sz w:val="18"/>
                <w:szCs w:val="18"/>
              </w:rPr>
              <w:object w:dxaOrig="1666" w:dyaOrig="623" w14:anchorId="0DC76280">
                <v:shape id="_x0000_i1049" type="#_x0000_t75" style="width:83.25pt;height:31.5pt" o:ole="">
                  <v:imagedata r:id="rId52" o:title=""/>
                </v:shape>
                <o:OLEObject Type="Embed" ProgID="Equation.KSEE3" ShapeID="_x0000_i1049" DrawAspect="Content" ObjectID="_1752035544" r:id="rId53"/>
              </w:object>
            </w:r>
          </w:p>
        </w:tc>
        <w:tc>
          <w:tcPr>
            <w:tcW w:w="1325" w:type="pct"/>
            <w:vMerge/>
            <w:tcBorders>
              <w:bottom w:val="single" w:sz="4" w:space="0" w:color="auto"/>
            </w:tcBorders>
            <w:vAlign w:val="center"/>
          </w:tcPr>
          <w:p w14:paraId="1CCBA383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737" w:type="pct"/>
            <w:vMerge/>
            <w:tcBorders>
              <w:bottom w:val="single" w:sz="4" w:space="0" w:color="auto"/>
            </w:tcBorders>
            <w:vAlign w:val="center"/>
          </w:tcPr>
          <w:p w14:paraId="4B4C9641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</w:p>
        </w:tc>
      </w:tr>
      <w:tr w:rsidR="006A0FDF" w14:paraId="6BF59AE9" w14:textId="77777777" w:rsidTr="00C9731E">
        <w:trPr>
          <w:trHeight w:val="592"/>
          <w:jc w:val="center"/>
        </w:trPr>
        <w:tc>
          <w:tcPr>
            <w:tcW w:w="9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E545A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Jin et al., 2014, 2015</w:t>
            </w:r>
          </w:p>
        </w:tc>
        <w:tc>
          <w:tcPr>
            <w:tcW w:w="19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6DB83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position w:val="-28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2375" w:dyaOrig="344" w14:anchorId="351A6DE4">
                <v:shape id="_x0000_i1050" type="#_x0000_t75" style="width:118.5pt;height:17.25pt" o:ole="">
                  <v:imagedata r:id="rId54" o:title=""/>
                </v:shape>
                <o:OLEObject Type="Embed" ProgID="Equation.KSEE3" ShapeID="_x0000_i1050" DrawAspect="Content" ObjectID="_1752035545" r:id="rId55"/>
              </w:object>
            </w: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FE9C3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ϕ</w:t>
            </w:r>
            <w:r>
              <w:rPr>
                <w:rFonts w:eastAsia="SimSun" w:hint="eastAsia"/>
                <w:sz w:val="18"/>
                <w:szCs w:val="18"/>
              </w:rPr>
              <w:t xml:space="preserve">: </w:t>
            </w:r>
            <w:r>
              <w:rPr>
                <w:rFonts w:eastAsia="SimSun"/>
                <w:sz w:val="18"/>
                <w:szCs w:val="18"/>
              </w:rPr>
              <w:t>the porosity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7A805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Porosity tests</w:t>
            </w:r>
          </w:p>
        </w:tc>
      </w:tr>
      <w:tr w:rsidR="006A0FDF" w14:paraId="5A767D1B" w14:textId="77777777" w:rsidTr="00C9731E">
        <w:trPr>
          <w:trHeight w:val="674"/>
          <w:jc w:val="center"/>
        </w:trPr>
        <w:tc>
          <w:tcPr>
            <w:tcW w:w="944" w:type="pct"/>
            <w:tcBorders>
              <w:top w:val="single" w:sz="4" w:space="0" w:color="auto"/>
            </w:tcBorders>
            <w:vAlign w:val="center"/>
          </w:tcPr>
          <w:p w14:paraId="4844C758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0F0FFF"/>
                <w:sz w:val="18"/>
                <w:szCs w:val="18"/>
              </w:rPr>
              <w:t>Protodyakonov</w:t>
            </w:r>
            <w:r>
              <w:rPr>
                <w:rFonts w:eastAsia="SimSun" w:hint="eastAsia"/>
                <w:color w:val="0F0FFF"/>
                <w:sz w:val="18"/>
                <w:szCs w:val="18"/>
              </w:rPr>
              <w:t>, 1962</w:t>
            </w:r>
          </w:p>
        </w:tc>
        <w:tc>
          <w:tcPr>
            <w:tcW w:w="1993" w:type="pct"/>
            <w:tcBorders>
              <w:top w:val="single" w:sz="4" w:space="0" w:color="auto"/>
            </w:tcBorders>
            <w:vAlign w:val="center"/>
          </w:tcPr>
          <w:p w14:paraId="11A047A0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position w:val="-28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1064" w:dyaOrig="344" w14:anchorId="51F68FCE">
                <v:shape id="_x0000_i1051" type="#_x0000_t75" style="width:53.25pt;height:17.25pt" o:ole="">
                  <v:imagedata r:id="rId56" o:title=""/>
                </v:shape>
                <o:OLEObject Type="Embed" ProgID="Equation.KSEE3" ShapeID="_x0000_i1051" DrawAspect="Content" ObjectID="_1752035546" r:id="rId57"/>
              </w:object>
            </w:r>
          </w:p>
        </w:tc>
        <w:tc>
          <w:tcPr>
            <w:tcW w:w="1325" w:type="pct"/>
            <w:vMerge w:val="restart"/>
            <w:tcBorders>
              <w:top w:val="single" w:sz="4" w:space="0" w:color="auto"/>
            </w:tcBorders>
            <w:vAlign w:val="center"/>
          </w:tcPr>
          <w:p w14:paraId="4CE871A2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σ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>C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unconfined compressive strength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C5C29A6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q: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percentage of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crumbs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(</w:t>
            </w:r>
            <w:r>
              <w:rPr>
                <w:rFonts w:eastAsia="SimSun" w:hint="eastAsia"/>
                <w:sz w:val="18"/>
                <w:szCs w:val="18"/>
              </w:rPr>
              <w:t>&lt;</w:t>
            </w:r>
            <w:r>
              <w:rPr>
                <w:rFonts w:eastAsia="SimSun"/>
                <w:sz w:val="18"/>
                <w:szCs w:val="18"/>
              </w:rPr>
              <w:t>0.6 mm in diameter</w:t>
            </w:r>
            <w:r>
              <w:rPr>
                <w:rFonts w:eastAsia="SimSun" w:hint="eastAsia"/>
                <w:sz w:val="18"/>
                <w:szCs w:val="18"/>
              </w:rPr>
              <w:t>)</w:t>
            </w:r>
          </w:p>
          <w:p w14:paraId="46B677F5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S</w:t>
            </w:r>
            <w:r>
              <w:rPr>
                <w:rFonts w:eastAsia="SimSun"/>
                <w:sz w:val="18"/>
                <w:szCs w:val="18"/>
                <w:vertAlign w:val="subscript"/>
              </w:rPr>
              <w:t>20</w:t>
            </w:r>
            <w:r>
              <w:rPr>
                <w:rFonts w:eastAsia="SimSun" w:hint="eastAsia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 xml:space="preserve">: the </w:t>
            </w:r>
            <w:r>
              <w:rPr>
                <w:rFonts w:eastAsia="SimSun"/>
                <w:sz w:val="18"/>
                <w:szCs w:val="18"/>
              </w:rPr>
              <w:t>percentage of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crumbs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(</w:t>
            </w:r>
            <w:r>
              <w:rPr>
                <w:rFonts w:eastAsia="SimSun" w:hint="eastAsia"/>
                <w:sz w:val="18"/>
                <w:szCs w:val="18"/>
              </w:rPr>
              <w:t>&lt;11.20</w:t>
            </w:r>
            <w:r>
              <w:rPr>
                <w:rFonts w:eastAsia="SimSun"/>
                <w:sz w:val="18"/>
                <w:szCs w:val="18"/>
              </w:rPr>
              <w:t xml:space="preserve"> mm in diameter</w:t>
            </w:r>
            <w:r>
              <w:rPr>
                <w:rFonts w:eastAsia="SimSun" w:hint="eastAsia"/>
                <w:sz w:val="18"/>
                <w:szCs w:val="18"/>
              </w:rPr>
              <w:t>)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</w:tcBorders>
            <w:vAlign w:val="center"/>
          </w:tcPr>
          <w:p w14:paraId="6124C3C0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Particle size analysis</w:t>
            </w:r>
          </w:p>
        </w:tc>
      </w:tr>
      <w:tr w:rsidR="006A0FDF" w14:paraId="28815FA9" w14:textId="77777777" w:rsidTr="00C9731E">
        <w:trPr>
          <w:trHeight w:val="23"/>
          <w:jc w:val="center"/>
        </w:trPr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0EAA6547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Quinn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 1997</w:t>
            </w:r>
          </w:p>
        </w:tc>
        <w:tc>
          <w:tcPr>
            <w:tcW w:w="1993" w:type="pct"/>
            <w:tcBorders>
              <w:bottom w:val="single" w:sz="4" w:space="0" w:color="auto"/>
            </w:tcBorders>
            <w:vAlign w:val="center"/>
          </w:tcPr>
          <w:p w14:paraId="39FC20EC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position w:val="-28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946" w:dyaOrig="333" w14:anchorId="7AF7B2B7">
                <v:shape id="_x0000_i1052" type="#_x0000_t75" style="width:47.25pt;height:16.5pt" o:ole="">
                  <v:imagedata r:id="rId58" o:title=""/>
                </v:shape>
                <o:OLEObject Type="Embed" ProgID="Equation.KSEE3" ShapeID="_x0000_i1052" DrawAspect="Content" ObjectID="_1752035547" r:id="rId59"/>
              </w:object>
            </w:r>
          </w:p>
        </w:tc>
        <w:tc>
          <w:tcPr>
            <w:tcW w:w="1325" w:type="pct"/>
            <w:vMerge/>
            <w:tcBorders>
              <w:bottom w:val="single" w:sz="4" w:space="0" w:color="auto"/>
            </w:tcBorders>
            <w:vAlign w:val="center"/>
          </w:tcPr>
          <w:p w14:paraId="1887C631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37" w:type="pct"/>
            <w:vMerge/>
            <w:tcBorders>
              <w:bottom w:val="single" w:sz="4" w:space="0" w:color="auto"/>
            </w:tcBorders>
            <w:vAlign w:val="center"/>
          </w:tcPr>
          <w:p w14:paraId="2BCB1214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Cs w:val="21"/>
              </w:rPr>
            </w:pPr>
          </w:p>
        </w:tc>
      </w:tr>
    </w:tbl>
    <w:p w14:paraId="063F9A6F" w14:textId="77777777" w:rsidR="006A0FDF" w:rsidRDefault="006A0FDF" w:rsidP="006A0FDF">
      <w:pPr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 6. Statistical table of evaluation method of brittleness index based on empirical formulas</w:t>
      </w:r>
    </w:p>
    <w:tbl>
      <w:tblPr>
        <w:tblStyle w:val="TableGrid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4491"/>
        <w:gridCol w:w="1942"/>
        <w:gridCol w:w="1156"/>
      </w:tblGrid>
      <w:tr w:rsidR="006A0FDF" w14:paraId="24481EC7" w14:textId="77777777" w:rsidTr="00C9731E">
        <w:trPr>
          <w:trHeight w:val="23"/>
          <w:jc w:val="center"/>
        </w:trPr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4451A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References</w:t>
            </w:r>
          </w:p>
        </w:tc>
        <w:tc>
          <w:tcPr>
            <w:tcW w:w="23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BD9C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Formula</w:t>
            </w: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F61C5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Variable description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6834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Test method</w:t>
            </w:r>
          </w:p>
        </w:tc>
      </w:tr>
      <w:tr w:rsidR="006A0FDF" w14:paraId="77D5BD04" w14:textId="77777777" w:rsidTr="00C9731E">
        <w:trPr>
          <w:trHeight w:val="23"/>
          <w:jc w:val="center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7DD19128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/>
                <w:color w:val="2525FF"/>
                <w:kern w:val="0"/>
                <w:sz w:val="18"/>
                <w:szCs w:val="18"/>
                <w:lang w:bidi="ar"/>
              </w:rPr>
              <w:t>Yagiz</w:t>
            </w: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, 2009</w:t>
            </w:r>
          </w:p>
        </w:tc>
        <w:tc>
          <w:tcPr>
            <w:tcW w:w="2399" w:type="pct"/>
            <w:tcBorders>
              <w:top w:val="single" w:sz="4" w:space="0" w:color="auto"/>
            </w:tcBorders>
            <w:vAlign w:val="center"/>
          </w:tcPr>
          <w:p w14:paraId="6BBA95B4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3987" w:dyaOrig="333" w14:anchorId="0B90115E">
                <v:shape id="_x0000_i1053" type="#_x0000_t75" style="width:199.5pt;height:16.5pt" o:ole="">
                  <v:imagedata r:id="rId60" o:title=""/>
                </v:shape>
                <o:OLEObject Type="Embed" ProgID="Equation.KSEE3" ShapeID="_x0000_i1053" DrawAspect="Content" ObjectID="_1752035548" r:id="rId61"/>
              </w:objec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</w:tcBorders>
            <w:vAlign w:val="center"/>
          </w:tcPr>
          <w:p w14:paraId="700E0310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σ</w:t>
            </w:r>
            <w:r>
              <w:rPr>
                <w:rFonts w:eastAsia="SimSun"/>
                <w:sz w:val="18"/>
                <w:szCs w:val="18"/>
                <w:vertAlign w:val="subscript"/>
              </w:rPr>
              <w:t>C</w:t>
            </w:r>
            <w:r>
              <w:rPr>
                <w:rFonts w:eastAsia="SimSun"/>
                <w:sz w:val="18"/>
                <w:szCs w:val="18"/>
              </w:rPr>
              <w:t xml:space="preserve"> and σ</w:t>
            </w:r>
            <w:r>
              <w:rPr>
                <w:rFonts w:eastAsia="SimSun"/>
                <w:sz w:val="18"/>
                <w:szCs w:val="18"/>
                <w:vertAlign w:val="subscript"/>
              </w:rPr>
              <w:t>T</w:t>
            </w:r>
            <w:r>
              <w:rPr>
                <w:rFonts w:eastAsia="SimSun"/>
                <w:sz w:val="18"/>
                <w:szCs w:val="18"/>
              </w:rPr>
              <w:t xml:space="preserve">: </w:t>
            </w:r>
            <w:r>
              <w:rPr>
                <w:rFonts w:eastAsia="SimSun" w:hint="eastAsia"/>
                <w:sz w:val="18"/>
                <w:szCs w:val="18"/>
              </w:rPr>
              <w:t xml:space="preserve">the </w:t>
            </w:r>
            <w:r>
              <w:rPr>
                <w:rFonts w:eastAsia="SimSun"/>
                <w:sz w:val="18"/>
                <w:szCs w:val="18"/>
              </w:rPr>
              <w:t>unconfined compressive strength and tensile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strength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64987392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ρ</w:t>
            </w:r>
            <w:r>
              <w:rPr>
                <w:rFonts w:eastAsia="SimSun" w:hint="eastAsia"/>
                <w:sz w:val="18"/>
                <w:szCs w:val="18"/>
              </w:rPr>
              <w:t>:</w:t>
            </w:r>
            <w:r>
              <w:rPr>
                <w:rFonts w:eastAsia="SimSun"/>
                <w:sz w:val="18"/>
                <w:szCs w:val="18"/>
              </w:rPr>
              <w:t xml:space="preserve"> the density</w:t>
            </w:r>
          </w:p>
          <w:p w14:paraId="4796A47F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ϕ</w:t>
            </w:r>
            <w:r>
              <w:rPr>
                <w:rFonts w:eastAsia="SimSun" w:hint="eastAsia"/>
                <w:sz w:val="18"/>
                <w:szCs w:val="18"/>
              </w:rPr>
              <w:t xml:space="preserve">: </w:t>
            </w:r>
            <w:r>
              <w:rPr>
                <w:rFonts w:eastAsia="SimSun"/>
                <w:sz w:val="18"/>
                <w:szCs w:val="18"/>
              </w:rPr>
              <w:t>the porosity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</w:tcBorders>
            <w:vAlign w:val="center"/>
          </w:tcPr>
          <w:p w14:paraId="79316AA9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empirical formula</w:t>
            </w:r>
          </w:p>
        </w:tc>
      </w:tr>
      <w:tr w:rsidR="006A0FDF" w14:paraId="25147DE9" w14:textId="77777777" w:rsidTr="00C9731E">
        <w:trPr>
          <w:trHeight w:val="23"/>
          <w:jc w:val="center"/>
        </w:trPr>
        <w:tc>
          <w:tcPr>
            <w:tcW w:w="943" w:type="pct"/>
            <w:vAlign w:val="center"/>
          </w:tcPr>
          <w:p w14:paraId="5DC14ABF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Jin et al., 2014, 2015</w:t>
            </w:r>
          </w:p>
        </w:tc>
        <w:tc>
          <w:tcPr>
            <w:tcW w:w="2399" w:type="pct"/>
            <w:vAlign w:val="center"/>
          </w:tcPr>
          <w:p w14:paraId="5B5D6ACF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2224" w:dyaOrig="322" w14:anchorId="30F6F26E">
                <v:shape id="_x0000_i1054" type="#_x0000_t75" style="width:111pt;height:15.75pt" o:ole="">
                  <v:imagedata r:id="rId62" o:title=""/>
                </v:shape>
                <o:OLEObject Type="Embed" ProgID="Equation.KSEE3" ShapeID="_x0000_i1054" DrawAspect="Content" ObjectID="_1752035549" r:id="rId63"/>
              </w:object>
            </w:r>
          </w:p>
        </w:tc>
        <w:tc>
          <w:tcPr>
            <w:tcW w:w="1038" w:type="pct"/>
            <w:vMerge/>
            <w:vAlign w:val="center"/>
          </w:tcPr>
          <w:p w14:paraId="29D776D8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618" w:type="pct"/>
            <w:vMerge/>
            <w:vAlign w:val="center"/>
          </w:tcPr>
          <w:p w14:paraId="49F708AC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Cs w:val="21"/>
              </w:rPr>
            </w:pPr>
          </w:p>
        </w:tc>
      </w:tr>
      <w:tr w:rsidR="006A0FDF" w14:paraId="6DAE14E7" w14:textId="77777777" w:rsidTr="00C9731E">
        <w:trPr>
          <w:trHeight w:val="23"/>
          <w:jc w:val="center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1E2F1BCE" w14:textId="77777777" w:rsidR="006A0FDF" w:rsidRDefault="006A0FDF" w:rsidP="00C9731E">
            <w:pPr>
              <w:widowControl/>
              <w:adjustRightInd w:val="0"/>
              <w:snapToGrid w:val="0"/>
              <w:jc w:val="center"/>
              <w:rPr>
                <w:rFonts w:eastAsia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color w:val="2525FF"/>
                <w:kern w:val="0"/>
                <w:sz w:val="18"/>
                <w:szCs w:val="18"/>
                <w:lang w:bidi="ar"/>
              </w:rPr>
              <w:t>Nygard et al., 2006</w:t>
            </w:r>
          </w:p>
        </w:tc>
        <w:tc>
          <w:tcPr>
            <w:tcW w:w="2399" w:type="pct"/>
            <w:tcBorders>
              <w:bottom w:val="single" w:sz="4" w:space="0" w:color="auto"/>
            </w:tcBorders>
            <w:vAlign w:val="center"/>
          </w:tcPr>
          <w:p w14:paraId="104A5E3E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position w:val="-12"/>
                <w:sz w:val="18"/>
                <w:szCs w:val="18"/>
              </w:rPr>
              <w:object w:dxaOrig="2568" w:dyaOrig="333" w14:anchorId="0CBF310B">
                <v:shape id="_x0000_i1055" type="#_x0000_t75" style="width:128.25pt;height:16.5pt" o:ole="">
                  <v:imagedata r:id="rId64" o:title=""/>
                </v:shape>
                <o:OLEObject Type="Embed" ProgID="Equation.KSEE3" ShapeID="_x0000_i1055" DrawAspect="Content" ObjectID="_1752035550" r:id="rId65"/>
              </w:object>
            </w:r>
          </w:p>
        </w:tc>
        <w:tc>
          <w:tcPr>
            <w:tcW w:w="1038" w:type="pct"/>
            <w:tcBorders>
              <w:bottom w:val="single" w:sz="4" w:space="0" w:color="auto"/>
            </w:tcBorders>
            <w:vAlign w:val="center"/>
          </w:tcPr>
          <w:p w14:paraId="100E310A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OCR: </w:t>
            </w:r>
            <w:r>
              <w:rPr>
                <w:rFonts w:eastAsia="SimSun" w:hint="eastAsia"/>
                <w:sz w:val="18"/>
                <w:szCs w:val="18"/>
              </w:rPr>
              <w:t>the o</w:t>
            </w:r>
            <w:r>
              <w:rPr>
                <w:rFonts w:eastAsia="SimSun"/>
                <w:sz w:val="18"/>
                <w:szCs w:val="18"/>
              </w:rPr>
              <w:t>ver-consolidation ratio</w:t>
            </w:r>
            <w:r>
              <w:rPr>
                <w:rFonts w:eastAsia="SimSun" w:hint="eastAsia"/>
                <w:sz w:val="18"/>
                <w:szCs w:val="18"/>
              </w:rPr>
              <w:t>;</w:t>
            </w:r>
          </w:p>
          <w:p w14:paraId="0B7C0F2C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b: empirical constant;</w:t>
            </w:r>
          </w:p>
          <w:p w14:paraId="315EC9DA" w14:textId="77777777" w:rsidR="006A0FDF" w:rsidRDefault="006A0FDF" w:rsidP="00C9731E">
            <w:pPr>
              <w:adjustRightInd w:val="0"/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σ′</w:t>
            </w:r>
            <w:r>
              <w:rPr>
                <w:rFonts w:eastAsia="SimSun"/>
                <w:sz w:val="18"/>
                <w:szCs w:val="18"/>
                <w:vertAlign w:val="subscript"/>
              </w:rPr>
              <w:t>v max</w:t>
            </w:r>
            <w:r>
              <w:rPr>
                <w:rFonts w:eastAsia="SimSun"/>
                <w:sz w:val="18"/>
                <w:szCs w:val="18"/>
              </w:rPr>
              <w:t xml:space="preserve"> and</w:t>
            </w:r>
            <w:r>
              <w:rPr>
                <w:rFonts w:eastAsia="SimSun" w:hint="eastAsia"/>
                <w:sz w:val="18"/>
                <w:szCs w:val="18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σ′</w:t>
            </w:r>
            <w:r>
              <w:rPr>
                <w:rFonts w:eastAsia="SimSun"/>
                <w:sz w:val="18"/>
                <w:szCs w:val="18"/>
                <w:vertAlign w:val="subscript"/>
              </w:rPr>
              <w:t>v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>
              <w:rPr>
                <w:rFonts w:eastAsia="SimSun" w:hint="eastAsia"/>
                <w:sz w:val="18"/>
                <w:szCs w:val="18"/>
              </w:rPr>
              <w:t xml:space="preserve">: the </w:t>
            </w:r>
            <w:r>
              <w:rPr>
                <w:rFonts w:eastAsia="SimSun"/>
                <w:sz w:val="18"/>
                <w:szCs w:val="18"/>
              </w:rPr>
              <w:t>maximum effective vertical stress it has experienced in history and the present effective vertical stress</w:t>
            </w:r>
          </w:p>
        </w:tc>
        <w:tc>
          <w:tcPr>
            <w:tcW w:w="618" w:type="pct"/>
            <w:vMerge/>
            <w:tcBorders>
              <w:bottom w:val="single" w:sz="4" w:space="0" w:color="auto"/>
            </w:tcBorders>
            <w:vAlign w:val="center"/>
          </w:tcPr>
          <w:p w14:paraId="1C7272E2" w14:textId="77777777" w:rsidR="006A0FDF" w:rsidRDefault="006A0FDF" w:rsidP="00C9731E">
            <w:pPr>
              <w:adjustRightInd w:val="0"/>
              <w:snapToGrid w:val="0"/>
              <w:jc w:val="center"/>
              <w:rPr>
                <w:rFonts w:eastAsia="SimSun"/>
                <w:szCs w:val="21"/>
              </w:rPr>
            </w:pPr>
          </w:p>
        </w:tc>
      </w:tr>
    </w:tbl>
    <w:p w14:paraId="061950BA" w14:textId="77777777" w:rsidR="00CA67E5" w:rsidRDefault="006A0FDF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DF"/>
    <w:rsid w:val="006A0FDF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A562"/>
  <w15:chartTrackingRefBased/>
  <w15:docId w15:val="{6878736D-B75E-4F27-8E89-091A06B4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DF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A0FD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3289</Characters>
  <Application>Microsoft Office Word</Application>
  <DocSecurity>0</DocSecurity>
  <Lines>27</Lines>
  <Paragraphs>7</Paragraphs>
  <ScaleCrop>false</ScaleCrop>
  <Company>Springer Nature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2023-07-28T02:14:00Z</dcterms:created>
  <dcterms:modified xsi:type="dcterms:W3CDTF">2023-07-28T02:15:00Z</dcterms:modified>
</cp:coreProperties>
</file>