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K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inesin superfamily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members </w:t>
      </w:r>
      <w:r>
        <w:rPr>
          <w:rFonts w:hint="eastAsia"/>
          <w:b/>
          <w:bCs/>
          <w:sz w:val="28"/>
          <w:szCs w:val="28"/>
        </w:rPr>
        <w:t>in gastric cancer</w:t>
      </w:r>
    </w:p>
    <w:tbl>
      <w:tblPr>
        <w:tblStyle w:val="3"/>
        <w:tblpPr w:leftFromText="180" w:rightFromText="180" w:vertAnchor="text" w:horzAnchor="page" w:tblpX="1811" w:tblpY="312"/>
        <w:tblOverlap w:val="never"/>
        <w:tblW w:w="871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705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664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KinesinSubFamily</w:t>
            </w:r>
          </w:p>
        </w:tc>
        <w:tc>
          <w:tcPr>
            <w:tcW w:w="7055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360" w:lineRule="auto"/>
              <w:ind w:firstLine="2850" w:firstLineChars="1500"/>
              <w:rPr>
                <w:rFonts w:hint="default" w:ascii="Segoe UI" w:hAnsi="Segoe UI" w:eastAsia="宋体" w:cs="Segoe UI"/>
                <w:color w:val="212121"/>
                <w:sz w:val="19"/>
                <w:szCs w:val="19"/>
                <w:shd w:val="clear" w:color="auto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KIFs</w:t>
            </w:r>
            <w:r>
              <w:rPr>
                <w:rFonts w:hint="eastAsia" w:ascii="Segoe UI" w:hAnsi="Segoe UI" w:eastAsia="宋体" w:cs="Segoe UI"/>
                <w:color w:val="212121"/>
                <w:sz w:val="19"/>
                <w:szCs w:val="19"/>
                <w:shd w:val="clear" w:color="auto" w:fill="FFFFFF"/>
                <w:lang w:val="en-US" w:eastAsia="zh-CN"/>
              </w:rPr>
              <w:t xml:space="preserve"> Membership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  <w:tcBorders>
              <w:top w:val="single" w:color="auto" w:sz="6" w:space="0"/>
            </w:tcBorders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Kinesin1</w:t>
            </w:r>
          </w:p>
        </w:tc>
        <w:tc>
          <w:tcPr>
            <w:tcW w:w="7055" w:type="dxa"/>
            <w:tcBorders>
              <w:top w:val="single" w:color="auto" w:sz="6" w:space="0"/>
            </w:tcBorders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KIF5A KIF5B KIF5C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Kinesin2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KIF3A KIF3B KIF3C KIF17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Kinesin3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KIF1A KIF1B KIF1C KIF13A KIF13B KIF14 KIF16A KIF16B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Kinesin4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KIF4A KIF4B KIF7 KIF21A KIF21B KIF27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Kinesin5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Kinesin6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KIF20A KIF20B KIF23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Kinesin7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Kinesin8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KIF18A KIF18B KIF19A KIF19B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Kinesin9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KIF6 KIF9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Kinesin10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Kinesin11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KIF26A KIF26B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Kinesin12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KIF12 KIF15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Kinesin13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KIF2A KIF2B KIF2C KIF24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Kinesin14A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KIFC1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64" w:type="dxa"/>
          </w:tcPr>
          <w:p>
            <w:pPr>
              <w:spacing w:line="360" w:lineRule="auto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Kinesin14B</w:t>
            </w:r>
          </w:p>
        </w:tc>
        <w:tc>
          <w:tcPr>
            <w:tcW w:w="7055" w:type="dxa"/>
          </w:tcPr>
          <w:p>
            <w:pPr>
              <w:spacing w:line="360" w:lineRule="auto"/>
              <w:jc w:val="center"/>
              <w:rPr>
                <w:rFonts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color w:val="212121"/>
                <w:sz w:val="19"/>
                <w:szCs w:val="19"/>
                <w:shd w:val="clear" w:color="auto" w:fill="FFFFFF"/>
              </w:rPr>
              <w:t>KIF25 KIFC2 KIFC3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Table S1.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KIFs membership and classification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.</w:t>
      </w: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default" w:ascii="Times New Roman" w:hAnsi="Times New Roman" w:cs="Times New Roman"/>
          <w:b/>
          <w:bCs/>
        </w:rPr>
      </w:pPr>
    </w:p>
    <w:p>
      <w:pPr>
        <w:jc w:val="left"/>
        <w:rPr>
          <w:rFonts w:hint="eastAsia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</w:rPr>
        <w:t>Primer sequences of genes in the risk model used for qPCR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539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bottom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gene</w:t>
            </w:r>
          </w:p>
        </w:tc>
        <w:tc>
          <w:tcPr>
            <w:tcW w:w="5392" w:type="dxa"/>
            <w:tcBorders>
              <w:bottom w:val="single" w:color="auto" w:sz="4" w:space="0"/>
            </w:tcBorders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primer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KIF3C</w:t>
            </w:r>
          </w:p>
        </w:tc>
        <w:tc>
          <w:tcPr>
            <w:tcW w:w="539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 xml:space="preserve">Forward: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ACCTGCAGGAACAGAAGGAGC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Reverse: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GCATCTTCTCCTTCTCCTCCA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KIF17</w:t>
            </w: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Forward: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AAGGAGGCCACCAAGATCAAC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Reverse: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GGCCTTGAGCTTCTTGATCTC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KIF24</w:t>
            </w: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 xml:space="preserve">Forward: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TGAACACACTCTCAACACCTTGC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Reverse: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CCTCTGGCTGTCTTGACTGTACT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KIFC3</w:t>
            </w: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 xml:space="preserve">Forward: 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CTGAACCTAGAGGTGCAGCAGAA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0" w:type="dxa"/>
            <w:tcBorders>
              <w:tl2br w:val="nil"/>
              <w:tr2bl w:val="nil"/>
            </w:tcBorders>
          </w:tcPr>
          <w:p>
            <w:pPr>
              <w:rPr>
                <w:vertAlign w:val="baseline"/>
              </w:rPr>
            </w:pPr>
          </w:p>
        </w:tc>
        <w:tc>
          <w:tcPr>
            <w:tcW w:w="53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/>
                <w:vertAlign w:val="baseline"/>
              </w:rPr>
              <w:t>Reverse: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TGATGACATACTTGACAGGTGGG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98265"/>
            <wp:effectExtent l="0" t="0" r="2540" b="3175"/>
            <wp:docPr id="1" name="图片 1" descr="0961810f-1f94-4f30-8627-4cd85a2c9cea_00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961810f-1f94-4f30-8627-4cd85a2c9cea_00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Figure S1</w:t>
      </w: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 xml:space="preserve">. The overview of mutation profile of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KIF</w:t>
      </w: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s from the TCGA-STAD datasets. A. Variant classification. B. Variant type. C. SNV class. D. Variants per sample. E. Variant classification summary. F. Top 10 mutated genes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K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inesin superfamily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 xml:space="preserve"> members </w:t>
      </w:r>
      <w:r>
        <w:rPr>
          <w:rFonts w:hint="eastAsia"/>
          <w:b/>
          <w:bCs/>
          <w:sz w:val="28"/>
          <w:szCs w:val="28"/>
        </w:rPr>
        <w:t>in gastric cancer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3950335"/>
            <wp:effectExtent l="0" t="0" r="6350" b="12065"/>
            <wp:docPr id="3" name="图片 3" descr="a477a63a-f276-11ed-af00-0242ac130002_Cor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477a63a-f276-11ed-af00-0242ac130002_Cor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>Figure S2.</w:t>
      </w:r>
      <w:r>
        <w:rPr>
          <w:rFonts w:hint="eastAsia" w:eastAsiaTheme="minorEastAsia"/>
          <w:lang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lang w:eastAsia="zh-CN"/>
        </w:rPr>
        <w:t xml:space="preserve">The correlation among </w:t>
      </w:r>
      <w:r>
        <w:rPr>
          <w:rFonts w:hint="default" w:ascii="Times New Roman" w:hAnsi="Times New Roman" w:cs="Times New Roman"/>
          <w:lang w:val="en-US" w:eastAsia="zh-CN"/>
        </w:rPr>
        <w:t>KIF</w:t>
      </w:r>
      <w:r>
        <w:rPr>
          <w:rFonts w:hint="default" w:ascii="Times New Roman" w:hAnsi="Times New Roman" w:cs="Times New Roman" w:eastAsiaTheme="minorEastAsia"/>
          <w:lang w:eastAsia="zh-CN"/>
        </w:rPr>
        <w:t>s. Red represents positive correlation; blue represents negative correlation. Correlation analysis was conducted by Spearman correlation analysis</w:t>
      </w:r>
      <w:r>
        <w:rPr>
          <w:rFonts w:hint="default" w:ascii="Times New Roman" w:hAnsi="Times New Roman" w:cs="Times New Roman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3237230" cy="1798320"/>
            <wp:effectExtent l="0" t="0" r="8890" b="0"/>
            <wp:docPr id="2" name="图片 2" descr="森林图_2023-06-19_01_48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森林图_2023-06-19_01_48_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7230" cy="179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>Figure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>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The univariate Cox regression analysis results indicated that 10 KIFs were significantly correlated with the survival of GC patients.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hMGM2NDQxMmViYTFiZGU4MjExZjg2YTA1ZjNhZTEifQ=="/>
  </w:docVars>
  <w:rsids>
    <w:rsidRoot w:val="00000000"/>
    <w:rsid w:val="164C3919"/>
    <w:rsid w:val="1D6D3C7F"/>
    <w:rsid w:val="2435301D"/>
    <w:rsid w:val="2CE335EE"/>
    <w:rsid w:val="2F0D407F"/>
    <w:rsid w:val="325102A8"/>
    <w:rsid w:val="40CA7D65"/>
    <w:rsid w:val="593B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1313</Characters>
  <Lines>0</Lines>
  <Paragraphs>0</Paragraphs>
  <TotalTime>4</TotalTime>
  <ScaleCrop>false</ScaleCrop>
  <LinksUpToDate>false</LinksUpToDate>
  <CharactersWithSpaces>1453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2023-06-13T18:17:00Z</dcterms:created>
  <dc:creator>zqq092011</dc:creator>
  <cp:lastModifiedBy>Drzq</cp:lastModifiedBy>
  <dcterms:modified xsi:type="dcterms:W3CDTF">2023-06-22T15:02:34Z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9E1AD301FAAD48F08BF02A6C51017059_12</vt:lpwstr>
  </property>
</Properties>
</file>