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1291C" w14:textId="46F5D92C" w:rsidR="00BC07FE" w:rsidRPr="00BC07FE" w:rsidRDefault="00BC07FE" w:rsidP="00BC07FE">
      <w:pPr>
        <w:spacing w:after="100" w:afterAutospacing="1" w:line="240" w:lineRule="auto"/>
        <w:ind w:firstLineChars="0" w:firstLine="420"/>
        <w:jc w:val="center"/>
        <w:rPr>
          <w:rFonts w:cs="Times New Roman"/>
          <w:b/>
          <w:bCs/>
          <w:color w:val="000000" w:themeColor="text1"/>
          <w:szCs w:val="24"/>
        </w:rPr>
      </w:pPr>
      <w:r w:rsidRPr="00BC07FE">
        <w:rPr>
          <w:rFonts w:cs="Times New Roman"/>
          <w:b/>
          <w:bCs/>
          <w:color w:val="000000" w:themeColor="text1"/>
          <w:szCs w:val="24"/>
        </w:rPr>
        <w:t xml:space="preserve">Preventive potential of Lactobacillus </w:t>
      </w:r>
      <w:proofErr w:type="spellStart"/>
      <w:r w:rsidRPr="00BC07FE">
        <w:rPr>
          <w:rFonts w:cs="Times New Roman"/>
          <w:b/>
          <w:bCs/>
          <w:color w:val="000000" w:themeColor="text1"/>
          <w:szCs w:val="24"/>
        </w:rPr>
        <w:t>johnsonii</w:t>
      </w:r>
      <w:proofErr w:type="spellEnd"/>
      <w:r w:rsidRPr="00BC07FE">
        <w:rPr>
          <w:rFonts w:cs="Times New Roman"/>
          <w:b/>
          <w:bCs/>
          <w:color w:val="000000" w:themeColor="text1"/>
          <w:szCs w:val="24"/>
        </w:rPr>
        <w:t xml:space="preserve"> YH1136 against uric acid accumulation and hyperuricemia-induced damages in rats</w:t>
      </w:r>
    </w:p>
    <w:p w14:paraId="7591E38D" w14:textId="77777777" w:rsidR="00BC07FE" w:rsidRPr="00BC07FE" w:rsidRDefault="00BC07FE" w:rsidP="00BC07FE">
      <w:pPr>
        <w:spacing w:after="100" w:afterAutospacing="1" w:line="240" w:lineRule="auto"/>
        <w:ind w:firstLineChars="0" w:firstLine="420"/>
        <w:jc w:val="center"/>
        <w:rPr>
          <w:rFonts w:cs="Times New Roman"/>
          <w:b/>
          <w:bCs/>
          <w:color w:val="000000" w:themeColor="text1"/>
          <w:szCs w:val="24"/>
        </w:rPr>
      </w:pPr>
    </w:p>
    <w:p w14:paraId="254E3F77" w14:textId="31C8B33E" w:rsidR="00EA748A" w:rsidRPr="00BC07FE" w:rsidRDefault="00EA748A" w:rsidP="00BC07FE">
      <w:pPr>
        <w:spacing w:after="100" w:afterAutospacing="1" w:line="240" w:lineRule="auto"/>
        <w:ind w:firstLineChars="0" w:firstLine="420"/>
        <w:jc w:val="center"/>
        <w:rPr>
          <w:rFonts w:cs="Times New Roman"/>
          <w:b/>
          <w:bCs/>
          <w:color w:val="000000" w:themeColor="text1"/>
          <w:szCs w:val="24"/>
        </w:rPr>
      </w:pPr>
      <w:r w:rsidRPr="00BC07FE">
        <w:rPr>
          <w:rFonts w:cs="Times New Roman"/>
          <w:b/>
          <w:bCs/>
          <w:color w:val="000000" w:themeColor="text1"/>
          <w:szCs w:val="24"/>
        </w:rPr>
        <w:t>Supplementary Information</w:t>
      </w:r>
    </w:p>
    <w:p w14:paraId="461CA382" w14:textId="77777777" w:rsidR="00BC07FE" w:rsidRPr="00BC07FE" w:rsidRDefault="00BC07FE" w:rsidP="00BC07FE">
      <w:pPr>
        <w:spacing w:line="480" w:lineRule="auto"/>
        <w:ind w:firstLineChars="0" w:firstLine="0"/>
        <w:rPr>
          <w:b/>
          <w:bCs/>
          <w:color w:val="000000" w:themeColor="text1"/>
          <w:sz w:val="20"/>
          <w:szCs w:val="20"/>
        </w:rPr>
      </w:pPr>
      <w:r w:rsidRPr="00BC07FE">
        <w:rPr>
          <w:b/>
          <w:bCs/>
          <w:color w:val="000000" w:themeColor="text1"/>
          <w:sz w:val="20"/>
          <w:szCs w:val="20"/>
        </w:rPr>
        <w:t>Table.1 Target gene primer sequence</w:t>
      </w:r>
    </w:p>
    <w:tbl>
      <w:tblPr>
        <w:tblStyle w:val="a7"/>
        <w:tblW w:w="8931" w:type="dxa"/>
        <w:tblBorders>
          <w:insideH w:val="none" w:sz="0" w:space="0" w:color="auto"/>
        </w:tblBorders>
        <w:tblLook w:val="04A0" w:firstRow="1" w:lastRow="0" w:firstColumn="1" w:lastColumn="0" w:noHBand="0" w:noVBand="1"/>
      </w:tblPr>
      <w:tblGrid>
        <w:gridCol w:w="993"/>
        <w:gridCol w:w="4110"/>
        <w:gridCol w:w="3828"/>
      </w:tblGrid>
      <w:tr w:rsidR="00BC07FE" w14:paraId="1A7F3F1B" w14:textId="77777777" w:rsidTr="00EF2B17">
        <w:tc>
          <w:tcPr>
            <w:tcW w:w="993" w:type="dxa"/>
            <w:tcBorders>
              <w:top w:val="single" w:sz="4" w:space="0" w:color="auto"/>
              <w:bottom w:val="single" w:sz="4" w:space="0" w:color="auto"/>
            </w:tcBorders>
          </w:tcPr>
          <w:p w14:paraId="53B985D8" w14:textId="77777777" w:rsidR="00BC07FE" w:rsidRDefault="00BC07FE" w:rsidP="00EF2B17">
            <w:pPr>
              <w:spacing w:line="480" w:lineRule="auto"/>
              <w:ind w:firstLineChars="0" w:firstLine="0"/>
              <w:rPr>
                <w:color w:val="000000" w:themeColor="text1"/>
                <w:sz w:val="20"/>
              </w:rPr>
            </w:pPr>
            <w:r>
              <w:rPr>
                <w:color w:val="000000" w:themeColor="text1"/>
                <w:sz w:val="20"/>
              </w:rPr>
              <w:t>Gene</w:t>
            </w:r>
          </w:p>
        </w:tc>
        <w:tc>
          <w:tcPr>
            <w:tcW w:w="4110" w:type="dxa"/>
            <w:tcBorders>
              <w:top w:val="single" w:sz="4" w:space="0" w:color="auto"/>
              <w:bottom w:val="single" w:sz="4" w:space="0" w:color="auto"/>
            </w:tcBorders>
          </w:tcPr>
          <w:p w14:paraId="0F50A496" w14:textId="77777777" w:rsidR="00BC07FE" w:rsidRDefault="00BC07FE" w:rsidP="00EF2B17">
            <w:pPr>
              <w:spacing w:line="480" w:lineRule="auto"/>
              <w:ind w:firstLine="400"/>
              <w:rPr>
                <w:color w:val="000000" w:themeColor="text1"/>
                <w:sz w:val="20"/>
              </w:rPr>
            </w:pPr>
            <w:r>
              <w:rPr>
                <w:color w:val="000000" w:themeColor="text1"/>
                <w:sz w:val="20"/>
              </w:rPr>
              <w:t>Forwards(5’-3’)</w:t>
            </w:r>
          </w:p>
        </w:tc>
        <w:tc>
          <w:tcPr>
            <w:tcW w:w="3828" w:type="dxa"/>
            <w:tcBorders>
              <w:top w:val="single" w:sz="4" w:space="0" w:color="auto"/>
              <w:bottom w:val="single" w:sz="4" w:space="0" w:color="auto"/>
            </w:tcBorders>
          </w:tcPr>
          <w:p w14:paraId="23C6BE4C" w14:textId="77777777" w:rsidR="00BC07FE" w:rsidRDefault="00BC07FE" w:rsidP="00EF2B17">
            <w:pPr>
              <w:spacing w:line="480" w:lineRule="auto"/>
              <w:ind w:firstLine="400"/>
              <w:rPr>
                <w:color w:val="000000" w:themeColor="text1"/>
                <w:sz w:val="20"/>
              </w:rPr>
            </w:pPr>
            <w:r>
              <w:rPr>
                <w:color w:val="000000" w:themeColor="text1"/>
                <w:sz w:val="20"/>
              </w:rPr>
              <w:t>Reverse(5’-3’)</w:t>
            </w:r>
          </w:p>
        </w:tc>
      </w:tr>
      <w:tr w:rsidR="00BC07FE" w14:paraId="65CCD92E" w14:textId="77777777" w:rsidTr="00EF2B17">
        <w:tc>
          <w:tcPr>
            <w:tcW w:w="993" w:type="dxa"/>
            <w:tcBorders>
              <w:top w:val="single" w:sz="4" w:space="0" w:color="auto"/>
            </w:tcBorders>
          </w:tcPr>
          <w:p w14:paraId="1EA4ABF4" w14:textId="77777777" w:rsidR="00BC07FE" w:rsidRDefault="00BC07FE" w:rsidP="00EF2B17">
            <w:pPr>
              <w:spacing w:line="480" w:lineRule="auto"/>
              <w:ind w:firstLineChars="0" w:firstLine="0"/>
              <w:rPr>
                <w:color w:val="000000" w:themeColor="text1"/>
                <w:sz w:val="20"/>
              </w:rPr>
            </w:pPr>
            <w:r>
              <w:rPr>
                <w:color w:val="000000" w:themeColor="text1"/>
                <w:sz w:val="20"/>
              </w:rPr>
              <w:t>GLUT9</w:t>
            </w:r>
          </w:p>
        </w:tc>
        <w:tc>
          <w:tcPr>
            <w:tcW w:w="4110" w:type="dxa"/>
            <w:tcBorders>
              <w:top w:val="single" w:sz="4" w:space="0" w:color="auto"/>
            </w:tcBorders>
          </w:tcPr>
          <w:p w14:paraId="2E656B82" w14:textId="77777777" w:rsidR="00BC07FE" w:rsidRDefault="00BC07FE" w:rsidP="00EF2B17">
            <w:pPr>
              <w:spacing w:line="480" w:lineRule="auto"/>
              <w:ind w:firstLine="400"/>
              <w:rPr>
                <w:color w:val="000000" w:themeColor="text1"/>
                <w:sz w:val="20"/>
              </w:rPr>
            </w:pPr>
            <w:r>
              <w:rPr>
                <w:color w:val="000000" w:themeColor="text1"/>
                <w:sz w:val="20"/>
              </w:rPr>
              <w:t>GCCGAGGAGGACAAAGAACTG</w:t>
            </w:r>
          </w:p>
        </w:tc>
        <w:tc>
          <w:tcPr>
            <w:tcW w:w="3828" w:type="dxa"/>
            <w:tcBorders>
              <w:top w:val="single" w:sz="4" w:space="0" w:color="auto"/>
            </w:tcBorders>
          </w:tcPr>
          <w:p w14:paraId="03DA3917" w14:textId="77777777" w:rsidR="00BC07FE" w:rsidRDefault="00BC07FE" w:rsidP="00EF2B17">
            <w:pPr>
              <w:spacing w:line="480" w:lineRule="auto"/>
              <w:ind w:firstLine="400"/>
              <w:rPr>
                <w:color w:val="000000" w:themeColor="text1"/>
                <w:sz w:val="20"/>
              </w:rPr>
            </w:pPr>
            <w:r>
              <w:rPr>
                <w:color w:val="000000" w:themeColor="text1"/>
                <w:sz w:val="20"/>
              </w:rPr>
              <w:t>CACCATCAGTGTTCCCACCA</w:t>
            </w:r>
          </w:p>
        </w:tc>
      </w:tr>
      <w:tr w:rsidR="00BC07FE" w14:paraId="53EF076B" w14:textId="77777777" w:rsidTr="00EF2B17">
        <w:tc>
          <w:tcPr>
            <w:tcW w:w="993" w:type="dxa"/>
          </w:tcPr>
          <w:p w14:paraId="7EB4B1E4" w14:textId="77777777" w:rsidR="00BC07FE" w:rsidRDefault="00BC07FE" w:rsidP="00EF2B17">
            <w:pPr>
              <w:spacing w:line="480" w:lineRule="auto"/>
              <w:ind w:firstLineChars="0" w:firstLine="0"/>
              <w:rPr>
                <w:color w:val="000000" w:themeColor="text1"/>
                <w:sz w:val="20"/>
              </w:rPr>
            </w:pPr>
            <w:r>
              <w:rPr>
                <w:color w:val="000000" w:themeColor="text1"/>
                <w:sz w:val="20"/>
              </w:rPr>
              <w:t>ABCG2</w:t>
            </w:r>
          </w:p>
        </w:tc>
        <w:tc>
          <w:tcPr>
            <w:tcW w:w="4110" w:type="dxa"/>
          </w:tcPr>
          <w:p w14:paraId="75198584" w14:textId="77777777" w:rsidR="00BC07FE" w:rsidRDefault="00BC07FE" w:rsidP="00EF2B17">
            <w:pPr>
              <w:spacing w:line="480" w:lineRule="auto"/>
              <w:ind w:firstLine="400"/>
              <w:rPr>
                <w:color w:val="000000" w:themeColor="text1"/>
                <w:sz w:val="20"/>
              </w:rPr>
            </w:pPr>
            <w:r>
              <w:rPr>
                <w:color w:val="000000" w:themeColor="text1"/>
                <w:sz w:val="20"/>
              </w:rPr>
              <w:t>CCTCGATATGGCTTCACAGCTT</w:t>
            </w:r>
          </w:p>
        </w:tc>
        <w:tc>
          <w:tcPr>
            <w:tcW w:w="3828" w:type="dxa"/>
          </w:tcPr>
          <w:p w14:paraId="6F24055F" w14:textId="77777777" w:rsidR="00BC07FE" w:rsidRDefault="00BC07FE" w:rsidP="00EF2B17">
            <w:pPr>
              <w:spacing w:line="480" w:lineRule="auto"/>
              <w:ind w:firstLine="400"/>
              <w:rPr>
                <w:color w:val="000000" w:themeColor="text1"/>
                <w:sz w:val="20"/>
              </w:rPr>
            </w:pPr>
            <w:r>
              <w:rPr>
                <w:color w:val="000000" w:themeColor="text1"/>
                <w:sz w:val="20"/>
              </w:rPr>
              <w:t>GGCCACATGATTCCTCCACA</w:t>
            </w:r>
          </w:p>
        </w:tc>
      </w:tr>
      <w:tr w:rsidR="00BC07FE" w14:paraId="55F2D0B8" w14:textId="77777777" w:rsidTr="00EF2B17">
        <w:tc>
          <w:tcPr>
            <w:tcW w:w="993" w:type="dxa"/>
            <w:tcBorders>
              <w:bottom w:val="single" w:sz="4" w:space="0" w:color="auto"/>
            </w:tcBorders>
          </w:tcPr>
          <w:p w14:paraId="13FC8218" w14:textId="77777777" w:rsidR="00BC07FE" w:rsidRDefault="00BC07FE" w:rsidP="00EF2B17">
            <w:pPr>
              <w:spacing w:line="480" w:lineRule="auto"/>
              <w:ind w:firstLineChars="0" w:firstLine="0"/>
              <w:rPr>
                <w:color w:val="000000" w:themeColor="text1"/>
                <w:sz w:val="20"/>
              </w:rPr>
            </w:pPr>
            <w:r>
              <w:rPr>
                <w:color w:val="000000" w:themeColor="text1"/>
                <w:sz w:val="20"/>
              </w:rPr>
              <w:t>OAT1</w:t>
            </w:r>
          </w:p>
          <w:p w14:paraId="59178D9C" w14:textId="77777777" w:rsidR="00BC07FE" w:rsidRDefault="00BC07FE" w:rsidP="00EF2B17">
            <w:pPr>
              <w:spacing w:line="480" w:lineRule="auto"/>
              <w:ind w:firstLineChars="0" w:firstLine="0"/>
              <w:rPr>
                <w:color w:val="000000" w:themeColor="text1"/>
                <w:sz w:val="20"/>
              </w:rPr>
            </w:pPr>
            <w:r>
              <w:rPr>
                <w:rFonts w:hint="eastAsia"/>
                <w:color w:val="000000" w:themeColor="text1"/>
                <w:sz w:val="20"/>
              </w:rPr>
              <w:t>O</w:t>
            </w:r>
            <w:r>
              <w:rPr>
                <w:color w:val="000000" w:themeColor="text1"/>
                <w:sz w:val="20"/>
              </w:rPr>
              <w:t>AT4</w:t>
            </w:r>
          </w:p>
          <w:p w14:paraId="77A09108" w14:textId="77777777" w:rsidR="00BC07FE" w:rsidRDefault="00BC07FE" w:rsidP="00EF2B17">
            <w:pPr>
              <w:spacing w:line="480" w:lineRule="auto"/>
              <w:ind w:firstLineChars="0" w:firstLine="0"/>
              <w:rPr>
                <w:color w:val="000000" w:themeColor="text1"/>
                <w:sz w:val="20"/>
              </w:rPr>
            </w:pPr>
            <w:r>
              <w:rPr>
                <w:color w:val="000000" w:themeColor="text1"/>
                <w:sz w:val="20"/>
              </w:rPr>
              <w:t xml:space="preserve">XOD </w:t>
            </w:r>
          </w:p>
          <w:p w14:paraId="65E8C74E" w14:textId="77777777" w:rsidR="00BC07FE" w:rsidRDefault="00BC07FE" w:rsidP="00EF2B17">
            <w:pPr>
              <w:spacing w:line="480" w:lineRule="auto"/>
              <w:ind w:firstLineChars="0" w:firstLine="0"/>
              <w:rPr>
                <w:color w:val="000000" w:themeColor="text1"/>
                <w:sz w:val="20"/>
              </w:rPr>
            </w:pPr>
            <w:r>
              <w:rPr>
                <w:color w:val="000000" w:themeColor="text1"/>
                <w:sz w:val="20"/>
              </w:rPr>
              <w:t>IL-6</w:t>
            </w:r>
          </w:p>
          <w:p w14:paraId="2E32EEA7" w14:textId="77777777" w:rsidR="00BC07FE" w:rsidRDefault="00BC07FE" w:rsidP="00EF2B17">
            <w:pPr>
              <w:spacing w:line="480" w:lineRule="auto"/>
              <w:ind w:firstLineChars="0" w:firstLine="0"/>
              <w:rPr>
                <w:color w:val="000000" w:themeColor="text1"/>
                <w:sz w:val="20"/>
              </w:rPr>
            </w:pPr>
            <w:r>
              <w:rPr>
                <w:color w:val="000000" w:themeColor="text1"/>
                <w:sz w:val="20"/>
              </w:rPr>
              <w:t>IL-1β</w:t>
            </w:r>
          </w:p>
          <w:p w14:paraId="72FA450C" w14:textId="77777777" w:rsidR="00BC07FE" w:rsidRPr="00BC07FE" w:rsidRDefault="00BC07FE" w:rsidP="00EF2B17">
            <w:pPr>
              <w:spacing w:line="480" w:lineRule="auto"/>
              <w:ind w:firstLineChars="0" w:firstLine="0"/>
              <w:rPr>
                <w:color w:val="000000" w:themeColor="text1"/>
                <w:sz w:val="20"/>
              </w:rPr>
            </w:pPr>
            <w:r>
              <w:rPr>
                <w:color w:val="000000" w:themeColor="text1"/>
                <w:sz w:val="20"/>
              </w:rPr>
              <w:t>TNF-</w:t>
            </w:r>
            <w:r>
              <w:rPr>
                <w:color w:val="000000"/>
                <w:spacing w:val="6"/>
                <w:sz w:val="20"/>
              </w:rPr>
              <w:t>α</w:t>
            </w:r>
          </w:p>
          <w:p w14:paraId="0637C909" w14:textId="77777777" w:rsidR="00BC07FE" w:rsidRDefault="00BC07FE" w:rsidP="00EF2B17">
            <w:pPr>
              <w:spacing w:line="480" w:lineRule="auto"/>
              <w:ind w:firstLineChars="0" w:firstLine="0"/>
              <w:rPr>
                <w:color w:val="000000"/>
                <w:spacing w:val="6"/>
                <w:sz w:val="20"/>
              </w:rPr>
            </w:pPr>
            <w:r>
              <w:rPr>
                <w:rFonts w:hint="eastAsia"/>
                <w:color w:val="000000"/>
                <w:spacing w:val="6"/>
                <w:sz w:val="20"/>
              </w:rPr>
              <w:t>I</w:t>
            </w:r>
            <w:r>
              <w:rPr>
                <w:color w:val="000000"/>
                <w:spacing w:val="6"/>
                <w:sz w:val="20"/>
              </w:rPr>
              <w:t>L-10</w:t>
            </w:r>
          </w:p>
          <w:p w14:paraId="2528127F" w14:textId="77777777" w:rsidR="00BC07FE" w:rsidRDefault="00BC07FE" w:rsidP="00EF2B17">
            <w:pPr>
              <w:spacing w:line="480" w:lineRule="auto"/>
              <w:ind w:firstLineChars="0" w:firstLine="0"/>
              <w:rPr>
                <w:color w:val="000000"/>
                <w:spacing w:val="6"/>
                <w:sz w:val="20"/>
              </w:rPr>
            </w:pPr>
            <w:r>
              <w:rPr>
                <w:rFonts w:hint="eastAsia"/>
                <w:color w:val="000000"/>
                <w:spacing w:val="6"/>
                <w:sz w:val="20"/>
              </w:rPr>
              <w:t>I</w:t>
            </w:r>
            <w:r>
              <w:rPr>
                <w:color w:val="000000"/>
                <w:spacing w:val="6"/>
                <w:sz w:val="20"/>
              </w:rPr>
              <w:t>L-18</w:t>
            </w:r>
          </w:p>
          <w:p w14:paraId="0D5A5CC5" w14:textId="77777777" w:rsidR="00BC07FE" w:rsidRPr="00BC07FE" w:rsidRDefault="00BC07FE" w:rsidP="00EF2B17">
            <w:pPr>
              <w:spacing w:line="480" w:lineRule="auto"/>
              <w:ind w:firstLineChars="0" w:firstLine="0"/>
              <w:rPr>
                <w:color w:val="000000"/>
                <w:spacing w:val="6"/>
                <w:sz w:val="20"/>
              </w:rPr>
            </w:pPr>
            <w:r>
              <w:rPr>
                <w:color w:val="000000" w:themeColor="text1"/>
                <w:sz w:val="20"/>
              </w:rPr>
              <w:t>β-actin</w:t>
            </w:r>
          </w:p>
        </w:tc>
        <w:tc>
          <w:tcPr>
            <w:tcW w:w="4110" w:type="dxa"/>
            <w:tcBorders>
              <w:bottom w:val="single" w:sz="4" w:space="0" w:color="auto"/>
            </w:tcBorders>
          </w:tcPr>
          <w:p w14:paraId="5EA5A1BE" w14:textId="77777777" w:rsidR="00BC07FE" w:rsidRDefault="00BC07FE" w:rsidP="00EF2B17">
            <w:pPr>
              <w:spacing w:line="480" w:lineRule="auto"/>
              <w:ind w:firstLine="400"/>
              <w:rPr>
                <w:color w:val="000000" w:themeColor="text1"/>
                <w:sz w:val="20"/>
              </w:rPr>
            </w:pPr>
            <w:r>
              <w:rPr>
                <w:color w:val="222222"/>
                <w:sz w:val="20"/>
                <w:shd w:val="clear" w:color="auto" w:fill="FFFFFF"/>
              </w:rPr>
              <w:t>GCCATACGATCATTCGCACC</w:t>
            </w:r>
          </w:p>
          <w:p w14:paraId="133AEE5D" w14:textId="77777777" w:rsidR="00BC07FE" w:rsidRDefault="00BC07FE" w:rsidP="00EF2B17">
            <w:pPr>
              <w:spacing w:line="480" w:lineRule="auto"/>
              <w:ind w:firstLine="400"/>
              <w:rPr>
                <w:color w:val="000000" w:themeColor="text1"/>
                <w:sz w:val="20"/>
              </w:rPr>
            </w:pPr>
            <w:r>
              <w:rPr>
                <w:color w:val="222222"/>
                <w:sz w:val="20"/>
                <w:shd w:val="clear" w:color="auto" w:fill="FFFFFF"/>
              </w:rPr>
              <w:t>TGCTGGTGGTGAAGATGACAG</w:t>
            </w:r>
          </w:p>
          <w:p w14:paraId="56D70E52" w14:textId="77777777" w:rsidR="00BC07FE" w:rsidRDefault="00BC07FE" w:rsidP="00EF2B17">
            <w:pPr>
              <w:spacing w:line="480" w:lineRule="auto"/>
              <w:ind w:firstLine="400"/>
              <w:rPr>
                <w:color w:val="000000" w:themeColor="text1"/>
                <w:sz w:val="20"/>
              </w:rPr>
            </w:pPr>
            <w:r>
              <w:rPr>
                <w:color w:val="000000" w:themeColor="text1"/>
                <w:sz w:val="20"/>
              </w:rPr>
              <w:t>TGACTGCGGATGAGTTGGTC</w:t>
            </w:r>
          </w:p>
          <w:p w14:paraId="134D43E5" w14:textId="77777777" w:rsidR="00BC07FE" w:rsidRDefault="00BC07FE" w:rsidP="00EF2B17">
            <w:pPr>
              <w:spacing w:line="480" w:lineRule="auto"/>
              <w:ind w:firstLine="400"/>
              <w:rPr>
                <w:color w:val="000000" w:themeColor="text1"/>
                <w:sz w:val="20"/>
              </w:rPr>
            </w:pPr>
            <w:r>
              <w:rPr>
                <w:color w:val="000000" w:themeColor="text1"/>
                <w:sz w:val="20"/>
              </w:rPr>
              <w:t>TAGTCCTTCCTACCCCAATTTCC</w:t>
            </w:r>
          </w:p>
          <w:p w14:paraId="16327572" w14:textId="77777777" w:rsidR="00BC07FE" w:rsidRDefault="00BC07FE" w:rsidP="00EF2B17">
            <w:pPr>
              <w:spacing w:line="480" w:lineRule="auto"/>
              <w:ind w:firstLine="400"/>
              <w:rPr>
                <w:color w:val="000000" w:themeColor="text1"/>
                <w:sz w:val="20"/>
              </w:rPr>
            </w:pPr>
            <w:r>
              <w:rPr>
                <w:color w:val="000000"/>
                <w:sz w:val="20"/>
              </w:rPr>
              <w:t>ATGAAAGACGGCACCCCAC</w:t>
            </w:r>
          </w:p>
          <w:p w14:paraId="28D0544E" w14:textId="77777777" w:rsidR="00BC07FE" w:rsidRDefault="00BC07FE" w:rsidP="00EF2B17">
            <w:pPr>
              <w:spacing w:line="480" w:lineRule="auto"/>
              <w:ind w:firstLine="400"/>
              <w:rPr>
                <w:sz w:val="20"/>
              </w:rPr>
            </w:pPr>
            <w:r>
              <w:rPr>
                <w:color w:val="222222"/>
                <w:sz w:val="20"/>
                <w:shd w:val="clear" w:color="auto" w:fill="FFFFFF"/>
              </w:rPr>
              <w:t>GATCGGTCCCAACAAGGAGG</w:t>
            </w:r>
          </w:p>
          <w:p w14:paraId="5B3F0F86" w14:textId="77777777" w:rsidR="00BC07FE" w:rsidRDefault="00BC07FE" w:rsidP="00EF2B17">
            <w:pPr>
              <w:spacing w:line="480" w:lineRule="auto"/>
              <w:ind w:firstLine="400"/>
              <w:rPr>
                <w:color w:val="000000" w:themeColor="text1"/>
                <w:sz w:val="20"/>
              </w:rPr>
            </w:pPr>
            <w:r>
              <w:rPr>
                <w:color w:val="222222"/>
                <w:sz w:val="20"/>
                <w:shd w:val="clear" w:color="auto" w:fill="FFFFFF"/>
              </w:rPr>
              <w:t>GGGAGAGAAGCTGAAGACCC</w:t>
            </w:r>
          </w:p>
          <w:p w14:paraId="1D4363B2" w14:textId="77777777" w:rsidR="00BC07FE" w:rsidRDefault="00BC07FE" w:rsidP="00EF2B17">
            <w:pPr>
              <w:spacing w:line="480" w:lineRule="auto"/>
              <w:ind w:firstLine="400"/>
              <w:rPr>
                <w:color w:val="000000" w:themeColor="text1"/>
                <w:sz w:val="20"/>
              </w:rPr>
            </w:pPr>
            <w:r>
              <w:rPr>
                <w:color w:val="222222"/>
                <w:sz w:val="20"/>
                <w:shd w:val="clear" w:color="auto" w:fill="FFFFFF"/>
              </w:rPr>
              <w:t>CCTGAAGAAAATGGAGACCTGGAA</w:t>
            </w:r>
          </w:p>
          <w:p w14:paraId="3D54593D" w14:textId="77777777" w:rsidR="00BC07FE" w:rsidRDefault="00BC07FE" w:rsidP="00EF2B17">
            <w:pPr>
              <w:spacing w:line="480" w:lineRule="auto"/>
              <w:ind w:firstLine="400"/>
              <w:rPr>
                <w:color w:val="000000" w:themeColor="text1"/>
                <w:sz w:val="20"/>
              </w:rPr>
            </w:pPr>
            <w:r>
              <w:rPr>
                <w:color w:val="000000" w:themeColor="text1"/>
                <w:sz w:val="20"/>
              </w:rPr>
              <w:t>CGCGTCCACCCGCGAG</w:t>
            </w:r>
          </w:p>
        </w:tc>
        <w:tc>
          <w:tcPr>
            <w:tcW w:w="3828" w:type="dxa"/>
            <w:tcBorders>
              <w:bottom w:val="single" w:sz="4" w:space="0" w:color="auto"/>
            </w:tcBorders>
          </w:tcPr>
          <w:p w14:paraId="67F04E20" w14:textId="77777777" w:rsidR="00BC07FE" w:rsidRDefault="00BC07FE" w:rsidP="00EF2B17">
            <w:pPr>
              <w:spacing w:line="480" w:lineRule="auto"/>
              <w:ind w:firstLine="400"/>
              <w:rPr>
                <w:color w:val="000000" w:themeColor="text1"/>
                <w:sz w:val="20"/>
              </w:rPr>
            </w:pPr>
            <w:r>
              <w:rPr>
                <w:color w:val="222222"/>
                <w:sz w:val="20"/>
                <w:shd w:val="clear" w:color="auto" w:fill="FFFFFF"/>
              </w:rPr>
              <w:t>GGCCTGTCTGCCGAATCA</w:t>
            </w:r>
          </w:p>
          <w:p w14:paraId="08F22115" w14:textId="77777777" w:rsidR="00BC07FE" w:rsidRDefault="00BC07FE" w:rsidP="00EF2B17">
            <w:pPr>
              <w:spacing w:line="480" w:lineRule="auto"/>
              <w:ind w:firstLine="400"/>
              <w:rPr>
                <w:color w:val="000000" w:themeColor="text1"/>
                <w:sz w:val="20"/>
              </w:rPr>
            </w:pPr>
            <w:r>
              <w:rPr>
                <w:color w:val="222222"/>
                <w:sz w:val="20"/>
                <w:shd w:val="clear" w:color="auto" w:fill="FFFFFF"/>
              </w:rPr>
              <w:t>GGCTGCTGTTGATTTCTGGC</w:t>
            </w:r>
          </w:p>
          <w:p w14:paraId="4BEBD4FB" w14:textId="77777777" w:rsidR="00BC07FE" w:rsidRDefault="00BC07FE" w:rsidP="00EF2B17">
            <w:pPr>
              <w:spacing w:line="480" w:lineRule="auto"/>
              <w:ind w:firstLine="400"/>
              <w:rPr>
                <w:color w:val="000000" w:themeColor="text1"/>
                <w:sz w:val="20"/>
              </w:rPr>
            </w:pPr>
            <w:r>
              <w:rPr>
                <w:color w:val="000000" w:themeColor="text1"/>
                <w:sz w:val="20"/>
              </w:rPr>
              <w:t>GTCCCACATAGCCCCAACTT</w:t>
            </w:r>
          </w:p>
          <w:p w14:paraId="31567D6C" w14:textId="77777777" w:rsidR="00BC07FE" w:rsidRDefault="00BC07FE" w:rsidP="00EF2B17">
            <w:pPr>
              <w:spacing w:line="480" w:lineRule="auto"/>
              <w:ind w:firstLine="400"/>
              <w:rPr>
                <w:color w:val="000000" w:themeColor="text1"/>
                <w:sz w:val="20"/>
              </w:rPr>
            </w:pPr>
            <w:r>
              <w:rPr>
                <w:color w:val="000000" w:themeColor="text1"/>
                <w:sz w:val="20"/>
              </w:rPr>
              <w:t>TTGGTCCTTAGCCACTCCTTC</w:t>
            </w:r>
          </w:p>
          <w:p w14:paraId="5E1662B6" w14:textId="77777777" w:rsidR="00BC07FE" w:rsidRDefault="00BC07FE" w:rsidP="00EF2B17">
            <w:pPr>
              <w:spacing w:line="480" w:lineRule="auto"/>
              <w:ind w:firstLine="400"/>
              <w:rPr>
                <w:color w:val="000000" w:themeColor="text1"/>
                <w:sz w:val="20"/>
              </w:rPr>
            </w:pPr>
            <w:bookmarkStart w:id="0" w:name="OLE_LINK27"/>
            <w:r>
              <w:rPr>
                <w:color w:val="000000"/>
                <w:sz w:val="20"/>
              </w:rPr>
              <w:t>GCTTGTGCTCTGCTTGTGAG</w:t>
            </w:r>
            <w:bookmarkEnd w:id="0"/>
          </w:p>
          <w:p w14:paraId="1BD5CF17" w14:textId="77777777" w:rsidR="00BC07FE" w:rsidRDefault="00BC07FE" w:rsidP="00EF2B17">
            <w:pPr>
              <w:spacing w:line="480" w:lineRule="auto"/>
              <w:ind w:firstLine="400"/>
              <w:rPr>
                <w:sz w:val="20"/>
              </w:rPr>
            </w:pPr>
            <w:r>
              <w:rPr>
                <w:color w:val="222222"/>
                <w:sz w:val="20"/>
                <w:shd w:val="clear" w:color="auto" w:fill="FFFFFF"/>
              </w:rPr>
              <w:t>GCTTGGTGGTTTGCTACGAC</w:t>
            </w:r>
          </w:p>
          <w:p w14:paraId="74765934" w14:textId="77777777" w:rsidR="00BC07FE" w:rsidRDefault="00BC07FE" w:rsidP="00EF2B17">
            <w:pPr>
              <w:spacing w:line="480" w:lineRule="auto"/>
              <w:ind w:firstLine="400"/>
              <w:rPr>
                <w:color w:val="000000" w:themeColor="text1"/>
                <w:sz w:val="20"/>
              </w:rPr>
            </w:pPr>
            <w:r>
              <w:rPr>
                <w:color w:val="222222"/>
                <w:sz w:val="20"/>
                <w:shd w:val="clear" w:color="auto" w:fill="FFFFFF"/>
              </w:rPr>
              <w:t>ACACCTTTGTCTTGGAGCTTATTA</w:t>
            </w:r>
          </w:p>
          <w:p w14:paraId="7B491467" w14:textId="77777777" w:rsidR="00BC07FE" w:rsidRDefault="00BC07FE" w:rsidP="00EF2B17">
            <w:pPr>
              <w:spacing w:line="480" w:lineRule="auto"/>
              <w:ind w:firstLine="400"/>
              <w:rPr>
                <w:color w:val="000000" w:themeColor="text1"/>
                <w:sz w:val="20"/>
              </w:rPr>
            </w:pPr>
            <w:r>
              <w:rPr>
                <w:color w:val="222222"/>
                <w:sz w:val="20"/>
                <w:shd w:val="clear" w:color="auto" w:fill="FFFFFF"/>
              </w:rPr>
              <w:t>TGGGGTTCACTGGCACTTTG</w:t>
            </w:r>
          </w:p>
          <w:p w14:paraId="3DA09EA4" w14:textId="77777777" w:rsidR="00BC07FE" w:rsidRDefault="00BC07FE" w:rsidP="00EF2B17">
            <w:pPr>
              <w:spacing w:line="480" w:lineRule="auto"/>
              <w:ind w:firstLine="400"/>
              <w:rPr>
                <w:color w:val="000000" w:themeColor="text1"/>
                <w:sz w:val="20"/>
              </w:rPr>
            </w:pPr>
            <w:r>
              <w:rPr>
                <w:color w:val="000000" w:themeColor="text1"/>
                <w:sz w:val="20"/>
              </w:rPr>
              <w:t>CCTGGTGCCTAGGGCG</w:t>
            </w:r>
          </w:p>
        </w:tc>
      </w:tr>
    </w:tbl>
    <w:p w14:paraId="19C217ED" w14:textId="77777777" w:rsidR="00BC07FE" w:rsidRPr="00BC07FE" w:rsidRDefault="00BC07FE" w:rsidP="00BC07FE">
      <w:pPr>
        <w:spacing w:after="100" w:afterAutospacing="1" w:line="240" w:lineRule="auto"/>
        <w:ind w:firstLineChars="0" w:firstLine="420"/>
        <w:jc w:val="center"/>
        <w:rPr>
          <w:rFonts w:cs="Times New Roman"/>
          <w:b/>
          <w:bCs/>
          <w:color w:val="000000" w:themeColor="text1"/>
          <w:sz w:val="20"/>
          <w:szCs w:val="20"/>
        </w:rPr>
      </w:pPr>
    </w:p>
    <w:p w14:paraId="072C95D0" w14:textId="1D093D56" w:rsidR="00CE0DC5" w:rsidRPr="00BC07FE" w:rsidRDefault="003F4C1C" w:rsidP="00BC07FE">
      <w:pPr>
        <w:spacing w:after="100" w:afterAutospacing="1" w:line="240" w:lineRule="auto"/>
        <w:ind w:firstLine="402"/>
        <w:rPr>
          <w:rFonts w:cs="Times New Roman"/>
          <w:b/>
          <w:color w:val="000000" w:themeColor="text1"/>
          <w:sz w:val="20"/>
          <w:szCs w:val="20"/>
        </w:rPr>
      </w:pPr>
      <w:r w:rsidRPr="00BC07FE">
        <w:rPr>
          <w:rFonts w:cs="Times New Roman"/>
          <w:b/>
          <w:noProof/>
          <w:color w:val="000000" w:themeColor="text1"/>
          <w:sz w:val="20"/>
          <w:szCs w:val="20"/>
        </w:rPr>
        <w:lastRenderedPageBreak/>
        <w:drawing>
          <wp:inline distT="0" distB="0" distL="0" distR="0" wp14:anchorId="0682C471" wp14:editId="40CADC2A">
            <wp:extent cx="5274310" cy="3028950"/>
            <wp:effectExtent l="0" t="0" r="0" b="6350"/>
            <wp:docPr id="139473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73923" name="图片 13947392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028950"/>
                    </a:xfrm>
                    <a:prstGeom prst="rect">
                      <a:avLst/>
                    </a:prstGeom>
                  </pic:spPr>
                </pic:pic>
              </a:graphicData>
            </a:graphic>
          </wp:inline>
        </w:drawing>
      </w:r>
    </w:p>
    <w:p w14:paraId="6F7BE8CF" w14:textId="28825851" w:rsidR="00CE0DC5" w:rsidRPr="00BC07FE" w:rsidRDefault="00EA748A" w:rsidP="00BC07FE">
      <w:pPr>
        <w:spacing w:after="100" w:afterAutospacing="1" w:line="240" w:lineRule="auto"/>
        <w:ind w:firstLineChars="0" w:firstLine="0"/>
        <w:rPr>
          <w:rFonts w:cs="Times New Roman"/>
          <w:b/>
          <w:color w:val="000000" w:themeColor="text1"/>
          <w:sz w:val="20"/>
          <w:szCs w:val="20"/>
        </w:rPr>
      </w:pPr>
      <w:r w:rsidRPr="00BC07FE">
        <w:rPr>
          <w:rFonts w:cs="Times New Roman"/>
          <w:b/>
          <w:bCs/>
          <w:color w:val="000000" w:themeColor="text1"/>
          <w:sz w:val="20"/>
          <w:szCs w:val="20"/>
        </w:rPr>
        <w:t>Fig. S1.</w:t>
      </w:r>
      <w:r w:rsidR="00CE0DC5" w:rsidRPr="00BC07FE">
        <w:rPr>
          <w:rFonts w:cs="Times New Roman"/>
          <w:b/>
          <w:bCs/>
          <w:color w:val="000000" w:themeColor="text1"/>
          <w:sz w:val="20"/>
          <w:szCs w:val="20"/>
        </w:rPr>
        <w:t xml:space="preserve"> </w:t>
      </w:r>
      <w:r w:rsidR="00CE0DC5" w:rsidRPr="00BC07FE">
        <w:rPr>
          <w:rFonts w:cs="Times New Roman"/>
          <w:b/>
          <w:color w:val="000000" w:themeColor="text1"/>
          <w:sz w:val="20"/>
          <w:szCs w:val="20"/>
        </w:rPr>
        <w:t>The relative abundance of Bacteria from Phylum</w:t>
      </w:r>
      <w:r w:rsidR="003F4C1C" w:rsidRPr="00BC07FE">
        <w:rPr>
          <w:rFonts w:cs="Times New Roman"/>
          <w:b/>
          <w:color w:val="000000" w:themeColor="text1"/>
          <w:sz w:val="20"/>
          <w:szCs w:val="20"/>
        </w:rPr>
        <w:t>(A)</w:t>
      </w:r>
      <w:r w:rsidR="00CE0DC5" w:rsidRPr="00BC07FE">
        <w:rPr>
          <w:rFonts w:cs="Times New Roman"/>
          <w:b/>
          <w:color w:val="000000" w:themeColor="text1"/>
          <w:sz w:val="20"/>
          <w:szCs w:val="20"/>
        </w:rPr>
        <w:t xml:space="preserve"> and Genus</w:t>
      </w:r>
      <w:r w:rsidR="003F4C1C" w:rsidRPr="00BC07FE">
        <w:rPr>
          <w:rFonts w:cs="Times New Roman"/>
          <w:b/>
          <w:color w:val="000000" w:themeColor="text1"/>
          <w:sz w:val="20"/>
          <w:szCs w:val="20"/>
        </w:rPr>
        <w:t>(B)</w:t>
      </w:r>
      <w:r w:rsidR="00CE0DC5" w:rsidRPr="00BC07FE">
        <w:rPr>
          <w:rFonts w:cs="Times New Roman"/>
          <w:b/>
          <w:color w:val="000000" w:themeColor="text1"/>
          <w:sz w:val="20"/>
          <w:szCs w:val="20"/>
        </w:rPr>
        <w:t xml:space="preserve"> in the </w:t>
      </w:r>
      <w:r w:rsidR="00BE70DE" w:rsidRPr="00BC07FE">
        <w:rPr>
          <w:rFonts w:cs="Times New Roman"/>
          <w:b/>
          <w:color w:val="000000" w:themeColor="text1"/>
          <w:sz w:val="20"/>
          <w:szCs w:val="20"/>
        </w:rPr>
        <w:t>Duodenum</w:t>
      </w:r>
    </w:p>
    <w:p w14:paraId="01E05548" w14:textId="624F13A8" w:rsidR="002B7F54" w:rsidRPr="00BC07FE" w:rsidRDefault="002B7F54" w:rsidP="00BC07FE">
      <w:pPr>
        <w:spacing w:after="100" w:afterAutospacing="1" w:line="240" w:lineRule="auto"/>
        <w:ind w:firstLineChars="0" w:firstLine="0"/>
        <w:rPr>
          <w:rFonts w:cs="Times New Roman"/>
          <w:b/>
          <w:bCs/>
          <w:color w:val="000000" w:themeColor="text1"/>
          <w:sz w:val="20"/>
          <w:szCs w:val="20"/>
        </w:rPr>
      </w:pPr>
      <w:r w:rsidRPr="00BC07FE">
        <w:rPr>
          <w:rFonts w:cs="Times New Roman"/>
          <w:b/>
          <w:bCs/>
          <w:noProof/>
          <w:color w:val="000000" w:themeColor="text1"/>
          <w:sz w:val="20"/>
          <w:szCs w:val="20"/>
        </w:rPr>
        <w:drawing>
          <wp:inline distT="0" distB="0" distL="0" distR="0" wp14:anchorId="0EB2113D" wp14:editId="38FDF8AA">
            <wp:extent cx="5274310" cy="2823845"/>
            <wp:effectExtent l="0" t="0" r="0" b="0"/>
            <wp:docPr id="601522378" name="图片 3"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522378" name="图片 3" descr="图片包含 图形用户界面&#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823845"/>
                    </a:xfrm>
                    <a:prstGeom prst="rect">
                      <a:avLst/>
                    </a:prstGeom>
                  </pic:spPr>
                </pic:pic>
              </a:graphicData>
            </a:graphic>
          </wp:inline>
        </w:drawing>
      </w:r>
    </w:p>
    <w:p w14:paraId="45DD2468" w14:textId="026F7D6D" w:rsidR="003F4C1C" w:rsidRPr="00BC07FE" w:rsidRDefault="003F4C1C" w:rsidP="00BC07FE">
      <w:pPr>
        <w:spacing w:after="100" w:afterAutospacing="1" w:line="240" w:lineRule="auto"/>
        <w:ind w:firstLineChars="0" w:firstLine="0"/>
        <w:rPr>
          <w:rFonts w:cs="Times New Roman"/>
          <w:b/>
          <w:color w:val="000000" w:themeColor="text1"/>
          <w:sz w:val="20"/>
          <w:szCs w:val="20"/>
        </w:rPr>
      </w:pPr>
      <w:r w:rsidRPr="00BC07FE">
        <w:rPr>
          <w:rFonts w:cs="Times New Roman"/>
          <w:b/>
          <w:bCs/>
          <w:color w:val="000000" w:themeColor="text1"/>
          <w:sz w:val="20"/>
          <w:szCs w:val="20"/>
        </w:rPr>
        <w:t xml:space="preserve">Fig. S2. </w:t>
      </w:r>
      <w:r w:rsidRPr="00BC07FE">
        <w:rPr>
          <w:rFonts w:cs="Times New Roman"/>
          <w:b/>
          <w:color w:val="000000" w:themeColor="text1"/>
          <w:sz w:val="20"/>
          <w:szCs w:val="20"/>
        </w:rPr>
        <w:t xml:space="preserve">The relative abundance of Bacteria from Phylum(A) and Genus(B) in the </w:t>
      </w:r>
      <w:r w:rsidR="00BE70DE" w:rsidRPr="00BC07FE">
        <w:rPr>
          <w:rFonts w:cs="Times New Roman"/>
          <w:color w:val="000000" w:themeColor="text1"/>
          <w:sz w:val="20"/>
          <w:szCs w:val="20"/>
          <w:shd w:val="clear" w:color="auto" w:fill="FFFFFF"/>
        </w:rPr>
        <w:t>jejunum</w:t>
      </w:r>
    </w:p>
    <w:p w14:paraId="078A6277" w14:textId="17AD1318" w:rsidR="002B7F54" w:rsidRPr="00BC07FE" w:rsidRDefault="00BE70DE" w:rsidP="00BC07FE">
      <w:pPr>
        <w:spacing w:after="100" w:afterAutospacing="1" w:line="240" w:lineRule="auto"/>
        <w:ind w:firstLineChars="0" w:firstLine="0"/>
        <w:rPr>
          <w:rFonts w:cs="Times New Roman"/>
          <w:b/>
          <w:color w:val="000000" w:themeColor="text1"/>
          <w:sz w:val="20"/>
          <w:szCs w:val="20"/>
        </w:rPr>
      </w:pPr>
      <w:r w:rsidRPr="00BC07FE">
        <w:rPr>
          <w:rFonts w:cs="Times New Roman"/>
          <w:b/>
          <w:noProof/>
          <w:color w:val="000000" w:themeColor="text1"/>
          <w:sz w:val="20"/>
          <w:szCs w:val="20"/>
        </w:rPr>
        <w:lastRenderedPageBreak/>
        <w:drawing>
          <wp:inline distT="0" distB="0" distL="0" distR="0" wp14:anchorId="65C24D31" wp14:editId="01BD2590">
            <wp:extent cx="5274310" cy="2446655"/>
            <wp:effectExtent l="0" t="0" r="0" b="4445"/>
            <wp:docPr id="17078143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14343" name="图片 170781434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446655"/>
                    </a:xfrm>
                    <a:prstGeom prst="rect">
                      <a:avLst/>
                    </a:prstGeom>
                  </pic:spPr>
                </pic:pic>
              </a:graphicData>
            </a:graphic>
          </wp:inline>
        </w:drawing>
      </w:r>
    </w:p>
    <w:p w14:paraId="23C8BC86" w14:textId="6CB3F45F" w:rsidR="002B7F54" w:rsidRPr="00BC07FE" w:rsidRDefault="002B7F54" w:rsidP="00BC07FE">
      <w:pPr>
        <w:spacing w:after="100" w:afterAutospacing="1" w:line="240" w:lineRule="auto"/>
        <w:ind w:firstLineChars="0" w:firstLine="0"/>
        <w:rPr>
          <w:rFonts w:cs="Times New Roman"/>
          <w:b/>
          <w:color w:val="000000" w:themeColor="text1"/>
          <w:sz w:val="20"/>
          <w:szCs w:val="20"/>
        </w:rPr>
      </w:pPr>
      <w:r w:rsidRPr="00BC07FE">
        <w:rPr>
          <w:rFonts w:cs="Times New Roman"/>
          <w:b/>
          <w:bCs/>
          <w:color w:val="000000" w:themeColor="text1"/>
          <w:sz w:val="20"/>
          <w:szCs w:val="20"/>
        </w:rPr>
        <w:t>Fig. S</w:t>
      </w:r>
      <w:r w:rsidR="00BE70DE" w:rsidRPr="00BC07FE">
        <w:rPr>
          <w:rFonts w:cs="Times New Roman"/>
          <w:b/>
          <w:bCs/>
          <w:color w:val="000000" w:themeColor="text1"/>
          <w:sz w:val="20"/>
          <w:szCs w:val="20"/>
        </w:rPr>
        <w:t>3</w:t>
      </w:r>
      <w:r w:rsidRPr="00BC07FE">
        <w:rPr>
          <w:rFonts w:cs="Times New Roman"/>
          <w:b/>
          <w:bCs/>
          <w:color w:val="000000" w:themeColor="text1"/>
          <w:sz w:val="20"/>
          <w:szCs w:val="20"/>
        </w:rPr>
        <w:t xml:space="preserve">. </w:t>
      </w:r>
      <w:r w:rsidRPr="00BC07FE">
        <w:rPr>
          <w:rFonts w:cs="Times New Roman"/>
          <w:b/>
          <w:color w:val="000000" w:themeColor="text1"/>
          <w:sz w:val="20"/>
          <w:szCs w:val="20"/>
        </w:rPr>
        <w:t xml:space="preserve">The relative abundance of Bacteria from Phylum(A) and Genus(B) in the </w:t>
      </w:r>
      <w:r w:rsidR="00BE70DE" w:rsidRPr="00BC07FE">
        <w:rPr>
          <w:rFonts w:cs="Times New Roman"/>
          <w:color w:val="000000" w:themeColor="text1"/>
          <w:sz w:val="20"/>
          <w:szCs w:val="20"/>
          <w:shd w:val="clear" w:color="auto" w:fill="FFFFFF"/>
        </w:rPr>
        <w:t>ileum</w:t>
      </w:r>
    </w:p>
    <w:p w14:paraId="2B8FFDE2" w14:textId="574BA0EA" w:rsidR="002B7F54" w:rsidRPr="00BC07FE" w:rsidRDefault="002B7F54" w:rsidP="00BC07FE">
      <w:pPr>
        <w:spacing w:after="100" w:afterAutospacing="1" w:line="240" w:lineRule="auto"/>
        <w:ind w:firstLineChars="0" w:firstLine="0"/>
        <w:rPr>
          <w:rFonts w:cs="Times New Roman"/>
          <w:b/>
          <w:bCs/>
          <w:color w:val="000000" w:themeColor="text1"/>
          <w:sz w:val="20"/>
          <w:szCs w:val="20"/>
        </w:rPr>
      </w:pPr>
      <w:r w:rsidRPr="00BC07FE">
        <w:rPr>
          <w:rFonts w:cs="Times New Roman"/>
          <w:b/>
          <w:bCs/>
          <w:noProof/>
          <w:color w:val="000000" w:themeColor="text1"/>
          <w:sz w:val="20"/>
          <w:szCs w:val="20"/>
        </w:rPr>
        <w:drawing>
          <wp:inline distT="0" distB="0" distL="0" distR="0" wp14:anchorId="0B69126B" wp14:editId="71887120">
            <wp:extent cx="5274310" cy="5495925"/>
            <wp:effectExtent l="0" t="0" r="0" b="3175"/>
            <wp:docPr id="13038067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806784" name="图片 130380678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495925"/>
                    </a:xfrm>
                    <a:prstGeom prst="rect">
                      <a:avLst/>
                    </a:prstGeom>
                  </pic:spPr>
                </pic:pic>
              </a:graphicData>
            </a:graphic>
          </wp:inline>
        </w:drawing>
      </w:r>
    </w:p>
    <w:p w14:paraId="22E27DEA" w14:textId="43B262C4" w:rsidR="002B7F54" w:rsidRPr="00BC07FE" w:rsidRDefault="002B7F54" w:rsidP="00BC07FE">
      <w:pPr>
        <w:spacing w:after="100" w:afterAutospacing="1" w:line="240" w:lineRule="auto"/>
        <w:ind w:firstLineChars="0" w:firstLine="0"/>
        <w:rPr>
          <w:rFonts w:cs="Times New Roman"/>
          <w:b/>
          <w:bCs/>
          <w:color w:val="000000" w:themeColor="text1"/>
          <w:sz w:val="20"/>
          <w:szCs w:val="20"/>
        </w:rPr>
      </w:pPr>
      <w:r w:rsidRPr="00BC07FE">
        <w:rPr>
          <w:rFonts w:cs="Times New Roman"/>
          <w:b/>
          <w:bCs/>
          <w:color w:val="000000" w:themeColor="text1"/>
          <w:sz w:val="20"/>
          <w:szCs w:val="20"/>
        </w:rPr>
        <w:lastRenderedPageBreak/>
        <w:t>Fig. S</w:t>
      </w:r>
      <w:r w:rsidR="00BE70DE" w:rsidRPr="00BC07FE">
        <w:rPr>
          <w:rFonts w:cs="Times New Roman"/>
          <w:b/>
          <w:bCs/>
          <w:color w:val="000000" w:themeColor="text1"/>
          <w:sz w:val="20"/>
          <w:szCs w:val="20"/>
        </w:rPr>
        <w:t>4</w:t>
      </w:r>
      <w:r w:rsidRPr="00BC07FE">
        <w:rPr>
          <w:rFonts w:cs="Times New Roman"/>
          <w:b/>
          <w:bCs/>
          <w:color w:val="000000" w:themeColor="text1"/>
          <w:sz w:val="20"/>
          <w:szCs w:val="20"/>
        </w:rPr>
        <w:t xml:space="preserve">. </w:t>
      </w:r>
      <w:r w:rsidR="00BE70DE" w:rsidRPr="00BC07FE">
        <w:rPr>
          <w:rFonts w:cs="Times New Roman"/>
          <w:b/>
          <w:bCs/>
          <w:color w:val="000000" w:themeColor="text1"/>
          <w:sz w:val="20"/>
          <w:szCs w:val="20"/>
        </w:rPr>
        <w:t>Linear Discriminant Analysis Effect Size Analysis. Significantly discriminative taxa (Biomarkers) between the control and model groups of mice were displayed by LDA value distribution histogram in Duodenum(A)</w:t>
      </w:r>
      <w:r w:rsidR="00BE70DE" w:rsidRPr="00BC07FE">
        <w:rPr>
          <w:rFonts w:cs="Times New Roman"/>
          <w:b/>
          <w:bCs/>
          <w:color w:val="000000" w:themeColor="text1"/>
          <w:sz w:val="20"/>
          <w:szCs w:val="20"/>
          <w:shd w:val="clear" w:color="auto" w:fill="FFFFFF"/>
        </w:rPr>
        <w:t>, jejunum</w:t>
      </w:r>
      <w:r w:rsidR="00BE70DE" w:rsidRPr="00BC07FE">
        <w:rPr>
          <w:rFonts w:cs="Times New Roman"/>
          <w:b/>
          <w:bCs/>
          <w:color w:val="000000" w:themeColor="text1"/>
          <w:sz w:val="20"/>
          <w:szCs w:val="20"/>
        </w:rPr>
        <w:t>(B)</w:t>
      </w:r>
      <w:r w:rsidR="00BE70DE" w:rsidRPr="00BC07FE">
        <w:rPr>
          <w:rFonts w:cs="Times New Roman"/>
          <w:b/>
          <w:bCs/>
          <w:color w:val="000000" w:themeColor="text1"/>
          <w:sz w:val="20"/>
          <w:szCs w:val="20"/>
          <w:shd w:val="clear" w:color="auto" w:fill="FFFFFF"/>
        </w:rPr>
        <w:t xml:space="preserve"> and ileum</w:t>
      </w:r>
      <w:r w:rsidR="00BE70DE" w:rsidRPr="00BC07FE">
        <w:rPr>
          <w:rFonts w:cs="Times New Roman"/>
          <w:b/>
          <w:bCs/>
          <w:color w:val="000000" w:themeColor="text1"/>
          <w:sz w:val="20"/>
          <w:szCs w:val="20"/>
        </w:rPr>
        <w:t xml:space="preserve">(C). Only taxa meeting the LDA significance thresholds (&gt;4) are shown. Different </w:t>
      </w:r>
      <w:proofErr w:type="spellStart"/>
      <w:r w:rsidR="00BE70DE" w:rsidRPr="00BC07FE">
        <w:rPr>
          <w:rFonts w:cs="Times New Roman"/>
          <w:b/>
          <w:bCs/>
          <w:color w:val="000000" w:themeColor="text1"/>
          <w:sz w:val="20"/>
          <w:szCs w:val="20"/>
        </w:rPr>
        <w:t>coloured</w:t>
      </w:r>
      <w:proofErr w:type="spellEnd"/>
      <w:r w:rsidR="00BE70DE" w:rsidRPr="00BC07FE">
        <w:rPr>
          <w:rFonts w:cs="Times New Roman"/>
          <w:b/>
          <w:bCs/>
          <w:color w:val="000000" w:themeColor="text1"/>
          <w:sz w:val="20"/>
          <w:szCs w:val="20"/>
        </w:rPr>
        <w:t xml:space="preserve"> bars and regions represent different groups.</w:t>
      </w:r>
    </w:p>
    <w:p w14:paraId="576E3755" w14:textId="55DEFDA4" w:rsidR="008F6A6A" w:rsidRPr="00BC07FE" w:rsidRDefault="008F6A6A" w:rsidP="00BC07FE">
      <w:pPr>
        <w:spacing w:after="100" w:afterAutospacing="1" w:line="240" w:lineRule="auto"/>
        <w:ind w:firstLineChars="0" w:firstLine="0"/>
        <w:rPr>
          <w:rFonts w:cs="Times New Roman"/>
          <w:b/>
          <w:bCs/>
          <w:color w:val="000000" w:themeColor="text1"/>
          <w:sz w:val="20"/>
          <w:szCs w:val="20"/>
        </w:rPr>
      </w:pPr>
      <w:r w:rsidRPr="00BC07FE">
        <w:rPr>
          <w:rFonts w:cs="Times New Roman"/>
          <w:b/>
          <w:noProof/>
          <w:color w:val="000000" w:themeColor="text1"/>
          <w:sz w:val="20"/>
          <w:szCs w:val="20"/>
        </w:rPr>
        <w:drawing>
          <wp:inline distT="0" distB="0" distL="0" distR="0" wp14:anchorId="66B55E95" wp14:editId="1B2C3988">
            <wp:extent cx="5274310" cy="6130290"/>
            <wp:effectExtent l="0" t="0" r="0" b="3810"/>
            <wp:docPr id="15549535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953567" name="图片 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130290"/>
                    </a:xfrm>
                    <a:prstGeom prst="rect">
                      <a:avLst/>
                    </a:prstGeom>
                  </pic:spPr>
                </pic:pic>
              </a:graphicData>
            </a:graphic>
          </wp:inline>
        </w:drawing>
      </w:r>
    </w:p>
    <w:p w14:paraId="38169E31" w14:textId="24B46F34" w:rsidR="008F6A6A" w:rsidRPr="00BC07FE" w:rsidRDefault="008F6A6A" w:rsidP="00BC07FE">
      <w:pPr>
        <w:spacing w:after="100" w:afterAutospacing="1" w:line="240" w:lineRule="auto"/>
        <w:ind w:firstLineChars="0" w:firstLine="0"/>
        <w:rPr>
          <w:rFonts w:cs="Times New Roman"/>
          <w:b/>
          <w:color w:val="000000" w:themeColor="text1"/>
          <w:sz w:val="20"/>
          <w:szCs w:val="20"/>
        </w:rPr>
      </w:pPr>
      <w:r w:rsidRPr="00BC07FE">
        <w:rPr>
          <w:rFonts w:cs="Times New Roman"/>
          <w:b/>
          <w:color w:val="000000" w:themeColor="text1"/>
          <w:sz w:val="20"/>
          <w:szCs w:val="20"/>
        </w:rPr>
        <w:t xml:space="preserve">Fig.S5 Linear Discriminant Analysis Effect Size Analysis. Significantly discriminative taxa (Biomarkers) between the control and model groups of mice were displayed by LDA value distribution histogram in appendix(A) and colon(B). Only taxa meeting the LDA significance thresholds (&gt;4) are shown. Different </w:t>
      </w:r>
      <w:proofErr w:type="spellStart"/>
      <w:r w:rsidRPr="00BC07FE">
        <w:rPr>
          <w:rFonts w:cs="Times New Roman"/>
          <w:b/>
          <w:color w:val="000000" w:themeColor="text1"/>
          <w:sz w:val="20"/>
          <w:szCs w:val="20"/>
        </w:rPr>
        <w:t>coloured</w:t>
      </w:r>
      <w:proofErr w:type="spellEnd"/>
      <w:r w:rsidRPr="00BC07FE">
        <w:rPr>
          <w:rFonts w:cs="Times New Roman"/>
          <w:b/>
          <w:color w:val="000000" w:themeColor="text1"/>
          <w:sz w:val="20"/>
          <w:szCs w:val="20"/>
        </w:rPr>
        <w:t xml:space="preserve"> bars and regions represent different groups.</w:t>
      </w:r>
    </w:p>
    <w:p w14:paraId="6659CE06" w14:textId="4795D1EC" w:rsidR="00CE0DC5" w:rsidRPr="00BC07FE" w:rsidRDefault="00CE0DC5" w:rsidP="00BC07FE">
      <w:pPr>
        <w:spacing w:line="240" w:lineRule="auto"/>
        <w:ind w:firstLineChars="0" w:firstLine="420"/>
        <w:rPr>
          <w:rFonts w:cs="Times New Roman"/>
          <w:bCs/>
          <w:color w:val="000000" w:themeColor="text1"/>
          <w:sz w:val="20"/>
          <w:szCs w:val="20"/>
        </w:rPr>
      </w:pPr>
      <w:r w:rsidRPr="00BC07FE">
        <w:rPr>
          <w:rFonts w:cs="Times New Roman"/>
          <w:bCs/>
          <w:color w:val="000000" w:themeColor="text1"/>
          <w:sz w:val="20"/>
          <w:szCs w:val="20"/>
        </w:rPr>
        <w:t xml:space="preserve">Next, the classification of specific taxonomy groups of duodenal microorganisms’ species </w:t>
      </w:r>
      <w:r w:rsidRPr="00BC07FE">
        <w:rPr>
          <w:rFonts w:cs="Times New Roman"/>
          <w:bCs/>
          <w:color w:val="000000" w:themeColor="text1"/>
          <w:sz w:val="20"/>
          <w:szCs w:val="20"/>
        </w:rPr>
        <w:lastRenderedPageBreak/>
        <w:t>(e.g., phylum, family, and genus) was conducted.</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Most of the ASVs were assigned to 18 phyla and 310 genera, and in subsequent analysis we classified a relative abundance of &lt;1% for “Others” (Fig. </w:t>
      </w:r>
      <w:r w:rsidR="00BE70DE" w:rsidRPr="00BC07FE">
        <w:rPr>
          <w:rFonts w:cs="Times New Roman"/>
          <w:bCs/>
          <w:color w:val="000000" w:themeColor="text1"/>
          <w:sz w:val="20"/>
          <w:szCs w:val="20"/>
        </w:rPr>
        <w:t xml:space="preserve">S1 </w:t>
      </w:r>
      <w:r w:rsidRPr="00BC07FE">
        <w:rPr>
          <w:rFonts w:cs="Times New Roman"/>
          <w:bCs/>
          <w:color w:val="000000" w:themeColor="text1"/>
          <w:sz w:val="20"/>
          <w:szCs w:val="20"/>
        </w:rPr>
        <w:t>A and B, phyla and genera with relative abundance ≥1%).</w:t>
      </w:r>
      <w:r w:rsidRPr="00BC07FE">
        <w:rPr>
          <w:rFonts w:cs="Times New Roman"/>
          <w:color w:val="000000" w:themeColor="text1"/>
          <w:sz w:val="20"/>
          <w:szCs w:val="20"/>
        </w:rPr>
        <w:t xml:space="preserve"> At the phylum level </w:t>
      </w:r>
      <w:r w:rsidRPr="00BC07FE">
        <w:rPr>
          <w:rFonts w:cs="Times New Roman"/>
          <w:bCs/>
          <w:color w:val="000000" w:themeColor="text1"/>
          <w:sz w:val="20"/>
          <w:szCs w:val="20"/>
        </w:rPr>
        <w:t xml:space="preserve">(Fig. </w:t>
      </w:r>
      <w:r w:rsidR="00BE70DE" w:rsidRPr="00BC07FE">
        <w:rPr>
          <w:rFonts w:cs="Times New Roman"/>
          <w:bCs/>
          <w:color w:val="000000" w:themeColor="text1"/>
          <w:sz w:val="20"/>
          <w:szCs w:val="20"/>
        </w:rPr>
        <w:t>S</w:t>
      </w:r>
      <w:r w:rsidR="00BD5A3A" w:rsidRPr="00BC07FE">
        <w:rPr>
          <w:rFonts w:cs="Times New Roman"/>
          <w:bCs/>
          <w:color w:val="000000" w:themeColor="text1"/>
          <w:sz w:val="20"/>
          <w:szCs w:val="20"/>
        </w:rPr>
        <w:t>1</w:t>
      </w:r>
      <w:r w:rsidRPr="00BC07FE">
        <w:rPr>
          <w:rFonts w:cs="Times New Roman"/>
          <w:bCs/>
          <w:color w:val="000000" w:themeColor="text1"/>
          <w:sz w:val="20"/>
          <w:szCs w:val="20"/>
        </w:rPr>
        <w:t>A)</w:t>
      </w:r>
      <w:r w:rsidRPr="00BC07FE">
        <w:rPr>
          <w:rFonts w:cs="Times New Roman"/>
          <w:color w:val="000000" w:themeColor="text1"/>
          <w:sz w:val="20"/>
          <w:szCs w:val="20"/>
        </w:rPr>
        <w:t xml:space="preserve">,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(48.89%, 11.72% to 83.58%),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(20.63%, 5.28% to 66.54%), and </w:t>
      </w:r>
      <w:proofErr w:type="spellStart"/>
      <w:r w:rsidRPr="00BC07FE">
        <w:rPr>
          <w:rFonts w:cs="Times New Roman"/>
          <w:bCs/>
          <w:i/>
          <w:iCs/>
          <w:color w:val="000000" w:themeColor="text1"/>
          <w:sz w:val="20"/>
          <w:szCs w:val="20"/>
        </w:rPr>
        <w:t>Bacteroidota</w:t>
      </w:r>
      <w:proofErr w:type="spellEnd"/>
      <w:r w:rsidRPr="00BC07FE">
        <w:rPr>
          <w:rFonts w:cs="Times New Roman"/>
          <w:bCs/>
          <w:color w:val="000000" w:themeColor="text1"/>
          <w:sz w:val="20"/>
          <w:szCs w:val="20"/>
        </w:rPr>
        <w:t xml:space="preserve"> (7.16%, 0.31% to 27.73%) were the three major phyla in </w:t>
      </w:r>
      <w:r w:rsidR="00BE70DE" w:rsidRPr="00BC07FE">
        <w:rPr>
          <w:rFonts w:cs="Times New Roman"/>
          <w:bCs/>
          <w:color w:val="000000" w:themeColor="text1"/>
          <w:sz w:val="20"/>
          <w:szCs w:val="20"/>
        </w:rPr>
        <w:t xml:space="preserve">control </w:t>
      </w:r>
      <w:r w:rsidRPr="00BC07FE">
        <w:rPr>
          <w:rFonts w:cs="Times New Roman"/>
          <w:bCs/>
          <w:color w:val="000000" w:themeColor="text1"/>
          <w:sz w:val="20"/>
          <w:szCs w:val="20"/>
        </w:rPr>
        <w:t>group duodenal (percentages in parentheses are expressed as “mean relative abundance”, “minimum relative abundance to maximum relative abundance”).</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Unlike the </w:t>
      </w:r>
      <w:r w:rsidR="00BE70DE" w:rsidRPr="00BC07FE">
        <w:rPr>
          <w:rFonts w:cs="Times New Roman"/>
          <w:bCs/>
          <w:color w:val="000000" w:themeColor="text1"/>
          <w:sz w:val="20"/>
          <w:szCs w:val="20"/>
        </w:rPr>
        <w:t>control</w:t>
      </w:r>
      <w:r w:rsidRPr="00BC07FE">
        <w:rPr>
          <w:rFonts w:cs="Times New Roman"/>
          <w:bCs/>
          <w:color w:val="000000" w:themeColor="text1"/>
          <w:sz w:val="20"/>
          <w:szCs w:val="20"/>
        </w:rPr>
        <w:t xml:space="preserve"> group, in the </w:t>
      </w:r>
      <w:r w:rsidR="00F56064" w:rsidRPr="00BC07FE">
        <w:rPr>
          <w:rFonts w:cs="Times New Roman"/>
          <w:bCs/>
          <w:color w:val="000000" w:themeColor="text1"/>
          <w:sz w:val="20"/>
          <w:szCs w:val="20"/>
        </w:rPr>
        <w:t>model</w:t>
      </w:r>
      <w:r w:rsidRPr="00BC07FE">
        <w:rPr>
          <w:rFonts w:cs="Times New Roman"/>
          <w:bCs/>
          <w:color w:val="000000" w:themeColor="text1"/>
          <w:sz w:val="20"/>
          <w:szCs w:val="20"/>
        </w:rPr>
        <w:t xml:space="preserve"> group rat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(11.05%, 0% to 42.14%) exhibited significant higher abundance, and the relative abundances of major phylum levels were lower than was that of the </w:t>
      </w:r>
      <w:r w:rsidR="00BE70DE" w:rsidRPr="00BC07FE">
        <w:rPr>
          <w:rFonts w:cs="Times New Roman"/>
          <w:bCs/>
          <w:color w:val="000000" w:themeColor="text1"/>
          <w:sz w:val="20"/>
          <w:szCs w:val="20"/>
        </w:rPr>
        <w:t>control</w:t>
      </w:r>
      <w:r w:rsidRPr="00BC07FE">
        <w:rPr>
          <w:rFonts w:cs="Times New Roman"/>
          <w:bCs/>
          <w:color w:val="000000" w:themeColor="text1"/>
          <w:sz w:val="20"/>
          <w:szCs w:val="20"/>
        </w:rPr>
        <w:t xml:space="preserve"> group, including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(48.20%, 9.91% to 96.44%) and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(14.91%, 2.17% to 45.16%) (Fig</w:t>
      </w:r>
      <w:bookmarkStart w:id="1" w:name="_Hlk126343049"/>
      <w:r w:rsidRPr="00BC07FE">
        <w:rPr>
          <w:rFonts w:cs="Times New Roman"/>
          <w:bCs/>
          <w:color w:val="000000" w:themeColor="text1"/>
          <w:sz w:val="20"/>
          <w:szCs w:val="20"/>
        </w:rPr>
        <w:t>.S</w:t>
      </w:r>
      <w:bookmarkEnd w:id="1"/>
      <w:r w:rsidR="00BD5A3A" w:rsidRPr="00BC07FE">
        <w:rPr>
          <w:rFonts w:cs="Times New Roman"/>
          <w:bCs/>
          <w:color w:val="000000" w:themeColor="text1"/>
          <w:sz w:val="20"/>
          <w:szCs w:val="20"/>
        </w:rPr>
        <w:t>1, Table.S1</w:t>
      </w:r>
      <w:r w:rsidRPr="00BC07FE">
        <w:rPr>
          <w:rFonts w:cs="Times New Roman"/>
          <w:bCs/>
          <w:color w:val="000000" w:themeColor="text1"/>
          <w:sz w:val="20"/>
          <w:szCs w:val="20"/>
        </w:rPr>
        <w:t>).</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Compared with group </w:t>
      </w:r>
      <w:r w:rsidR="00BE70DE" w:rsidRPr="00BC07FE">
        <w:rPr>
          <w:rFonts w:cs="Times New Roman"/>
          <w:bCs/>
          <w:color w:val="000000" w:themeColor="text1"/>
          <w:sz w:val="20"/>
          <w:szCs w:val="20"/>
        </w:rPr>
        <w:t>control</w:t>
      </w:r>
      <w:r w:rsidRPr="00BC07FE">
        <w:rPr>
          <w:rFonts w:cs="Times New Roman"/>
          <w:bCs/>
          <w:color w:val="000000" w:themeColor="text1"/>
          <w:sz w:val="20"/>
          <w:szCs w:val="20"/>
        </w:rPr>
        <w:t xml:space="preserve">, high uric acid feeding management induced an increase in the abundance of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w:t>
      </w:r>
      <w:r w:rsidRPr="00BC07FE">
        <w:rPr>
          <w:rFonts w:cs="Times New Roman"/>
          <w:bCs/>
          <w:i/>
          <w:iCs/>
          <w:color w:val="000000" w:themeColor="text1"/>
          <w:sz w:val="20"/>
          <w:szCs w:val="20"/>
        </w:rPr>
        <w:t xml:space="preserve">Proteobacteria </w:t>
      </w:r>
      <w:r w:rsidRPr="00BC07FE">
        <w:rPr>
          <w:rFonts w:cs="Times New Roman"/>
          <w:bCs/>
          <w:color w:val="000000" w:themeColor="text1"/>
          <w:sz w:val="20"/>
          <w:szCs w:val="20"/>
        </w:rPr>
        <w:t xml:space="preserve">(9.33%, 0.15% to 31.14%), </w:t>
      </w:r>
      <w:proofErr w:type="spellStart"/>
      <w:r w:rsidRPr="00BC07FE">
        <w:rPr>
          <w:rFonts w:cs="Times New Roman"/>
          <w:bCs/>
          <w:i/>
          <w:iCs/>
          <w:color w:val="000000" w:themeColor="text1"/>
          <w:sz w:val="20"/>
          <w:szCs w:val="20"/>
        </w:rPr>
        <w:t>Bacteroidota</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 xml:space="preserve">(8.70%, 0.15% to 19.83%), and </w:t>
      </w:r>
      <w:proofErr w:type="spellStart"/>
      <w:r w:rsidRPr="00BC07FE">
        <w:rPr>
          <w:rFonts w:cs="Times New Roman"/>
          <w:bCs/>
          <w:i/>
          <w:iCs/>
          <w:color w:val="000000" w:themeColor="text1"/>
          <w:sz w:val="20"/>
          <w:szCs w:val="20"/>
        </w:rPr>
        <w:t>Patescibacteria</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 xml:space="preserve">(5.47%, 0.62% to 19.21%), while the abundance of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Fusobacteriota</w:t>
      </w:r>
      <w:proofErr w:type="spellEnd"/>
      <w:r w:rsidRPr="00BC07FE">
        <w:rPr>
          <w:rFonts w:cs="Times New Roman"/>
          <w:bCs/>
          <w:color w:val="000000" w:themeColor="text1"/>
          <w:sz w:val="20"/>
          <w:szCs w:val="20"/>
        </w:rPr>
        <w:t xml:space="preserve">(1.78%, 0% to 9.84%), and </w:t>
      </w:r>
      <w:proofErr w:type="spellStart"/>
      <w:r w:rsidRPr="00BC07FE">
        <w:rPr>
          <w:rFonts w:cs="Times New Roman"/>
          <w:bCs/>
          <w:i/>
          <w:iCs/>
          <w:color w:val="000000" w:themeColor="text1"/>
          <w:sz w:val="20"/>
          <w:szCs w:val="20"/>
        </w:rPr>
        <w:t>Campilobacterota</w:t>
      </w:r>
      <w:proofErr w:type="spellEnd"/>
      <w:r w:rsidRPr="00BC07FE">
        <w:rPr>
          <w:rFonts w:cs="Times New Roman"/>
          <w:bCs/>
          <w:color w:val="000000" w:themeColor="text1"/>
          <w:sz w:val="20"/>
          <w:szCs w:val="20"/>
        </w:rPr>
        <w:t>(0.23%, 0% to 2.48%) decreased (</w:t>
      </w:r>
      <w:r w:rsidR="00616D18" w:rsidRPr="00BC07FE">
        <w:rPr>
          <w:rFonts w:cs="Times New Roman"/>
          <w:bCs/>
          <w:color w:val="000000" w:themeColor="text1"/>
          <w:sz w:val="20"/>
          <w:szCs w:val="20"/>
        </w:rPr>
        <w:t>Fig</w:t>
      </w:r>
      <w:r w:rsidR="00BD5A3A" w:rsidRPr="00BC07FE">
        <w:rPr>
          <w:rFonts w:cs="Times New Roman"/>
          <w:bCs/>
          <w:color w:val="000000" w:themeColor="text1"/>
          <w:sz w:val="20"/>
          <w:szCs w:val="20"/>
        </w:rPr>
        <w:t>.S1</w:t>
      </w:r>
      <w:r w:rsidR="00616D18" w:rsidRPr="00BC07FE">
        <w:rPr>
          <w:rFonts w:cs="Times New Roman"/>
          <w:bCs/>
          <w:color w:val="000000" w:themeColor="text1"/>
          <w:sz w:val="20"/>
          <w:szCs w:val="20"/>
        </w:rPr>
        <w:t>, Table.S1</w:t>
      </w:r>
      <w:r w:rsidRPr="00BC07FE">
        <w:rPr>
          <w:rFonts w:cs="Times New Roman"/>
          <w:bCs/>
          <w:color w:val="000000" w:themeColor="text1"/>
          <w:sz w:val="20"/>
          <w:szCs w:val="20"/>
        </w:rPr>
        <w:t>).</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At the genus level,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(14.28%,1.55% to 38.89%), </w:t>
      </w:r>
      <w:r w:rsidRPr="00BC07FE">
        <w:rPr>
          <w:rFonts w:cs="Times New Roman"/>
          <w:bCs/>
          <w:i/>
          <w:iCs/>
          <w:color w:val="000000" w:themeColor="text1"/>
          <w:sz w:val="20"/>
          <w:szCs w:val="20"/>
        </w:rPr>
        <w:t>Fusobacterium</w:t>
      </w:r>
      <w:r w:rsidRPr="00BC07FE">
        <w:rPr>
          <w:rFonts w:cs="Times New Roman"/>
          <w:bCs/>
          <w:color w:val="000000" w:themeColor="text1"/>
          <w:sz w:val="20"/>
          <w:szCs w:val="20"/>
        </w:rPr>
        <w:t xml:space="preserve">(5.82%, 0.15% to 16.89%) and </w:t>
      </w:r>
      <w:r w:rsidRPr="00BC07FE">
        <w:rPr>
          <w:rFonts w:cs="Times New Roman"/>
          <w:bCs/>
          <w:i/>
          <w:iCs/>
          <w:color w:val="000000" w:themeColor="text1"/>
          <w:sz w:val="20"/>
          <w:szCs w:val="20"/>
        </w:rPr>
        <w:t>Clostridia</w:t>
      </w:r>
      <w:r w:rsidRPr="00BC07FE">
        <w:rPr>
          <w:rFonts w:cs="Times New Roman"/>
          <w:bCs/>
          <w:color w:val="000000" w:themeColor="text1"/>
          <w:sz w:val="20"/>
          <w:szCs w:val="20"/>
        </w:rPr>
        <w:t xml:space="preserve">_UCG-014(3.99%, 0% to 23.93%) were the three major genera in </w:t>
      </w:r>
      <w:r w:rsidR="00BE70DE" w:rsidRPr="00BC07FE">
        <w:rPr>
          <w:rFonts w:cs="Times New Roman"/>
          <w:bCs/>
          <w:color w:val="000000" w:themeColor="text1"/>
          <w:sz w:val="20"/>
          <w:szCs w:val="20"/>
        </w:rPr>
        <w:t>control</w:t>
      </w:r>
      <w:r w:rsidRPr="00BC07FE">
        <w:rPr>
          <w:rFonts w:cs="Times New Roman"/>
          <w:bCs/>
          <w:color w:val="000000" w:themeColor="text1"/>
          <w:sz w:val="20"/>
          <w:szCs w:val="20"/>
        </w:rPr>
        <w:t xml:space="preserve"> group duodenal (</w:t>
      </w:r>
      <w:r w:rsidR="00616D18" w:rsidRPr="00BC07FE">
        <w:rPr>
          <w:rFonts w:cs="Times New Roman"/>
          <w:bCs/>
          <w:color w:val="000000" w:themeColor="text1"/>
          <w:sz w:val="20"/>
          <w:szCs w:val="20"/>
        </w:rPr>
        <w:t>Fig.</w:t>
      </w:r>
      <w:r w:rsidR="00BD5A3A" w:rsidRPr="00BC07FE">
        <w:rPr>
          <w:rFonts w:cs="Times New Roman"/>
          <w:bCs/>
          <w:color w:val="000000" w:themeColor="text1"/>
          <w:sz w:val="20"/>
          <w:szCs w:val="20"/>
        </w:rPr>
        <w:t>S1B</w:t>
      </w:r>
      <w:r w:rsidR="00616D18" w:rsidRPr="00BC07FE">
        <w:rPr>
          <w:rFonts w:cs="Times New Roman"/>
          <w:bCs/>
          <w:color w:val="000000" w:themeColor="text1"/>
          <w:sz w:val="20"/>
          <w:szCs w:val="20"/>
        </w:rPr>
        <w:t>, Table.S1</w:t>
      </w:r>
      <w:r w:rsidRPr="00BC07FE">
        <w:rPr>
          <w:rFonts w:cs="Times New Roman"/>
          <w:bCs/>
          <w:color w:val="000000" w:themeColor="text1"/>
          <w:sz w:val="20"/>
          <w:szCs w:val="20"/>
        </w:rPr>
        <w:t>).</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For </w:t>
      </w:r>
      <w:r w:rsidR="00616D18" w:rsidRPr="00BC07FE">
        <w:rPr>
          <w:rFonts w:cs="Times New Roman"/>
          <w:bCs/>
          <w:color w:val="000000" w:themeColor="text1"/>
          <w:sz w:val="20"/>
          <w:szCs w:val="20"/>
        </w:rPr>
        <w:t>model</w:t>
      </w:r>
      <w:r w:rsidRPr="00BC07FE">
        <w:rPr>
          <w:rFonts w:cs="Times New Roman"/>
          <w:bCs/>
          <w:color w:val="000000" w:themeColor="text1"/>
          <w:sz w:val="20"/>
          <w:szCs w:val="20"/>
        </w:rPr>
        <w:t xml:space="preserve"> group, the top three bacterial genera were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(16.55%, 2.71% to 40.67%), </w:t>
      </w:r>
      <w:r w:rsidRPr="00BC07FE">
        <w:rPr>
          <w:rFonts w:cs="Times New Roman"/>
          <w:bCs/>
          <w:i/>
          <w:iCs/>
          <w:color w:val="000000" w:themeColor="text1"/>
          <w:sz w:val="20"/>
          <w:szCs w:val="20"/>
        </w:rPr>
        <w:t>Chloroplast</w:t>
      </w:r>
      <w:r w:rsidRPr="00BC07FE">
        <w:rPr>
          <w:rFonts w:cs="Times New Roman"/>
          <w:bCs/>
          <w:color w:val="000000" w:themeColor="text1"/>
          <w:sz w:val="20"/>
          <w:szCs w:val="20"/>
        </w:rPr>
        <w:t xml:space="preserve"> (9.46%, 0% to 38.50%) and </w:t>
      </w:r>
      <w:r w:rsidRPr="00BC07FE">
        <w:rPr>
          <w:rFonts w:cs="Times New Roman"/>
          <w:bCs/>
          <w:i/>
          <w:iCs/>
          <w:color w:val="000000" w:themeColor="text1"/>
          <w:sz w:val="20"/>
          <w:szCs w:val="20"/>
        </w:rPr>
        <w:t>Mitochondria</w:t>
      </w:r>
      <w:r w:rsidRPr="00BC07FE">
        <w:rPr>
          <w:rFonts w:cs="Times New Roman"/>
          <w:bCs/>
          <w:color w:val="000000" w:themeColor="text1"/>
          <w:sz w:val="20"/>
          <w:szCs w:val="20"/>
        </w:rPr>
        <w:t xml:space="preserve"> (6.26%, 0% to 30.52%) (</w:t>
      </w:r>
      <w:r w:rsidR="00616D18" w:rsidRPr="00BC07FE">
        <w:rPr>
          <w:rFonts w:cs="Times New Roman"/>
          <w:bCs/>
          <w:color w:val="000000" w:themeColor="text1"/>
          <w:sz w:val="20"/>
          <w:szCs w:val="20"/>
        </w:rPr>
        <w:t>Fig.</w:t>
      </w:r>
      <w:r w:rsidR="00BD5A3A" w:rsidRPr="00BC07FE">
        <w:rPr>
          <w:rFonts w:cs="Times New Roman"/>
          <w:bCs/>
          <w:color w:val="000000" w:themeColor="text1"/>
          <w:sz w:val="20"/>
          <w:szCs w:val="20"/>
        </w:rPr>
        <w:t>S1</w:t>
      </w:r>
      <w:r w:rsidR="00616D18" w:rsidRPr="00BC07FE">
        <w:rPr>
          <w:rFonts w:cs="Times New Roman"/>
          <w:bCs/>
          <w:color w:val="000000" w:themeColor="text1"/>
          <w:sz w:val="20"/>
          <w:szCs w:val="20"/>
        </w:rPr>
        <w:t>, Table.S1</w:t>
      </w:r>
      <w:r w:rsidRPr="00BC07FE">
        <w:rPr>
          <w:rFonts w:cs="Times New Roman"/>
          <w:bCs/>
          <w:color w:val="000000" w:themeColor="text1"/>
          <w:sz w:val="20"/>
          <w:szCs w:val="20"/>
        </w:rPr>
        <w:t>).</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We noticed that the high uric acid diet caused significant changes in many bacterial genera compared to the duodenal flora of normal rats. In particular, the relative abundance of </w:t>
      </w:r>
      <w:r w:rsidRPr="00BC07FE">
        <w:rPr>
          <w:rFonts w:cs="Times New Roman"/>
          <w:bCs/>
          <w:i/>
          <w:iCs/>
          <w:color w:val="000000" w:themeColor="text1"/>
          <w:sz w:val="20"/>
          <w:szCs w:val="20"/>
        </w:rPr>
        <w:t>Chloroplast</w:t>
      </w:r>
      <w:r w:rsidRPr="00BC07FE">
        <w:rPr>
          <w:rFonts w:cs="Times New Roman"/>
          <w:bCs/>
          <w:color w:val="000000" w:themeColor="text1"/>
          <w:sz w:val="20"/>
          <w:szCs w:val="20"/>
        </w:rPr>
        <w:t xml:space="preserve"> and </w:t>
      </w:r>
      <w:r w:rsidRPr="00BC07FE">
        <w:rPr>
          <w:rFonts w:cs="Times New Roman"/>
          <w:bCs/>
          <w:i/>
          <w:iCs/>
          <w:color w:val="000000" w:themeColor="text1"/>
          <w:sz w:val="20"/>
          <w:szCs w:val="20"/>
        </w:rPr>
        <w:t>Mitochondria</w:t>
      </w:r>
      <w:r w:rsidRPr="00BC07FE">
        <w:rPr>
          <w:rFonts w:cs="Times New Roman"/>
          <w:bCs/>
          <w:color w:val="000000" w:themeColor="text1"/>
          <w:sz w:val="20"/>
          <w:szCs w:val="20"/>
        </w:rPr>
        <w:t xml:space="preserve"> increased significantly, while the relative abundance of </w:t>
      </w:r>
      <w:r w:rsidRPr="00BC07FE">
        <w:rPr>
          <w:rFonts w:cs="Times New Roman"/>
          <w:bCs/>
          <w:i/>
          <w:iCs/>
          <w:color w:val="000000" w:themeColor="text1"/>
          <w:sz w:val="20"/>
          <w:szCs w:val="20"/>
        </w:rPr>
        <w:t>Fusobacterium</w:t>
      </w:r>
      <w:r w:rsidRPr="00BC07FE">
        <w:rPr>
          <w:rFonts w:cs="Times New Roman"/>
          <w:bCs/>
          <w:color w:val="000000" w:themeColor="text1"/>
          <w:sz w:val="20"/>
          <w:szCs w:val="20"/>
        </w:rPr>
        <w:t xml:space="preserve"> (1.70%, 0% to 9.84%) and </w:t>
      </w:r>
      <w:r w:rsidRPr="00BC07FE">
        <w:rPr>
          <w:rFonts w:cs="Times New Roman"/>
          <w:bCs/>
          <w:i/>
          <w:iCs/>
          <w:color w:val="000000" w:themeColor="text1"/>
          <w:sz w:val="20"/>
          <w:szCs w:val="20"/>
        </w:rPr>
        <w:t>Helicobacter</w:t>
      </w:r>
      <w:r w:rsidRPr="00BC07FE">
        <w:rPr>
          <w:rFonts w:cs="Times New Roman"/>
          <w:bCs/>
          <w:color w:val="000000" w:themeColor="text1"/>
          <w:sz w:val="20"/>
          <w:szCs w:val="20"/>
        </w:rPr>
        <w:t xml:space="preserve"> (0.21%, 0% to 2.48%) decreased significantly (Fig.</w:t>
      </w:r>
      <w:r w:rsidR="00BD5A3A" w:rsidRPr="00BC07FE">
        <w:rPr>
          <w:rFonts w:cs="Times New Roman"/>
          <w:bCs/>
          <w:color w:val="000000" w:themeColor="text1"/>
          <w:sz w:val="20"/>
          <w:szCs w:val="20"/>
        </w:rPr>
        <w:t>S1</w:t>
      </w:r>
      <w:r w:rsidRPr="00BC07FE">
        <w:rPr>
          <w:rFonts w:cs="Times New Roman"/>
          <w:bCs/>
          <w:color w:val="000000" w:themeColor="text1"/>
          <w:sz w:val="20"/>
          <w:szCs w:val="20"/>
        </w:rPr>
        <w:t>B, Table.S2). In addition, in Fig.S</w:t>
      </w:r>
      <w:r w:rsidR="00BD5A3A" w:rsidRPr="00BC07FE">
        <w:rPr>
          <w:rFonts w:cs="Times New Roman"/>
          <w:bCs/>
          <w:color w:val="000000" w:themeColor="text1"/>
          <w:sz w:val="20"/>
          <w:szCs w:val="20"/>
        </w:rPr>
        <w:t>1</w:t>
      </w:r>
      <w:r w:rsidRPr="00BC07FE">
        <w:rPr>
          <w:rFonts w:cs="Times New Roman"/>
          <w:bCs/>
          <w:color w:val="000000" w:themeColor="text1"/>
          <w:sz w:val="20"/>
          <w:szCs w:val="20"/>
        </w:rPr>
        <w:t xml:space="preserve"> and Table.S3, we showed the changes in the composition and relative abundance of rat duodenal microorganisms after induction of a high uric acid model.</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Similarly, to fully explore the differences in the composition of the duodenum microorganisms between </w:t>
      </w:r>
      <w:r w:rsidR="00BE70DE" w:rsidRPr="00BC07FE">
        <w:rPr>
          <w:rFonts w:cs="Times New Roman"/>
          <w:bCs/>
          <w:color w:val="000000" w:themeColor="text1"/>
          <w:sz w:val="20"/>
          <w:szCs w:val="20"/>
        </w:rPr>
        <w:t>control</w:t>
      </w:r>
      <w:r w:rsidRPr="00BC07FE">
        <w:rPr>
          <w:rFonts w:cs="Times New Roman"/>
          <w:bCs/>
          <w:color w:val="000000" w:themeColor="text1"/>
          <w:sz w:val="20"/>
          <w:szCs w:val="20"/>
        </w:rPr>
        <w:t xml:space="preserve"> and </w:t>
      </w:r>
      <w:r w:rsidR="00BE70DE" w:rsidRPr="00BC07FE">
        <w:rPr>
          <w:rFonts w:cs="Times New Roman"/>
          <w:bCs/>
          <w:color w:val="000000" w:themeColor="text1"/>
          <w:sz w:val="20"/>
          <w:szCs w:val="20"/>
        </w:rPr>
        <w:t>model</w:t>
      </w:r>
      <w:r w:rsidRPr="00BC07FE">
        <w:rPr>
          <w:rFonts w:cs="Times New Roman"/>
          <w:bCs/>
          <w:color w:val="000000" w:themeColor="text1"/>
          <w:sz w:val="20"/>
          <w:szCs w:val="20"/>
        </w:rPr>
        <w:t xml:space="preserve"> group rats, it was also important to assess the specific taxonomic differences between the two groups. Pairwise comparisons between the two groups were performed using linear discriminant analysis effect size (</w:t>
      </w:r>
      <w:proofErr w:type="spellStart"/>
      <w:r w:rsidRPr="00BC07FE">
        <w:rPr>
          <w:rFonts w:cs="Times New Roman"/>
          <w:bCs/>
          <w:color w:val="000000" w:themeColor="text1"/>
          <w:sz w:val="20"/>
          <w:szCs w:val="20"/>
        </w:rPr>
        <w:t>LEfSe</w:t>
      </w:r>
      <w:proofErr w:type="spellEnd"/>
      <w:r w:rsidRPr="00BC07FE">
        <w:rPr>
          <w:rFonts w:cs="Times New Roman"/>
          <w:bCs/>
          <w:color w:val="000000" w:themeColor="text1"/>
          <w:sz w:val="20"/>
          <w:szCs w:val="20"/>
        </w:rPr>
        <w:t>). The characteristics of these comparisons are presented in Fig.</w:t>
      </w:r>
      <w:r w:rsidR="00616D18" w:rsidRPr="00BC07FE">
        <w:rPr>
          <w:rFonts w:cs="Times New Roman"/>
          <w:bCs/>
          <w:color w:val="000000" w:themeColor="text1"/>
          <w:sz w:val="20"/>
          <w:szCs w:val="20"/>
        </w:rPr>
        <w:t>S4A</w:t>
      </w:r>
      <w:r w:rsidRPr="00BC07FE">
        <w:rPr>
          <w:rFonts w:cs="Times New Roman"/>
          <w:bCs/>
          <w:color w:val="000000" w:themeColor="text1"/>
          <w:sz w:val="20"/>
          <w:szCs w:val="20"/>
        </w:rPr>
        <w:t>, where we indicate the differential flora with a linear discriminant analysis (LDA) value of &gt;2.</w:t>
      </w:r>
    </w:p>
    <w:p w14:paraId="3B730BF5" w14:textId="7D84AF7C" w:rsidR="00CE0DC5" w:rsidRPr="00BC07FE" w:rsidRDefault="00CE0DC5" w:rsidP="00BC07FE">
      <w:pPr>
        <w:spacing w:line="240" w:lineRule="auto"/>
        <w:ind w:firstLine="400"/>
        <w:rPr>
          <w:rFonts w:cs="Times New Roman"/>
          <w:bCs/>
          <w:color w:val="000000" w:themeColor="text1"/>
          <w:sz w:val="20"/>
          <w:szCs w:val="20"/>
        </w:rPr>
      </w:pPr>
      <w:r w:rsidRPr="00BC07FE">
        <w:rPr>
          <w:rFonts w:cs="Times New Roman"/>
          <w:bCs/>
          <w:color w:val="000000" w:themeColor="text1"/>
          <w:sz w:val="20"/>
          <w:szCs w:val="20"/>
        </w:rPr>
        <w:t>For the jejunum, the composition and abundance of microorganisms have different characteristics. A total of 99.72 % of the ASVs were classified into 14 phyla and 238 genera. Fig.</w:t>
      </w:r>
      <w:r w:rsidR="00616D18" w:rsidRPr="00BC07FE">
        <w:rPr>
          <w:rFonts w:cs="Times New Roman"/>
          <w:bCs/>
          <w:color w:val="000000" w:themeColor="text1"/>
          <w:sz w:val="20"/>
          <w:szCs w:val="20"/>
        </w:rPr>
        <w:t>S2A</w:t>
      </w:r>
      <w:r w:rsidRPr="00BC07FE">
        <w:rPr>
          <w:rFonts w:cs="Times New Roman"/>
          <w:bCs/>
          <w:color w:val="000000" w:themeColor="text1"/>
          <w:sz w:val="20"/>
          <w:szCs w:val="20"/>
        </w:rPr>
        <w:t xml:space="preserve"> and B shows 8 phyla and 26 genera with relative abundance greater than 1%. For normal rats,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(43.72%, 13.85% to 78.26%),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(23.07%, 3.39% to 73.32%) and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(8.18%, 0.15% to 48.34%) are the top three phyla (Fig.</w:t>
      </w:r>
      <w:r w:rsidR="00616D18" w:rsidRPr="00BC07FE">
        <w:rPr>
          <w:rFonts w:cs="Times New Roman"/>
          <w:bCs/>
          <w:color w:val="000000" w:themeColor="text1"/>
          <w:sz w:val="20"/>
          <w:szCs w:val="20"/>
        </w:rPr>
        <w:t>S2</w:t>
      </w:r>
      <w:r w:rsidRPr="00BC07FE">
        <w:rPr>
          <w:rFonts w:cs="Times New Roman"/>
          <w:bCs/>
          <w:color w:val="000000" w:themeColor="text1"/>
          <w:sz w:val="20"/>
          <w:szCs w:val="20"/>
        </w:rPr>
        <w:t xml:space="preserve">A, Table.S4). However, the main three phyla of jejunum in hyperuricemia group were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(44.78%, 13.56% to 95.43%),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(37.12%, 2.36% to 71.78%) and </w:t>
      </w:r>
      <w:proofErr w:type="spellStart"/>
      <w:r w:rsidRPr="00BC07FE">
        <w:rPr>
          <w:rFonts w:cs="Times New Roman"/>
          <w:bCs/>
          <w:i/>
          <w:iCs/>
          <w:color w:val="000000" w:themeColor="text1"/>
          <w:sz w:val="20"/>
          <w:szCs w:val="20"/>
        </w:rPr>
        <w:t>Patescibacteria</w:t>
      </w:r>
      <w:proofErr w:type="spellEnd"/>
      <w:r w:rsidRPr="00BC07FE">
        <w:rPr>
          <w:rFonts w:cs="Times New Roman"/>
          <w:bCs/>
          <w:color w:val="000000" w:themeColor="text1"/>
          <w:sz w:val="20"/>
          <w:szCs w:val="20"/>
        </w:rPr>
        <w:t xml:space="preserve"> (5.97%, 0.15% to 20.71%) (Fig.</w:t>
      </w:r>
      <w:r w:rsidR="00616D18" w:rsidRPr="00BC07FE">
        <w:rPr>
          <w:rFonts w:cs="Times New Roman"/>
          <w:bCs/>
          <w:color w:val="000000" w:themeColor="text1"/>
          <w:sz w:val="20"/>
          <w:szCs w:val="20"/>
        </w:rPr>
        <w:t>S1A</w:t>
      </w:r>
      <w:r w:rsidRPr="00BC07FE">
        <w:rPr>
          <w:rFonts w:cs="Times New Roman"/>
          <w:bCs/>
          <w:color w:val="000000" w:themeColor="text1"/>
          <w:sz w:val="20"/>
          <w:szCs w:val="20"/>
        </w:rPr>
        <w:t xml:space="preserve">, Table.S4). In rats fed with potassium </w:t>
      </w:r>
      <w:proofErr w:type="spellStart"/>
      <w:r w:rsidRPr="00BC07FE">
        <w:rPr>
          <w:rFonts w:cs="Times New Roman"/>
          <w:bCs/>
          <w:color w:val="000000" w:themeColor="text1"/>
          <w:sz w:val="20"/>
          <w:szCs w:val="20"/>
        </w:rPr>
        <w:t>oxonate</w:t>
      </w:r>
      <w:proofErr w:type="spellEnd"/>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was significantly increased and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Fusobacteriota</w:t>
      </w:r>
      <w:proofErr w:type="spellEnd"/>
      <w:r w:rsidRPr="00BC07FE">
        <w:rPr>
          <w:rFonts w:cs="Times New Roman"/>
          <w:bCs/>
          <w:color w:val="000000" w:themeColor="text1"/>
          <w:sz w:val="20"/>
          <w:szCs w:val="20"/>
        </w:rPr>
        <w:t xml:space="preserve"> (0.96%, 0% to 4.35%) and </w:t>
      </w:r>
      <w:proofErr w:type="spellStart"/>
      <w:r w:rsidRPr="00BC07FE">
        <w:rPr>
          <w:rFonts w:cs="Times New Roman"/>
          <w:bCs/>
          <w:i/>
          <w:iCs/>
          <w:color w:val="000000" w:themeColor="text1"/>
          <w:sz w:val="20"/>
          <w:szCs w:val="20"/>
        </w:rPr>
        <w:t>Campilobacterota</w:t>
      </w:r>
      <w:proofErr w:type="spellEnd"/>
      <w:r w:rsidRPr="00BC07FE">
        <w:rPr>
          <w:rFonts w:cs="Times New Roman"/>
          <w:bCs/>
          <w:color w:val="000000" w:themeColor="text1"/>
          <w:sz w:val="20"/>
          <w:szCs w:val="20"/>
        </w:rPr>
        <w:t xml:space="preserve"> (0.14%, 0% to 1.18%) were significantly decreased compared to normal rats (Fig.</w:t>
      </w:r>
      <w:r w:rsidR="00616D18" w:rsidRPr="00BC07FE">
        <w:rPr>
          <w:rFonts w:cs="Times New Roman"/>
          <w:bCs/>
          <w:color w:val="000000" w:themeColor="text1"/>
          <w:sz w:val="20"/>
          <w:szCs w:val="20"/>
        </w:rPr>
        <w:t>S2</w:t>
      </w:r>
      <w:r w:rsidRPr="00BC07FE">
        <w:rPr>
          <w:rFonts w:cs="Times New Roman"/>
          <w:bCs/>
          <w:color w:val="000000" w:themeColor="text1"/>
          <w:sz w:val="20"/>
          <w:szCs w:val="20"/>
        </w:rPr>
        <w:t>A, Table.S4).</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In addition, compared with the duodenum of rats in the high uric acid group, we noted that the relative abundance of </w:t>
      </w:r>
      <w:proofErr w:type="spellStart"/>
      <w:r w:rsidRPr="00BC07FE">
        <w:rPr>
          <w:rFonts w:cs="Times New Roman"/>
          <w:bCs/>
          <w:i/>
          <w:iCs/>
          <w:color w:val="000000" w:themeColor="text1"/>
          <w:sz w:val="20"/>
          <w:szCs w:val="20"/>
        </w:rPr>
        <w:t>Actinobacteriota</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 xml:space="preserve">increased significantly from 14.91 % to 37.14 %, while other such as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(from 48.20 % to 44.78 %),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(from 11.05 % to </w:t>
      </w:r>
      <w:r w:rsidRPr="00BC07FE">
        <w:rPr>
          <w:rFonts w:cs="Times New Roman"/>
          <w:bCs/>
          <w:color w:val="000000" w:themeColor="text1"/>
          <w:sz w:val="20"/>
          <w:szCs w:val="20"/>
        </w:rPr>
        <w:lastRenderedPageBreak/>
        <w:t xml:space="preserve">3.56 %), </w:t>
      </w:r>
      <w:proofErr w:type="spellStart"/>
      <w:r w:rsidRPr="00BC07FE">
        <w:rPr>
          <w:rFonts w:cs="Times New Roman"/>
          <w:bCs/>
          <w:i/>
          <w:iCs/>
          <w:color w:val="000000" w:themeColor="text1"/>
          <w:sz w:val="20"/>
          <w:szCs w:val="20"/>
        </w:rPr>
        <w:t>Bacteroidota</w:t>
      </w:r>
      <w:proofErr w:type="spellEnd"/>
      <w:r w:rsidRPr="00BC07FE">
        <w:rPr>
          <w:rFonts w:cs="Times New Roman"/>
          <w:bCs/>
          <w:color w:val="000000" w:themeColor="text1"/>
          <w:sz w:val="20"/>
          <w:szCs w:val="20"/>
        </w:rPr>
        <w:t xml:space="preserve"> (from 8.70 % to 4.88 %) and </w:t>
      </w:r>
      <w:r w:rsidRPr="00BC07FE">
        <w:rPr>
          <w:rFonts w:cs="Times New Roman"/>
          <w:bCs/>
          <w:i/>
          <w:iCs/>
          <w:color w:val="000000" w:themeColor="text1"/>
          <w:sz w:val="20"/>
          <w:szCs w:val="20"/>
        </w:rPr>
        <w:t>Proteobacteria</w:t>
      </w:r>
      <w:r w:rsidRPr="00BC07FE">
        <w:rPr>
          <w:rFonts w:cs="Times New Roman"/>
          <w:bCs/>
          <w:color w:val="000000" w:themeColor="text1"/>
          <w:sz w:val="20"/>
          <w:szCs w:val="20"/>
        </w:rPr>
        <w:t xml:space="preserve"> (from 9.33% to 2.09%) decreased significantly (Fig.</w:t>
      </w:r>
      <w:r w:rsidR="00616D18" w:rsidRPr="00BC07FE">
        <w:rPr>
          <w:rFonts w:cs="Times New Roman"/>
          <w:bCs/>
          <w:color w:val="000000" w:themeColor="text1"/>
          <w:sz w:val="20"/>
          <w:szCs w:val="20"/>
        </w:rPr>
        <w:t>S2A</w:t>
      </w:r>
      <w:r w:rsidRPr="00BC07FE">
        <w:rPr>
          <w:rFonts w:cs="Times New Roman"/>
          <w:bCs/>
          <w:color w:val="000000" w:themeColor="text1"/>
          <w:sz w:val="20"/>
          <w:szCs w:val="20"/>
        </w:rPr>
        <w:t xml:space="preserve">, Table.S4). At the genus level,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(11.9%, 1.84% to 48.12%), </w:t>
      </w:r>
      <w:proofErr w:type="spellStart"/>
      <w:r w:rsidRPr="00BC07FE">
        <w:rPr>
          <w:rFonts w:cs="Times New Roman"/>
          <w:bCs/>
          <w:i/>
          <w:iCs/>
          <w:color w:val="000000" w:themeColor="text1"/>
          <w:sz w:val="20"/>
          <w:szCs w:val="20"/>
        </w:rPr>
        <w:t>Rothia</w:t>
      </w:r>
      <w:proofErr w:type="spellEnd"/>
      <w:r w:rsidRPr="00BC07FE">
        <w:rPr>
          <w:rFonts w:cs="Times New Roman"/>
          <w:bCs/>
          <w:color w:val="000000" w:themeColor="text1"/>
          <w:sz w:val="20"/>
          <w:szCs w:val="20"/>
        </w:rPr>
        <w:t xml:space="preserve"> (9.91%, 0% to 55.93%) and </w:t>
      </w:r>
      <w:r w:rsidRPr="00BC07FE">
        <w:rPr>
          <w:rFonts w:cs="Times New Roman"/>
          <w:bCs/>
          <w:i/>
          <w:iCs/>
          <w:color w:val="000000" w:themeColor="text1"/>
          <w:sz w:val="20"/>
          <w:szCs w:val="20"/>
        </w:rPr>
        <w:t>Fusobacterium</w:t>
      </w:r>
      <w:r w:rsidRPr="00BC07FE">
        <w:rPr>
          <w:rFonts w:cs="Times New Roman"/>
          <w:bCs/>
          <w:color w:val="000000" w:themeColor="text1"/>
          <w:sz w:val="20"/>
          <w:szCs w:val="20"/>
        </w:rPr>
        <w:t xml:space="preserve"> (7.37%, 0% to 37.80%) were the top three genera in healthy rats (Fig.</w:t>
      </w:r>
      <w:r w:rsidR="00616D18" w:rsidRPr="00BC07FE">
        <w:rPr>
          <w:rFonts w:cs="Times New Roman"/>
          <w:bCs/>
          <w:color w:val="000000" w:themeColor="text1"/>
          <w:sz w:val="20"/>
          <w:szCs w:val="20"/>
        </w:rPr>
        <w:t>S2</w:t>
      </w:r>
      <w:r w:rsidRPr="00BC07FE">
        <w:rPr>
          <w:rFonts w:cs="Times New Roman"/>
          <w:bCs/>
          <w:color w:val="000000" w:themeColor="text1"/>
          <w:sz w:val="20"/>
          <w:szCs w:val="20"/>
        </w:rPr>
        <w:t xml:space="preserve">B, Table.S5). Notably, the relative abundance of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(15.01%, 0.07% to 53.28%) increased to 15.01% in the rat species of the high uric acid group, and it formed the top three genera with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(14.33%, 2.73% to 69.27%) and </w:t>
      </w:r>
      <w:proofErr w:type="spellStart"/>
      <w:r w:rsidRPr="00BC07FE">
        <w:rPr>
          <w:rFonts w:cs="Times New Roman"/>
          <w:bCs/>
          <w:i/>
          <w:iCs/>
          <w:color w:val="000000" w:themeColor="text1"/>
          <w:sz w:val="20"/>
          <w:szCs w:val="20"/>
        </w:rPr>
        <w:t>Rothia</w:t>
      </w:r>
      <w:proofErr w:type="spellEnd"/>
      <w:r w:rsidRPr="00BC07FE">
        <w:rPr>
          <w:rFonts w:cs="Times New Roman"/>
          <w:bCs/>
          <w:color w:val="000000" w:themeColor="text1"/>
          <w:sz w:val="20"/>
          <w:szCs w:val="20"/>
        </w:rPr>
        <w:t xml:space="preserve"> (10.16%, 0.07% to 65.26%) (Fig.</w:t>
      </w:r>
      <w:r w:rsidR="00616D18" w:rsidRPr="00BC07FE">
        <w:rPr>
          <w:rFonts w:cs="Times New Roman"/>
          <w:bCs/>
          <w:color w:val="000000" w:themeColor="text1"/>
          <w:sz w:val="20"/>
          <w:szCs w:val="20"/>
        </w:rPr>
        <w:t>S2</w:t>
      </w:r>
      <w:r w:rsidRPr="00BC07FE">
        <w:rPr>
          <w:rFonts w:cs="Times New Roman"/>
          <w:bCs/>
          <w:color w:val="000000" w:themeColor="text1"/>
          <w:sz w:val="20"/>
          <w:szCs w:val="20"/>
        </w:rPr>
        <w:t>B, Table.S5).</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Continuous forced gavage of potassium </w:t>
      </w:r>
      <w:proofErr w:type="spellStart"/>
      <w:r w:rsidRPr="00BC07FE">
        <w:rPr>
          <w:rFonts w:cs="Times New Roman"/>
          <w:bCs/>
          <w:color w:val="000000" w:themeColor="text1"/>
          <w:sz w:val="20"/>
          <w:szCs w:val="20"/>
        </w:rPr>
        <w:t>oxonate</w:t>
      </w:r>
      <w:proofErr w:type="spellEnd"/>
      <w:r w:rsidRPr="00BC07FE">
        <w:rPr>
          <w:rFonts w:cs="Times New Roman"/>
          <w:bCs/>
          <w:color w:val="000000" w:themeColor="text1"/>
          <w:sz w:val="20"/>
          <w:szCs w:val="20"/>
        </w:rPr>
        <w:t xml:space="preserve"> significantly increased the relative abundance of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Blautia</w:t>
      </w:r>
      <w:proofErr w:type="spellEnd"/>
      <w:r w:rsidRPr="00BC07FE">
        <w:rPr>
          <w:rFonts w:cs="Times New Roman"/>
          <w:bCs/>
          <w:color w:val="000000" w:themeColor="text1"/>
          <w:sz w:val="20"/>
          <w:szCs w:val="20"/>
        </w:rPr>
        <w:t xml:space="preserve"> (4.14%, 0.73% to 19.16%), </w:t>
      </w:r>
      <w:r w:rsidRPr="00BC07FE">
        <w:rPr>
          <w:rFonts w:cs="Times New Roman"/>
          <w:bCs/>
          <w:i/>
          <w:iCs/>
          <w:color w:val="000000" w:themeColor="text1"/>
          <w:sz w:val="20"/>
          <w:szCs w:val="20"/>
        </w:rPr>
        <w:t>Lactobacillus</w:t>
      </w:r>
      <w:r w:rsidRPr="00BC07FE">
        <w:rPr>
          <w:rFonts w:cs="Times New Roman"/>
          <w:bCs/>
          <w:color w:val="000000" w:themeColor="text1"/>
          <w:sz w:val="20"/>
          <w:szCs w:val="20"/>
        </w:rPr>
        <w:t xml:space="preserve"> (1.70%, 0.07% to 6.04%) in the hyperuricemia group, while </w:t>
      </w:r>
      <w:r w:rsidRPr="00BC07FE">
        <w:rPr>
          <w:rFonts w:cs="Times New Roman"/>
          <w:bCs/>
          <w:i/>
          <w:iCs/>
          <w:color w:val="000000" w:themeColor="text1"/>
          <w:sz w:val="20"/>
          <w:szCs w:val="20"/>
        </w:rPr>
        <w:t>Fusobacterium</w:t>
      </w:r>
      <w:r w:rsidRPr="00BC07FE">
        <w:rPr>
          <w:rFonts w:cs="Times New Roman"/>
          <w:bCs/>
          <w:color w:val="000000" w:themeColor="text1"/>
          <w:sz w:val="20"/>
          <w:szCs w:val="20"/>
        </w:rPr>
        <w:t xml:space="preserve"> (0.93%, 0% to 4.27%), </w:t>
      </w:r>
      <w:r w:rsidRPr="00BC07FE">
        <w:rPr>
          <w:rFonts w:cs="Times New Roman"/>
          <w:bCs/>
          <w:i/>
          <w:iCs/>
          <w:color w:val="000000" w:themeColor="text1"/>
          <w:sz w:val="20"/>
          <w:szCs w:val="20"/>
        </w:rPr>
        <w:t>Chloroplast</w:t>
      </w:r>
      <w:r w:rsidRPr="00BC07FE">
        <w:rPr>
          <w:rFonts w:cs="Times New Roman"/>
          <w:bCs/>
          <w:color w:val="000000" w:themeColor="text1"/>
          <w:sz w:val="20"/>
          <w:szCs w:val="20"/>
        </w:rPr>
        <w:t xml:space="preserve"> (1.38%, 0% to 8.92%), </w:t>
      </w:r>
      <w:proofErr w:type="spellStart"/>
      <w:r w:rsidRPr="00BC07FE">
        <w:rPr>
          <w:rFonts w:cs="Times New Roman"/>
          <w:bCs/>
          <w:i/>
          <w:iCs/>
          <w:color w:val="000000" w:themeColor="text1"/>
          <w:sz w:val="20"/>
          <w:szCs w:val="20"/>
        </w:rPr>
        <w:t>Erysipelotrichaceae</w:t>
      </w:r>
      <w:r w:rsidRPr="00BC07FE">
        <w:rPr>
          <w:rFonts w:cs="Times New Roman"/>
          <w:bCs/>
          <w:color w:val="000000" w:themeColor="text1"/>
          <w:sz w:val="20"/>
          <w:szCs w:val="20"/>
        </w:rPr>
        <w:t>_uncultured</w:t>
      </w:r>
      <w:proofErr w:type="spellEnd"/>
      <w:r w:rsidRPr="00BC07FE">
        <w:rPr>
          <w:rFonts w:cs="Times New Roman"/>
          <w:bCs/>
          <w:color w:val="000000" w:themeColor="text1"/>
          <w:sz w:val="20"/>
          <w:szCs w:val="20"/>
        </w:rPr>
        <w:t xml:space="preserve"> (0.56%, 0% to 2.06%) decreased significantly.</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Compared with the duodenum of the high uric acid group, the relative abundance of </w:t>
      </w:r>
      <w:proofErr w:type="spellStart"/>
      <w:r w:rsidRPr="00BC07FE">
        <w:rPr>
          <w:rFonts w:cs="Times New Roman"/>
          <w:bCs/>
          <w:i/>
          <w:iCs/>
          <w:color w:val="000000" w:themeColor="text1"/>
          <w:sz w:val="20"/>
          <w:szCs w:val="20"/>
        </w:rPr>
        <w:t>Rothia</w:t>
      </w:r>
      <w:proofErr w:type="spellEnd"/>
      <w:r w:rsidRPr="00BC07FE">
        <w:rPr>
          <w:rFonts w:cs="Times New Roman"/>
          <w:bCs/>
          <w:color w:val="000000" w:themeColor="text1"/>
          <w:sz w:val="20"/>
          <w:szCs w:val="20"/>
        </w:rPr>
        <w:t xml:space="preserve"> (from 2.63% to 10.16%),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(from 4.11% to 15.01%) and </w:t>
      </w:r>
      <w:r w:rsidRPr="00BC07FE">
        <w:rPr>
          <w:rFonts w:cs="Times New Roman"/>
          <w:bCs/>
          <w:i/>
          <w:iCs/>
          <w:color w:val="000000" w:themeColor="text1"/>
          <w:sz w:val="20"/>
          <w:szCs w:val="20"/>
        </w:rPr>
        <w:t>Lactobacillus</w:t>
      </w:r>
      <w:r w:rsidRPr="00BC07FE">
        <w:rPr>
          <w:rFonts w:cs="Times New Roman"/>
          <w:bCs/>
          <w:color w:val="000000" w:themeColor="text1"/>
          <w:sz w:val="20"/>
          <w:szCs w:val="20"/>
        </w:rPr>
        <w:t xml:space="preserve"> (from 0.85% to 1.70%) in the jejunum increased significantly, while </w:t>
      </w:r>
      <w:r w:rsidRPr="00BC07FE">
        <w:rPr>
          <w:rFonts w:cs="Times New Roman"/>
          <w:bCs/>
          <w:i/>
          <w:iCs/>
          <w:color w:val="000000" w:themeColor="text1"/>
          <w:sz w:val="20"/>
          <w:szCs w:val="20"/>
        </w:rPr>
        <w:t>Chloroplast</w:t>
      </w:r>
      <w:r w:rsidRPr="00BC07FE">
        <w:rPr>
          <w:rFonts w:cs="Times New Roman"/>
          <w:bCs/>
          <w:color w:val="000000" w:themeColor="text1"/>
          <w:sz w:val="20"/>
          <w:szCs w:val="20"/>
        </w:rPr>
        <w:t xml:space="preserve"> (from 9.46% to 1.38%), </w:t>
      </w:r>
      <w:proofErr w:type="spellStart"/>
      <w:r w:rsidRPr="00BC07FE">
        <w:rPr>
          <w:rFonts w:cs="Times New Roman"/>
          <w:bCs/>
          <w:i/>
          <w:iCs/>
          <w:color w:val="000000" w:themeColor="text1"/>
          <w:sz w:val="20"/>
          <w:szCs w:val="20"/>
        </w:rPr>
        <w:t>Muribaculaceae</w:t>
      </w:r>
      <w:proofErr w:type="spellEnd"/>
      <w:r w:rsidRPr="00BC07FE">
        <w:rPr>
          <w:rFonts w:cs="Times New Roman"/>
          <w:bCs/>
          <w:color w:val="000000" w:themeColor="text1"/>
          <w:sz w:val="20"/>
          <w:szCs w:val="20"/>
        </w:rPr>
        <w:t xml:space="preserve"> (from 4.87% to 1.31%), </w:t>
      </w:r>
      <w:r w:rsidRPr="00BC07FE">
        <w:rPr>
          <w:rFonts w:cs="Times New Roman"/>
          <w:bCs/>
          <w:i/>
          <w:iCs/>
          <w:color w:val="000000" w:themeColor="text1"/>
          <w:sz w:val="20"/>
          <w:szCs w:val="20"/>
        </w:rPr>
        <w:t>Mitochondria</w:t>
      </w:r>
      <w:r w:rsidRPr="00BC07FE">
        <w:rPr>
          <w:rFonts w:cs="Times New Roman"/>
          <w:bCs/>
          <w:color w:val="000000" w:themeColor="text1"/>
          <w:sz w:val="20"/>
          <w:szCs w:val="20"/>
        </w:rPr>
        <w:t xml:space="preserve"> (from 6.26% to 0.17%) and </w:t>
      </w:r>
      <w:r w:rsidRPr="00BC07FE">
        <w:rPr>
          <w:rFonts w:cs="Times New Roman"/>
          <w:bCs/>
          <w:i/>
          <w:iCs/>
          <w:color w:val="000000" w:themeColor="text1"/>
          <w:sz w:val="20"/>
          <w:szCs w:val="20"/>
        </w:rPr>
        <w:t>Lachnospiraceae</w:t>
      </w:r>
      <w:r w:rsidRPr="00BC07FE">
        <w:rPr>
          <w:rFonts w:cs="Times New Roman"/>
          <w:bCs/>
          <w:color w:val="000000" w:themeColor="text1"/>
          <w:sz w:val="20"/>
          <w:szCs w:val="20"/>
        </w:rPr>
        <w:t>_NK4A136_ group (from 4.61% to 1.70%) decreased significantly.</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Tables S4,5 and 6 show in detail the composition and changes of other jejunal microbiota after hyperuricemia induced by potassium </w:t>
      </w:r>
      <w:proofErr w:type="spellStart"/>
      <w:r w:rsidRPr="00BC07FE">
        <w:rPr>
          <w:rFonts w:cs="Times New Roman"/>
          <w:bCs/>
          <w:color w:val="000000" w:themeColor="text1"/>
          <w:sz w:val="20"/>
          <w:szCs w:val="20"/>
        </w:rPr>
        <w:t>oxonate</w:t>
      </w:r>
      <w:proofErr w:type="spellEnd"/>
      <w:r w:rsidRPr="00BC07FE">
        <w:rPr>
          <w:rFonts w:cs="Times New Roman"/>
          <w:bCs/>
          <w:color w:val="000000" w:themeColor="text1"/>
          <w:sz w:val="20"/>
          <w:szCs w:val="20"/>
        </w:rPr>
        <w:t>.</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Through </w:t>
      </w:r>
      <w:proofErr w:type="spellStart"/>
      <w:r w:rsidRPr="00BC07FE">
        <w:rPr>
          <w:rFonts w:cs="Times New Roman"/>
          <w:bCs/>
          <w:color w:val="000000" w:themeColor="text1"/>
          <w:sz w:val="20"/>
          <w:szCs w:val="20"/>
        </w:rPr>
        <w:t>LEfSe</w:t>
      </w:r>
      <w:proofErr w:type="spellEnd"/>
      <w:r w:rsidRPr="00BC07FE">
        <w:rPr>
          <w:rFonts w:cs="Times New Roman"/>
          <w:bCs/>
          <w:color w:val="000000" w:themeColor="text1"/>
          <w:sz w:val="20"/>
          <w:szCs w:val="20"/>
        </w:rPr>
        <w:t xml:space="preserve"> analysis, we found that the biomarkers of jejunum microbes in the high uric acid group were much more than those of the duodenal microbiota. The top three species in LDA score were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w:t>
      </w:r>
      <w:r w:rsidRPr="00BC07FE">
        <w:rPr>
          <w:rFonts w:cs="Times New Roman"/>
          <w:bCs/>
          <w:i/>
          <w:iCs/>
          <w:color w:val="000000" w:themeColor="text1"/>
          <w:sz w:val="20"/>
          <w:szCs w:val="20"/>
        </w:rPr>
        <w:t>Lactobacillus</w:t>
      </w:r>
      <w:r w:rsidRPr="00BC07FE">
        <w:rPr>
          <w:rFonts w:cs="Times New Roman"/>
          <w:bCs/>
          <w:color w:val="000000" w:themeColor="text1"/>
          <w:sz w:val="20"/>
          <w:szCs w:val="20"/>
        </w:rPr>
        <w:t xml:space="preserve"> and </w:t>
      </w:r>
      <w:proofErr w:type="spellStart"/>
      <w:r w:rsidRPr="00BC07FE">
        <w:rPr>
          <w:rFonts w:cs="Times New Roman"/>
          <w:bCs/>
          <w:i/>
          <w:iCs/>
          <w:color w:val="000000" w:themeColor="text1"/>
          <w:sz w:val="20"/>
          <w:szCs w:val="20"/>
        </w:rPr>
        <w:t>Eubacterium</w:t>
      </w:r>
      <w:r w:rsidRPr="00BC07FE">
        <w:rPr>
          <w:rFonts w:cs="Times New Roman"/>
          <w:bCs/>
          <w:color w:val="000000" w:themeColor="text1"/>
          <w:sz w:val="20"/>
          <w:szCs w:val="20"/>
        </w:rPr>
        <w:t>_nodatum_group</w:t>
      </w:r>
      <w:proofErr w:type="spellEnd"/>
      <w:r w:rsidRPr="00BC07FE">
        <w:rPr>
          <w:rFonts w:cs="Times New Roman"/>
          <w:bCs/>
          <w:color w:val="000000" w:themeColor="text1"/>
          <w:sz w:val="20"/>
          <w:szCs w:val="20"/>
        </w:rPr>
        <w:t>, indicating that they had a greater impact on the differences between groups (Fig.</w:t>
      </w:r>
      <w:r w:rsidR="00616D18" w:rsidRPr="00BC07FE">
        <w:rPr>
          <w:rFonts w:cs="Times New Roman"/>
          <w:bCs/>
          <w:color w:val="000000" w:themeColor="text1"/>
          <w:sz w:val="20"/>
          <w:szCs w:val="20"/>
        </w:rPr>
        <w:t>S4B</w:t>
      </w:r>
      <w:r w:rsidRPr="00BC07FE">
        <w:rPr>
          <w:rFonts w:cs="Times New Roman"/>
          <w:bCs/>
          <w:color w:val="000000" w:themeColor="text1"/>
          <w:sz w:val="20"/>
          <w:szCs w:val="20"/>
        </w:rPr>
        <w:t>).</w:t>
      </w:r>
    </w:p>
    <w:p w14:paraId="2DAC2441" w14:textId="77777777" w:rsidR="00CE0DC5" w:rsidRPr="00BC07FE" w:rsidRDefault="00CE0DC5" w:rsidP="00BC07FE">
      <w:pPr>
        <w:spacing w:line="240" w:lineRule="auto"/>
        <w:ind w:firstLineChars="0" w:firstLine="420"/>
        <w:rPr>
          <w:rFonts w:cs="Times New Roman"/>
          <w:bCs/>
          <w:color w:val="000000" w:themeColor="text1"/>
          <w:sz w:val="20"/>
          <w:szCs w:val="20"/>
        </w:rPr>
      </w:pPr>
      <w:r w:rsidRPr="00BC07FE">
        <w:rPr>
          <w:rFonts w:cs="Times New Roman"/>
          <w:bCs/>
          <w:color w:val="000000" w:themeColor="text1"/>
          <w:sz w:val="20"/>
          <w:szCs w:val="20"/>
        </w:rPr>
        <w:t xml:space="preserve">The changes of microflora in ileum of rats induced by hyperuricemia were obvious. 99.60 % of the detected ASVs were classified into 13 phyla and 227 genera, of which the relative abundance of 8 phyla and 19 genera was greater than 1%. For the ileum of normal rats,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(54.28%, 9.71% to 91.43%),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(30.64%, 5.39% to 63.75%) and </w:t>
      </w:r>
      <w:proofErr w:type="spellStart"/>
      <w:r w:rsidRPr="00BC07FE">
        <w:rPr>
          <w:rFonts w:cs="Times New Roman"/>
          <w:bCs/>
          <w:i/>
          <w:iCs/>
          <w:color w:val="000000" w:themeColor="text1"/>
          <w:sz w:val="20"/>
          <w:szCs w:val="20"/>
        </w:rPr>
        <w:t>Fusobacteriota</w:t>
      </w:r>
      <w:proofErr w:type="spellEnd"/>
      <w:r w:rsidRPr="00BC07FE">
        <w:rPr>
          <w:rFonts w:cs="Times New Roman"/>
          <w:bCs/>
          <w:color w:val="000000" w:themeColor="text1"/>
          <w:sz w:val="20"/>
          <w:szCs w:val="20"/>
        </w:rPr>
        <w:t xml:space="preserve"> (7.06%, 0.08% to 24.53%) were the three dominant bacteria. However, feeding potassium </w:t>
      </w:r>
      <w:proofErr w:type="spellStart"/>
      <w:r w:rsidRPr="00BC07FE">
        <w:rPr>
          <w:rFonts w:cs="Times New Roman"/>
          <w:bCs/>
          <w:color w:val="000000" w:themeColor="text1"/>
          <w:sz w:val="20"/>
          <w:szCs w:val="20"/>
        </w:rPr>
        <w:t>oxonate</w:t>
      </w:r>
      <w:proofErr w:type="spellEnd"/>
      <w:r w:rsidRPr="00BC07FE">
        <w:rPr>
          <w:rFonts w:cs="Times New Roman"/>
          <w:bCs/>
          <w:color w:val="000000" w:themeColor="text1"/>
          <w:sz w:val="20"/>
          <w:szCs w:val="20"/>
        </w:rPr>
        <w:t xml:space="preserve"> resulted in significant changes in these three bacteria in the high uric acid group,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(from 54.28% to 78.31%) increased significantly, and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(from 30.64% to 11.10%) and </w:t>
      </w:r>
      <w:proofErr w:type="spellStart"/>
      <w:r w:rsidRPr="00BC07FE">
        <w:rPr>
          <w:rFonts w:cs="Times New Roman"/>
          <w:bCs/>
          <w:i/>
          <w:iCs/>
          <w:color w:val="000000" w:themeColor="text1"/>
          <w:sz w:val="20"/>
          <w:szCs w:val="20"/>
        </w:rPr>
        <w:t>Fusobacteriota</w:t>
      </w:r>
      <w:proofErr w:type="spellEnd"/>
      <w:r w:rsidRPr="00BC07FE">
        <w:rPr>
          <w:rFonts w:cs="Times New Roman"/>
          <w:bCs/>
          <w:color w:val="000000" w:themeColor="text1"/>
          <w:sz w:val="20"/>
          <w:szCs w:val="20"/>
        </w:rPr>
        <w:t xml:space="preserve"> (from 7.06% to 0.63%) decreased significantly.</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This change changed the three dominant gates of the ileum in the hyperuricemia group into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(78.31%, 46.94% to 98.73%),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(11.10%, 0.37% to 38.61%) and </w:t>
      </w:r>
      <w:proofErr w:type="spellStart"/>
      <w:r w:rsidRPr="00BC07FE">
        <w:rPr>
          <w:rFonts w:cs="Times New Roman"/>
          <w:bCs/>
          <w:i/>
          <w:iCs/>
          <w:color w:val="000000" w:themeColor="text1"/>
          <w:sz w:val="20"/>
          <w:szCs w:val="20"/>
        </w:rPr>
        <w:t>Bacteroidota</w:t>
      </w:r>
      <w:proofErr w:type="spellEnd"/>
      <w:r w:rsidRPr="00BC07FE">
        <w:rPr>
          <w:rFonts w:cs="Times New Roman"/>
          <w:bCs/>
          <w:color w:val="000000" w:themeColor="text1"/>
          <w:sz w:val="20"/>
          <w:szCs w:val="20"/>
        </w:rPr>
        <w:t xml:space="preserve"> (4.05%, 0.08% to 19.76%).</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We noted that </w:t>
      </w:r>
      <w:proofErr w:type="spellStart"/>
      <w:r w:rsidRPr="00BC07FE">
        <w:rPr>
          <w:rFonts w:cs="Times New Roman"/>
          <w:bCs/>
          <w:i/>
          <w:iCs/>
          <w:color w:val="000000" w:themeColor="text1"/>
          <w:sz w:val="20"/>
          <w:szCs w:val="20"/>
        </w:rPr>
        <w:t>Bacteroidota</w:t>
      </w:r>
      <w:proofErr w:type="spellEnd"/>
      <w:r w:rsidRPr="00BC07FE">
        <w:rPr>
          <w:rFonts w:cs="Times New Roman"/>
          <w:bCs/>
          <w:color w:val="000000" w:themeColor="text1"/>
          <w:sz w:val="20"/>
          <w:szCs w:val="20"/>
        </w:rPr>
        <w:t xml:space="preserve"> increased from 1.76% to 4.05% and </w:t>
      </w:r>
      <w:proofErr w:type="spellStart"/>
      <w:r w:rsidRPr="00BC07FE">
        <w:rPr>
          <w:rFonts w:cs="Times New Roman"/>
          <w:bCs/>
          <w:i/>
          <w:iCs/>
          <w:color w:val="000000" w:themeColor="text1"/>
          <w:sz w:val="20"/>
          <w:szCs w:val="20"/>
        </w:rPr>
        <w:t>Campilobacterota</w:t>
      </w:r>
      <w:proofErr w:type="spellEnd"/>
      <w:r w:rsidRPr="00BC07FE">
        <w:rPr>
          <w:rFonts w:cs="Times New Roman"/>
          <w:bCs/>
          <w:color w:val="000000" w:themeColor="text1"/>
          <w:sz w:val="20"/>
          <w:szCs w:val="20"/>
        </w:rPr>
        <w:t xml:space="preserve"> decreased from 2.21% to 0.11% in the hyperuricemia group compared with the normal rats.</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Compared with the ileum and jejunum of the high uric acid group, we found that </w:t>
      </w:r>
      <w:r w:rsidRPr="00BC07FE">
        <w:rPr>
          <w:rFonts w:cs="Times New Roman"/>
          <w:bCs/>
          <w:i/>
          <w:iCs/>
          <w:color w:val="000000" w:themeColor="text1"/>
          <w:sz w:val="20"/>
          <w:szCs w:val="20"/>
        </w:rPr>
        <w:t>Firmicutes</w:t>
      </w:r>
      <w:r w:rsidRPr="00BC07FE">
        <w:rPr>
          <w:rFonts w:cs="Times New Roman"/>
          <w:bCs/>
          <w:color w:val="000000" w:themeColor="text1"/>
          <w:sz w:val="20"/>
          <w:szCs w:val="20"/>
        </w:rPr>
        <w:t xml:space="preserve"> increased from 44.78 % to 78.31 %, while </w:t>
      </w:r>
      <w:proofErr w:type="spellStart"/>
      <w:r w:rsidRPr="00BC07FE">
        <w:rPr>
          <w:rFonts w:cs="Times New Roman"/>
          <w:bCs/>
          <w:i/>
          <w:iCs/>
          <w:color w:val="000000" w:themeColor="text1"/>
          <w:sz w:val="20"/>
          <w:szCs w:val="20"/>
        </w:rPr>
        <w:t>Actinobacteriota</w:t>
      </w:r>
      <w:proofErr w:type="spellEnd"/>
      <w:r w:rsidRPr="00BC07FE">
        <w:rPr>
          <w:rFonts w:cs="Times New Roman"/>
          <w:bCs/>
          <w:color w:val="000000" w:themeColor="text1"/>
          <w:sz w:val="20"/>
          <w:szCs w:val="20"/>
        </w:rPr>
        <w:t xml:space="preserve"> (from 37.13 % to 11.10 %), </w:t>
      </w:r>
      <w:proofErr w:type="spellStart"/>
      <w:r w:rsidRPr="00BC07FE">
        <w:rPr>
          <w:rFonts w:cs="Times New Roman"/>
          <w:bCs/>
          <w:i/>
          <w:iCs/>
          <w:color w:val="000000" w:themeColor="text1"/>
          <w:sz w:val="20"/>
          <w:szCs w:val="20"/>
        </w:rPr>
        <w:t>Patescibacteria</w:t>
      </w:r>
      <w:proofErr w:type="spellEnd"/>
      <w:r w:rsidRPr="00BC07FE">
        <w:rPr>
          <w:rFonts w:cs="Times New Roman"/>
          <w:bCs/>
          <w:color w:val="000000" w:themeColor="text1"/>
          <w:sz w:val="20"/>
          <w:szCs w:val="20"/>
        </w:rPr>
        <w:t xml:space="preserve"> (from 5.97 % to 2.37 %) and </w:t>
      </w:r>
      <w:r w:rsidRPr="00BC07FE">
        <w:rPr>
          <w:rFonts w:cs="Times New Roman"/>
          <w:bCs/>
          <w:i/>
          <w:iCs/>
          <w:color w:val="000000" w:themeColor="text1"/>
          <w:sz w:val="20"/>
          <w:szCs w:val="20"/>
        </w:rPr>
        <w:t>Cyanobacteria</w:t>
      </w:r>
      <w:r w:rsidRPr="00BC07FE">
        <w:rPr>
          <w:rFonts w:cs="Times New Roman"/>
          <w:bCs/>
          <w:color w:val="000000" w:themeColor="text1"/>
          <w:sz w:val="20"/>
          <w:szCs w:val="20"/>
        </w:rPr>
        <w:t xml:space="preserve"> (from 3.56 % to 1.09 %) showed a decrease.</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At the genus level, the dominant genera of healthy rats were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(28.95%, 0% to 75.71%), </w:t>
      </w:r>
      <w:proofErr w:type="spellStart"/>
      <w:r w:rsidRPr="00BC07FE">
        <w:rPr>
          <w:rFonts w:cs="Times New Roman"/>
          <w:bCs/>
          <w:i/>
          <w:iCs/>
          <w:color w:val="000000" w:themeColor="text1"/>
          <w:sz w:val="20"/>
          <w:szCs w:val="20"/>
        </w:rPr>
        <w:t>Rothia</w:t>
      </w:r>
      <w:proofErr w:type="spellEnd"/>
      <w:r w:rsidRPr="00BC07FE">
        <w:rPr>
          <w:rFonts w:cs="Times New Roman"/>
          <w:bCs/>
          <w:color w:val="000000" w:themeColor="text1"/>
          <w:sz w:val="20"/>
          <w:szCs w:val="20"/>
        </w:rPr>
        <w:t xml:space="preserve"> (16.17%, 1.39% to 50.04%) and </w:t>
      </w:r>
      <w:r w:rsidRPr="00BC07FE">
        <w:rPr>
          <w:rFonts w:cs="Times New Roman"/>
          <w:bCs/>
          <w:i/>
          <w:iCs/>
          <w:color w:val="000000" w:themeColor="text1"/>
          <w:sz w:val="20"/>
          <w:szCs w:val="20"/>
        </w:rPr>
        <w:t>Fusobacterium</w:t>
      </w:r>
      <w:r w:rsidRPr="00BC07FE">
        <w:rPr>
          <w:rFonts w:cs="Times New Roman"/>
          <w:bCs/>
          <w:color w:val="000000" w:themeColor="text1"/>
          <w:sz w:val="20"/>
          <w:szCs w:val="20"/>
        </w:rPr>
        <w:t xml:space="preserve"> (7.06%, 0.08% to 24.53%). In contrast, the dominant bacteria in the hyperuricemia group were </w:t>
      </w:r>
      <w:proofErr w:type="spellStart"/>
      <w:r w:rsidRPr="00BC07FE">
        <w:rPr>
          <w:rFonts w:cs="Times New Roman"/>
          <w:bCs/>
          <w:i/>
          <w:iCs/>
          <w:color w:val="000000" w:themeColor="text1"/>
          <w:sz w:val="20"/>
          <w:szCs w:val="20"/>
        </w:rPr>
        <w:t>Peptostreptococcaceae</w:t>
      </w:r>
      <w:proofErr w:type="spellEnd"/>
      <w:r w:rsidRPr="00BC07FE">
        <w:rPr>
          <w:rFonts w:cs="Times New Roman"/>
          <w:bCs/>
          <w:color w:val="000000" w:themeColor="text1"/>
          <w:sz w:val="20"/>
          <w:szCs w:val="20"/>
        </w:rPr>
        <w:t xml:space="preserve"> _ unidentified (2.86%, 1.84% to 20.20%) and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(9.98%, 0% to 12.86%) in addition to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(50.39%, 6.65% to 94.08%). Potassium </w:t>
      </w:r>
      <w:proofErr w:type="spellStart"/>
      <w:r w:rsidRPr="00BC07FE">
        <w:rPr>
          <w:rFonts w:cs="Times New Roman"/>
          <w:bCs/>
          <w:color w:val="000000" w:themeColor="text1"/>
          <w:sz w:val="20"/>
          <w:szCs w:val="20"/>
        </w:rPr>
        <w:t>oxonate</w:t>
      </w:r>
      <w:proofErr w:type="spellEnd"/>
      <w:r w:rsidRPr="00BC07FE">
        <w:rPr>
          <w:rFonts w:cs="Times New Roman"/>
          <w:bCs/>
          <w:color w:val="000000" w:themeColor="text1"/>
          <w:sz w:val="20"/>
          <w:szCs w:val="20"/>
        </w:rPr>
        <w:t xml:space="preserve"> significantly increased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(from 28.93% to 50.39%), </w:t>
      </w:r>
      <w:proofErr w:type="spellStart"/>
      <w:r w:rsidRPr="00BC07FE">
        <w:rPr>
          <w:rFonts w:cs="Times New Roman"/>
          <w:bCs/>
          <w:i/>
          <w:iCs/>
          <w:color w:val="000000" w:themeColor="text1"/>
          <w:sz w:val="20"/>
          <w:szCs w:val="20"/>
        </w:rPr>
        <w:t>Peptostreptococcaceae</w:t>
      </w:r>
      <w:proofErr w:type="spellEnd"/>
      <w:r w:rsidRPr="00BC07FE">
        <w:rPr>
          <w:rFonts w:cs="Times New Roman"/>
          <w:bCs/>
          <w:color w:val="000000" w:themeColor="text1"/>
          <w:sz w:val="20"/>
          <w:szCs w:val="20"/>
        </w:rPr>
        <w:t xml:space="preserve"> _ unidentified (from 6.74% to 9.98%), </w:t>
      </w:r>
      <w:proofErr w:type="spellStart"/>
      <w:r w:rsidRPr="00BC07FE">
        <w:rPr>
          <w:rFonts w:cs="Times New Roman"/>
          <w:bCs/>
          <w:i/>
          <w:iCs/>
          <w:color w:val="000000" w:themeColor="text1"/>
          <w:sz w:val="20"/>
          <w:szCs w:val="20"/>
        </w:rPr>
        <w:t>Enteractinococcus</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 xml:space="preserve">(from 1.59% to 2.86%) and </w:t>
      </w:r>
      <w:proofErr w:type="spellStart"/>
      <w:r w:rsidRPr="00BC07FE">
        <w:rPr>
          <w:rFonts w:cs="Times New Roman"/>
          <w:bCs/>
          <w:i/>
          <w:iCs/>
          <w:color w:val="000000" w:themeColor="text1"/>
          <w:sz w:val="20"/>
          <w:szCs w:val="20"/>
        </w:rPr>
        <w:t>Candidatus</w:t>
      </w:r>
      <w:proofErr w:type="spellEnd"/>
      <w:r w:rsidRPr="00BC07FE">
        <w:rPr>
          <w:rFonts w:cs="Times New Roman"/>
          <w:bCs/>
          <w:color w:val="000000" w:themeColor="text1"/>
          <w:sz w:val="20"/>
          <w:szCs w:val="20"/>
        </w:rPr>
        <w:t xml:space="preserve"> _ </w:t>
      </w:r>
      <w:proofErr w:type="spellStart"/>
      <w:r w:rsidRPr="00BC07FE">
        <w:rPr>
          <w:rFonts w:cs="Times New Roman"/>
          <w:bCs/>
          <w:i/>
          <w:iCs/>
          <w:color w:val="000000" w:themeColor="text1"/>
          <w:sz w:val="20"/>
          <w:szCs w:val="20"/>
        </w:rPr>
        <w:t>Saccharimonas</w:t>
      </w:r>
      <w:proofErr w:type="spellEnd"/>
      <w:r w:rsidRPr="00BC07FE">
        <w:rPr>
          <w:rFonts w:cs="Times New Roman"/>
          <w:bCs/>
          <w:color w:val="000000" w:themeColor="text1"/>
          <w:sz w:val="20"/>
          <w:szCs w:val="20"/>
        </w:rPr>
        <w:t xml:space="preserve"> (from 1.27% to 2.36%) in the ileum of </w:t>
      </w:r>
      <w:proofErr w:type="spellStart"/>
      <w:r w:rsidRPr="00BC07FE">
        <w:rPr>
          <w:rFonts w:cs="Times New Roman"/>
          <w:bCs/>
          <w:color w:val="000000" w:themeColor="text1"/>
          <w:sz w:val="20"/>
          <w:szCs w:val="20"/>
        </w:rPr>
        <w:t>hyperuricemic</w:t>
      </w:r>
      <w:proofErr w:type="spellEnd"/>
      <w:r w:rsidRPr="00BC07FE">
        <w:rPr>
          <w:rFonts w:cs="Times New Roman"/>
          <w:bCs/>
          <w:color w:val="000000" w:themeColor="text1"/>
          <w:sz w:val="20"/>
          <w:szCs w:val="20"/>
        </w:rPr>
        <w:t xml:space="preserve"> rats. while </w:t>
      </w:r>
      <w:proofErr w:type="spellStart"/>
      <w:r w:rsidRPr="00BC07FE">
        <w:rPr>
          <w:rFonts w:cs="Times New Roman"/>
          <w:bCs/>
          <w:i/>
          <w:iCs/>
          <w:color w:val="000000" w:themeColor="text1"/>
          <w:sz w:val="20"/>
          <w:szCs w:val="20"/>
        </w:rPr>
        <w:t>Rothia</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(from 16.17% to 2.36%),</w:t>
      </w:r>
      <w:r w:rsidRPr="00BC07FE">
        <w:rPr>
          <w:rFonts w:cs="Times New Roman"/>
          <w:bCs/>
          <w:i/>
          <w:iCs/>
          <w:color w:val="000000" w:themeColor="text1"/>
          <w:sz w:val="20"/>
          <w:szCs w:val="20"/>
        </w:rPr>
        <w:t xml:space="preserve"> Fusobact</w:t>
      </w:r>
      <w:r w:rsidRPr="00BC07FE">
        <w:rPr>
          <w:rFonts w:cs="Times New Roman"/>
          <w:bCs/>
          <w:i/>
          <w:iCs/>
          <w:color w:val="000000" w:themeColor="text1"/>
          <w:sz w:val="20"/>
          <w:szCs w:val="20"/>
        </w:rPr>
        <w:lastRenderedPageBreak/>
        <w:t xml:space="preserve">erium </w:t>
      </w:r>
      <w:r w:rsidRPr="00BC07FE">
        <w:rPr>
          <w:rFonts w:cs="Times New Roman"/>
          <w:bCs/>
          <w:color w:val="000000" w:themeColor="text1"/>
          <w:sz w:val="20"/>
          <w:szCs w:val="20"/>
        </w:rPr>
        <w:t xml:space="preserve">(from 7.06% to 0.62%) and </w:t>
      </w:r>
      <w:r w:rsidRPr="00BC07FE">
        <w:rPr>
          <w:rFonts w:cs="Times New Roman"/>
          <w:bCs/>
          <w:i/>
          <w:iCs/>
          <w:color w:val="000000" w:themeColor="text1"/>
          <w:sz w:val="20"/>
          <w:szCs w:val="20"/>
        </w:rPr>
        <w:t>Corynebacterium</w:t>
      </w:r>
      <w:r w:rsidRPr="00BC07FE">
        <w:rPr>
          <w:rFonts w:cs="Times New Roman"/>
          <w:bCs/>
          <w:color w:val="000000" w:themeColor="text1"/>
          <w:sz w:val="20"/>
          <w:szCs w:val="20"/>
        </w:rPr>
        <w:t xml:space="preserve"> (from 5.63% to 2.28%) were significantly decreased.</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Compared with the jejunum, it can be clearly seen that the abundance of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(from 14.33% to 50.39%) and </w:t>
      </w:r>
      <w:proofErr w:type="spellStart"/>
      <w:r w:rsidRPr="00BC07FE">
        <w:rPr>
          <w:rFonts w:cs="Times New Roman"/>
          <w:bCs/>
          <w:i/>
          <w:iCs/>
          <w:color w:val="000000" w:themeColor="text1"/>
          <w:sz w:val="20"/>
          <w:szCs w:val="20"/>
        </w:rPr>
        <w:t>Peptostreptococcaceae</w:t>
      </w:r>
      <w:r w:rsidRPr="00BC07FE">
        <w:rPr>
          <w:rFonts w:cs="Times New Roman"/>
          <w:bCs/>
          <w:color w:val="000000" w:themeColor="text1"/>
          <w:sz w:val="20"/>
          <w:szCs w:val="20"/>
        </w:rPr>
        <w:t>_unidentified</w:t>
      </w:r>
      <w:proofErr w:type="spellEnd"/>
      <w:r w:rsidRPr="00BC07FE">
        <w:rPr>
          <w:rFonts w:cs="Times New Roman"/>
          <w:bCs/>
          <w:color w:val="000000" w:themeColor="text1"/>
          <w:sz w:val="20"/>
          <w:szCs w:val="20"/>
        </w:rPr>
        <w:t xml:space="preserve"> (from 3.81% to 9.98%) in the ileum of the high uric acid group increased. At the same time, the abundance of many genera also decreased, such as </w:t>
      </w:r>
      <w:proofErr w:type="spellStart"/>
      <w:r w:rsidRPr="00BC07FE">
        <w:rPr>
          <w:rFonts w:cs="Times New Roman"/>
          <w:bCs/>
          <w:i/>
          <w:iCs/>
          <w:color w:val="000000" w:themeColor="text1"/>
          <w:sz w:val="20"/>
          <w:szCs w:val="20"/>
        </w:rPr>
        <w:t>Enteractinococcus</w:t>
      </w:r>
      <w:proofErr w:type="spellEnd"/>
      <w:r w:rsidRPr="00BC07FE">
        <w:rPr>
          <w:rFonts w:cs="Times New Roman"/>
          <w:bCs/>
          <w:color w:val="000000" w:themeColor="text1"/>
          <w:sz w:val="20"/>
          <w:szCs w:val="20"/>
        </w:rPr>
        <w:t xml:space="preserve"> (from 15.02% to 2.86%), </w:t>
      </w:r>
      <w:proofErr w:type="spellStart"/>
      <w:r w:rsidRPr="00BC07FE">
        <w:rPr>
          <w:rFonts w:cs="Times New Roman"/>
          <w:bCs/>
          <w:i/>
          <w:iCs/>
          <w:color w:val="000000" w:themeColor="text1"/>
          <w:sz w:val="20"/>
          <w:szCs w:val="20"/>
        </w:rPr>
        <w:t>Rothia</w:t>
      </w:r>
      <w:proofErr w:type="spellEnd"/>
      <w:r w:rsidRPr="00BC07FE">
        <w:rPr>
          <w:rFonts w:cs="Times New Roman"/>
          <w:bCs/>
          <w:color w:val="000000" w:themeColor="text1"/>
          <w:sz w:val="20"/>
          <w:szCs w:val="20"/>
        </w:rPr>
        <w:t xml:space="preserve"> (from 10.16% to 2.36%), </w:t>
      </w:r>
      <w:proofErr w:type="spellStart"/>
      <w:r w:rsidRPr="00BC07FE">
        <w:rPr>
          <w:rFonts w:cs="Times New Roman"/>
          <w:bCs/>
          <w:i/>
          <w:iCs/>
          <w:color w:val="000000" w:themeColor="text1"/>
          <w:sz w:val="20"/>
          <w:szCs w:val="20"/>
        </w:rPr>
        <w:t>Candidatus</w:t>
      </w:r>
      <w:proofErr w:type="spellEnd"/>
      <w:r w:rsidRPr="00BC07FE">
        <w:rPr>
          <w:rFonts w:cs="Times New Roman"/>
          <w:bCs/>
          <w:color w:val="000000" w:themeColor="text1"/>
          <w:sz w:val="20"/>
          <w:szCs w:val="20"/>
        </w:rPr>
        <w:t xml:space="preserve"> _ </w:t>
      </w:r>
      <w:proofErr w:type="spellStart"/>
      <w:r w:rsidRPr="00BC07FE">
        <w:rPr>
          <w:rFonts w:cs="Times New Roman"/>
          <w:bCs/>
          <w:i/>
          <w:iCs/>
          <w:color w:val="000000" w:themeColor="text1"/>
          <w:sz w:val="20"/>
          <w:szCs w:val="20"/>
        </w:rPr>
        <w:t>Saccharimonas</w:t>
      </w:r>
      <w:proofErr w:type="spellEnd"/>
      <w:r w:rsidRPr="00BC07FE">
        <w:rPr>
          <w:rFonts w:cs="Times New Roman"/>
          <w:bCs/>
          <w:i/>
          <w:iCs/>
          <w:color w:val="000000" w:themeColor="text1"/>
          <w:sz w:val="20"/>
          <w:szCs w:val="20"/>
        </w:rPr>
        <w:t xml:space="preserve"> </w:t>
      </w:r>
      <w:r w:rsidRPr="00BC07FE">
        <w:rPr>
          <w:rFonts w:cs="Times New Roman"/>
          <w:bCs/>
          <w:color w:val="000000" w:themeColor="text1"/>
          <w:sz w:val="20"/>
          <w:szCs w:val="20"/>
        </w:rPr>
        <w:t xml:space="preserve">(from 3.59% to 2.36%), </w:t>
      </w:r>
      <w:proofErr w:type="spellStart"/>
      <w:r w:rsidRPr="00BC07FE">
        <w:rPr>
          <w:rFonts w:cs="Times New Roman"/>
          <w:bCs/>
          <w:i/>
          <w:iCs/>
          <w:color w:val="000000" w:themeColor="text1"/>
          <w:sz w:val="20"/>
          <w:szCs w:val="20"/>
        </w:rPr>
        <w:t>Blautia</w:t>
      </w:r>
      <w:proofErr w:type="spellEnd"/>
      <w:r w:rsidRPr="00BC07FE">
        <w:rPr>
          <w:rFonts w:cs="Times New Roman"/>
          <w:bCs/>
          <w:color w:val="000000" w:themeColor="text1"/>
          <w:sz w:val="20"/>
          <w:szCs w:val="20"/>
        </w:rPr>
        <w:t xml:space="preserve"> (from 4.14% to 1.98%) and </w:t>
      </w:r>
      <w:r w:rsidRPr="00BC07FE">
        <w:rPr>
          <w:rFonts w:cs="Times New Roman"/>
          <w:bCs/>
          <w:i/>
          <w:iCs/>
          <w:color w:val="000000" w:themeColor="text1"/>
          <w:sz w:val="20"/>
          <w:szCs w:val="20"/>
        </w:rPr>
        <w:t>Corynebacterium</w:t>
      </w:r>
      <w:r w:rsidRPr="00BC07FE">
        <w:rPr>
          <w:rFonts w:cs="Times New Roman"/>
          <w:bCs/>
          <w:color w:val="000000" w:themeColor="text1"/>
          <w:sz w:val="20"/>
          <w:szCs w:val="20"/>
        </w:rPr>
        <w:t xml:space="preserve"> (from 3.59% to 2.28%).</w:t>
      </w:r>
      <w:r w:rsidRPr="00BC07FE">
        <w:rPr>
          <w:rFonts w:cs="Times New Roman"/>
          <w:color w:val="000000" w:themeColor="text1"/>
          <w:sz w:val="20"/>
          <w:szCs w:val="20"/>
        </w:rPr>
        <w:t xml:space="preserve"> </w:t>
      </w:r>
      <w:r w:rsidRPr="00BC07FE">
        <w:rPr>
          <w:rFonts w:cs="Times New Roman"/>
          <w:bCs/>
          <w:color w:val="000000" w:themeColor="text1"/>
          <w:sz w:val="20"/>
          <w:szCs w:val="20"/>
        </w:rPr>
        <w:t xml:space="preserve">Among the ileal biomarkers, </w:t>
      </w:r>
      <w:proofErr w:type="spellStart"/>
      <w:r w:rsidRPr="00BC07FE">
        <w:rPr>
          <w:rFonts w:cs="Times New Roman"/>
          <w:bCs/>
          <w:i/>
          <w:iCs/>
          <w:color w:val="000000" w:themeColor="text1"/>
          <w:sz w:val="20"/>
          <w:szCs w:val="20"/>
        </w:rPr>
        <w:t>Romboutsia</w:t>
      </w:r>
      <w:proofErr w:type="spellEnd"/>
      <w:r w:rsidRPr="00BC07FE">
        <w:rPr>
          <w:rFonts w:cs="Times New Roman"/>
          <w:bCs/>
          <w:color w:val="000000" w:themeColor="text1"/>
          <w:sz w:val="20"/>
          <w:szCs w:val="20"/>
        </w:rPr>
        <w:t xml:space="preserve">, </w:t>
      </w:r>
      <w:proofErr w:type="spellStart"/>
      <w:r w:rsidRPr="00BC07FE">
        <w:rPr>
          <w:rFonts w:cs="Times New Roman"/>
          <w:bCs/>
          <w:i/>
          <w:iCs/>
          <w:color w:val="000000" w:themeColor="text1"/>
          <w:sz w:val="20"/>
          <w:szCs w:val="20"/>
        </w:rPr>
        <w:t>Rodentibacter</w:t>
      </w:r>
      <w:proofErr w:type="spellEnd"/>
      <w:r w:rsidRPr="00BC07FE">
        <w:rPr>
          <w:rFonts w:cs="Times New Roman"/>
          <w:bCs/>
          <w:color w:val="000000" w:themeColor="text1"/>
          <w:sz w:val="20"/>
          <w:szCs w:val="20"/>
        </w:rPr>
        <w:t xml:space="preserve"> and </w:t>
      </w:r>
      <w:proofErr w:type="spellStart"/>
      <w:r w:rsidRPr="00BC07FE">
        <w:rPr>
          <w:rFonts w:cs="Times New Roman"/>
          <w:bCs/>
          <w:i/>
          <w:iCs/>
          <w:color w:val="000000" w:themeColor="text1"/>
          <w:sz w:val="20"/>
          <w:szCs w:val="20"/>
        </w:rPr>
        <w:t>Ruminococcus</w:t>
      </w:r>
      <w:proofErr w:type="spellEnd"/>
      <w:r w:rsidRPr="00BC07FE">
        <w:rPr>
          <w:rFonts w:cs="Times New Roman"/>
          <w:bCs/>
          <w:color w:val="000000" w:themeColor="text1"/>
          <w:sz w:val="20"/>
          <w:szCs w:val="20"/>
        </w:rPr>
        <w:t xml:space="preserve"> _ </w:t>
      </w:r>
      <w:proofErr w:type="spellStart"/>
      <w:r w:rsidRPr="00BC07FE">
        <w:rPr>
          <w:rFonts w:cs="Times New Roman"/>
          <w:bCs/>
          <w:i/>
          <w:iCs/>
          <w:color w:val="000000" w:themeColor="text1"/>
          <w:sz w:val="20"/>
          <w:szCs w:val="20"/>
        </w:rPr>
        <w:t>gauvreauii</w:t>
      </w:r>
      <w:proofErr w:type="spellEnd"/>
      <w:r w:rsidRPr="00BC07FE">
        <w:rPr>
          <w:rFonts w:cs="Times New Roman"/>
          <w:bCs/>
          <w:color w:val="000000" w:themeColor="text1"/>
          <w:sz w:val="20"/>
          <w:szCs w:val="20"/>
        </w:rPr>
        <w:t xml:space="preserve"> _ group were the top three genera with great influence on the difference between groups.</w:t>
      </w:r>
      <w:r w:rsidRPr="00BC07FE">
        <w:rPr>
          <w:rFonts w:cs="Times New Roman"/>
          <w:bCs/>
          <w:color w:val="000000" w:themeColor="text1"/>
          <w:sz w:val="20"/>
          <w:szCs w:val="20"/>
        </w:rPr>
        <w:tab/>
      </w:r>
    </w:p>
    <w:p w14:paraId="6F41C688" w14:textId="77777777" w:rsidR="005A414A" w:rsidRPr="00BC07FE" w:rsidRDefault="005A414A" w:rsidP="00BC07FE">
      <w:pPr>
        <w:spacing w:after="100" w:afterAutospacing="1" w:line="240" w:lineRule="auto"/>
        <w:ind w:firstLineChars="0" w:firstLine="0"/>
        <w:rPr>
          <w:rFonts w:cs="Times New Roman"/>
          <w:color w:val="000000" w:themeColor="text1"/>
          <w:sz w:val="20"/>
          <w:szCs w:val="20"/>
        </w:rPr>
      </w:pPr>
    </w:p>
    <w:sectPr w:rsidR="005A414A" w:rsidRPr="00BC07FE">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C2E4E" w14:textId="77777777" w:rsidR="00D048CC" w:rsidRDefault="00D048CC" w:rsidP="008C371C">
      <w:pPr>
        <w:spacing w:line="240" w:lineRule="auto"/>
        <w:ind w:firstLine="480"/>
      </w:pPr>
      <w:r>
        <w:separator/>
      </w:r>
    </w:p>
  </w:endnote>
  <w:endnote w:type="continuationSeparator" w:id="0">
    <w:p w14:paraId="7E4306E8" w14:textId="77777777" w:rsidR="00D048CC" w:rsidRDefault="00D048CC" w:rsidP="008C371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B786F" w14:textId="77777777" w:rsidR="008C371C" w:rsidRDefault="008C371C">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C5459" w14:textId="77777777" w:rsidR="008C371C" w:rsidRDefault="008C371C">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AE53C" w14:textId="77777777" w:rsidR="008C371C" w:rsidRDefault="008C371C">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0B23B" w14:textId="77777777" w:rsidR="00D048CC" w:rsidRDefault="00D048CC" w:rsidP="008C371C">
      <w:pPr>
        <w:spacing w:line="240" w:lineRule="auto"/>
        <w:ind w:firstLine="480"/>
      </w:pPr>
      <w:r>
        <w:separator/>
      </w:r>
    </w:p>
  </w:footnote>
  <w:footnote w:type="continuationSeparator" w:id="0">
    <w:p w14:paraId="70A6AAF6" w14:textId="77777777" w:rsidR="00D048CC" w:rsidRDefault="00D048CC" w:rsidP="008C371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CCFB1" w14:textId="77777777" w:rsidR="008C371C" w:rsidRDefault="008C371C">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C7557" w14:textId="77777777" w:rsidR="008C371C" w:rsidRDefault="008C371C">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E5DA4" w14:textId="77777777" w:rsidR="008C371C" w:rsidRDefault="008C371C">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569"/>
    <w:rsid w:val="000921CF"/>
    <w:rsid w:val="000A5BC1"/>
    <w:rsid w:val="002B7F54"/>
    <w:rsid w:val="003F4C1C"/>
    <w:rsid w:val="00483124"/>
    <w:rsid w:val="005660F4"/>
    <w:rsid w:val="005A414A"/>
    <w:rsid w:val="005D73C5"/>
    <w:rsid w:val="00616D18"/>
    <w:rsid w:val="007E4061"/>
    <w:rsid w:val="008077B5"/>
    <w:rsid w:val="008A1629"/>
    <w:rsid w:val="008A3C21"/>
    <w:rsid w:val="008C371C"/>
    <w:rsid w:val="008F6A6A"/>
    <w:rsid w:val="009402CD"/>
    <w:rsid w:val="00A723CD"/>
    <w:rsid w:val="00BA56CF"/>
    <w:rsid w:val="00BC07FE"/>
    <w:rsid w:val="00BD5A3A"/>
    <w:rsid w:val="00BE70DE"/>
    <w:rsid w:val="00C30519"/>
    <w:rsid w:val="00CA2569"/>
    <w:rsid w:val="00CE0DC5"/>
    <w:rsid w:val="00D048CC"/>
    <w:rsid w:val="00D07FBA"/>
    <w:rsid w:val="00D300DA"/>
    <w:rsid w:val="00EA748A"/>
    <w:rsid w:val="00EE3729"/>
    <w:rsid w:val="00F5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4584BE"/>
  <w15:chartTrackingRefBased/>
  <w15:docId w15:val="{485CBB1E-26C8-4C24-9730-C24132702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414A"/>
    <w:pPr>
      <w:widowControl w:val="0"/>
      <w:wordWrap w:val="0"/>
      <w:spacing w:line="360" w:lineRule="auto"/>
      <w:ind w:firstLineChars="200" w:firstLine="20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371C"/>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8C371C"/>
    <w:rPr>
      <w:rFonts w:ascii="Times New Roman" w:eastAsia="宋体" w:hAnsi="Times New Roman"/>
      <w:sz w:val="18"/>
      <w:szCs w:val="18"/>
    </w:rPr>
  </w:style>
  <w:style w:type="paragraph" w:styleId="a5">
    <w:name w:val="footer"/>
    <w:basedOn w:val="a"/>
    <w:link w:val="a6"/>
    <w:uiPriority w:val="99"/>
    <w:unhideWhenUsed/>
    <w:rsid w:val="008C371C"/>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8C371C"/>
    <w:rPr>
      <w:rFonts w:ascii="Times New Roman" w:eastAsia="宋体" w:hAnsi="Times New Roman"/>
      <w:sz w:val="18"/>
      <w:szCs w:val="18"/>
    </w:rPr>
  </w:style>
  <w:style w:type="table" w:styleId="a7">
    <w:name w:val="Table Grid"/>
    <w:basedOn w:val="a1"/>
    <w:uiPriority w:val="39"/>
    <w:rsid w:val="00BC07FE"/>
    <w:rPr>
      <w:rFonts w:ascii="Times New Roman" w:eastAsia="宋体" w:hAnsi="Times New Roman" w:cs="Times New Roman"/>
      <w:kern w:val="0"/>
      <w:sz w:val="20"/>
      <w:szCs w:val="20"/>
    </w:rPr>
    <w:tblPr>
      <w:tblBorders>
        <w:insideH w:val="single" w:sz="2"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1577</Words>
  <Characters>8992</Characters>
  <Application>Microsoft Office Word</Application>
  <DocSecurity>0</DocSecurity>
  <Lines>74</Lines>
  <Paragraphs>21</Paragraphs>
  <ScaleCrop>false</ScaleCrop>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office2016mac58307</cp:lastModifiedBy>
  <cp:revision>6</cp:revision>
  <dcterms:created xsi:type="dcterms:W3CDTF">2023-06-29T07:33:00Z</dcterms:created>
  <dcterms:modified xsi:type="dcterms:W3CDTF">2023-07-25T05:42:00Z</dcterms:modified>
</cp:coreProperties>
</file>