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960C2" w14:textId="77777777" w:rsidR="009147D5" w:rsidRPr="002D2782" w:rsidRDefault="009147D5" w:rsidP="009147D5">
      <w:pPr>
        <w:rPr>
          <w:rFonts w:ascii="Times New Roman" w:hAnsi="Times New Roman" w:cs="Times New Roman"/>
          <w:b/>
          <w:bCs/>
          <w:sz w:val="24"/>
          <w:szCs w:val="24"/>
        </w:rPr>
      </w:pPr>
      <w:r w:rsidRPr="002D2782">
        <w:rPr>
          <w:rFonts w:ascii="Times New Roman" w:hAnsi="Times New Roman" w:cs="Times New Roman"/>
          <w:b/>
          <w:bCs/>
          <w:sz w:val="24"/>
          <w:szCs w:val="24"/>
        </w:rPr>
        <w:t>Appendix</w:t>
      </w:r>
    </w:p>
    <w:p w14:paraId="4521A0C8" w14:textId="77777777" w:rsidR="009147D5" w:rsidRPr="00D67FF1" w:rsidRDefault="009147D5" w:rsidP="009147D5">
      <w:pPr>
        <w:rPr>
          <w:rFonts w:ascii="Times New Roman" w:hAnsi="Times New Roman" w:cs="Times New Roman"/>
          <w:i/>
          <w:iCs/>
          <w:sz w:val="24"/>
          <w:szCs w:val="24"/>
        </w:rPr>
      </w:pPr>
      <w:r w:rsidRPr="00D67FF1">
        <w:rPr>
          <w:rFonts w:ascii="Times New Roman" w:hAnsi="Times New Roman" w:cs="Times New Roman"/>
          <w:i/>
          <w:iCs/>
          <w:sz w:val="24"/>
          <w:szCs w:val="24"/>
        </w:rPr>
        <w:t>Appendix A</w:t>
      </w:r>
      <w:r>
        <w:rPr>
          <w:rFonts w:ascii="Times New Roman" w:hAnsi="Times New Roman" w:cs="Times New Roman"/>
          <w:i/>
          <w:iCs/>
          <w:sz w:val="24"/>
          <w:szCs w:val="24"/>
        </w:rPr>
        <w:t>: Supplementary Result Figures</w:t>
      </w:r>
    </w:p>
    <w:p w14:paraId="3621FC3D" w14:textId="77777777" w:rsidR="009147D5" w:rsidRDefault="009147D5" w:rsidP="009147D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Shifts in dominant PFTs are primarily driven by moisture stress (droughts) and warming, resulting in a high vapor pressure deficit, which results in </w:t>
      </w:r>
      <w:r>
        <w:rPr>
          <w:rFonts w:ascii="Times New Roman" w:eastAsia="Times New Roman" w:hAnsi="Times New Roman" w:cs="Times New Roman"/>
          <w:sz w:val="24"/>
          <w:szCs w:val="24"/>
        </w:rPr>
        <w:t>increased evapotranspiration</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PCA and Correlation Analysis to determine the impact of various climatic factors on </w:t>
      </w:r>
      <w:r w:rsidRPr="007B261E">
        <w:rPr>
          <w:rFonts w:ascii="Times New Roman" w:eastAsia="Times New Roman" w:hAnsi="Times New Roman" w:cs="Times New Roman"/>
          <w:sz w:val="24"/>
          <w:szCs w:val="24"/>
        </w:rPr>
        <w:t>PFT dominance</w:t>
      </w:r>
      <w:r>
        <w:rPr>
          <w:rFonts w:ascii="Times New Roman" w:eastAsia="Times New Roman" w:hAnsi="Times New Roman" w:cs="Times New Roman"/>
          <w:sz w:val="24"/>
          <w:szCs w:val="24"/>
        </w:rPr>
        <w:t xml:space="preserve"> (Figures A1) reveal that droughts (moisture stress) had the most significant influence on </w:t>
      </w:r>
      <w:r w:rsidRPr="007B261E">
        <w:rPr>
          <w:rFonts w:ascii="Times New Roman" w:eastAsia="Times New Roman" w:hAnsi="Times New Roman" w:cs="Times New Roman"/>
          <w:sz w:val="24"/>
          <w:szCs w:val="24"/>
        </w:rPr>
        <w:t>PFT dominance</w:t>
      </w:r>
      <w:r>
        <w:rPr>
          <w:rFonts w:ascii="Times New Roman" w:eastAsia="Times New Roman" w:hAnsi="Times New Roman" w:cs="Times New Roman"/>
          <w:sz w:val="24"/>
          <w:szCs w:val="24"/>
        </w:rPr>
        <w:t xml:space="preserve">, as indicated by the highest loading on PC1. This factor was followed by warming, which had a moderate effect on </w:t>
      </w:r>
      <w:r w:rsidRPr="00BA7EB8">
        <w:rPr>
          <w:rFonts w:ascii="Times New Roman" w:eastAsia="Times New Roman" w:hAnsi="Times New Roman" w:cs="Times New Roman"/>
          <w:sz w:val="24"/>
          <w:szCs w:val="24"/>
        </w:rPr>
        <w:t>PFT dominance,</w:t>
      </w:r>
      <w:r>
        <w:rPr>
          <w:rFonts w:ascii="Times New Roman" w:eastAsia="Times New Roman" w:hAnsi="Times New Roman" w:cs="Times New Roman"/>
          <w:sz w:val="24"/>
          <w:szCs w:val="24"/>
        </w:rPr>
        <w:t xml:space="preserve"> and was represented by PC2, and decreased precipitation, which had a weaker influence and was represented by PC3. The explained variance ratios for the first three principal components were 0.57, 0.32, and 0.11, respectively. </w:t>
      </w:r>
      <w:r>
        <w:rPr>
          <w:rFonts w:ascii="Times New Roman" w:eastAsia="Times New Roman" w:hAnsi="Times New Roman" w:cs="Times New Roman"/>
          <w:color w:val="000000"/>
          <w:sz w:val="24"/>
          <w:szCs w:val="24"/>
        </w:rPr>
        <w:t xml:space="preserve"> </w:t>
      </w:r>
    </w:p>
    <w:p w14:paraId="50D672FF" w14:textId="77777777" w:rsidR="009147D5" w:rsidRDefault="009147D5" w:rsidP="009147D5">
      <w:pPr>
        <w:jc w:val="both"/>
        <w:rPr>
          <w:rFonts w:ascii="Times New Roman" w:eastAsia="Times New Roman" w:hAnsi="Times New Roman" w:cs="Times New Roman"/>
          <w:sz w:val="24"/>
          <w:szCs w:val="24"/>
        </w:rPr>
      </w:pPr>
    </w:p>
    <w:p w14:paraId="4E067B60" w14:textId="77777777" w:rsidR="009147D5" w:rsidRDefault="009147D5" w:rsidP="009147D5">
      <w:pP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674E2814" wp14:editId="3C646FF1">
            <wp:extent cx="2685957" cy="3202036"/>
            <wp:effectExtent l="0" t="0" r="635" b="0"/>
            <wp:docPr id="735951683" name="Graphic 735951683"/>
            <wp:cNvGraphicFramePr/>
            <a:graphic xmlns:a="http://schemas.openxmlformats.org/drawingml/2006/main">
              <a:graphicData uri="http://schemas.openxmlformats.org/drawingml/2006/picture">
                <pic:pic xmlns:pic="http://schemas.openxmlformats.org/drawingml/2006/picture">
                  <pic:nvPicPr>
                    <pic:cNvPr id="735951683" name="image16.png"/>
                    <pic:cNvPicPr preferRelativeResize="0"/>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2685957" cy="3202036"/>
                    </a:xfrm>
                    <a:prstGeom prst="rect">
                      <a:avLst/>
                    </a:prstGeom>
                  </pic:spPr>
                </pic:pic>
              </a:graphicData>
            </a:graphic>
          </wp:inline>
        </w:drawing>
      </w:r>
      <w:r>
        <w:rPr>
          <w:noProof/>
        </w:rPr>
        <w:drawing>
          <wp:anchor distT="0" distB="0" distL="114300" distR="114300" simplePos="0" relativeHeight="251659264" behindDoc="0" locked="0" layoutInCell="1" hidden="0" allowOverlap="1" wp14:anchorId="742740DF" wp14:editId="20F0A06D">
            <wp:simplePos x="0" y="0"/>
            <wp:positionH relativeFrom="column">
              <wp:posOffset>3032688</wp:posOffset>
            </wp:positionH>
            <wp:positionV relativeFrom="paragraph">
              <wp:posOffset>33221</wp:posOffset>
            </wp:positionV>
            <wp:extent cx="2802890" cy="2900045"/>
            <wp:effectExtent l="0" t="0" r="0" b="0"/>
            <wp:wrapSquare wrapText="bothSides" distT="0" distB="0" distL="114300" distR="114300"/>
            <wp:docPr id="735951673" name="Picture 735951673" descr="A picture containing text, screenshot, square,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735951673" name="Picture 735951673" descr="A picture containing text, screenshot, square, diagram&#10;&#10;Description automatically generated"/>
                    <pic:cNvPicPr preferRelativeResize="0"/>
                  </pic:nvPicPr>
                  <pic:blipFill>
                    <a:blip r:embed="rId6"/>
                    <a:srcRect/>
                    <a:stretch>
                      <a:fillRect/>
                    </a:stretch>
                  </pic:blipFill>
                  <pic:spPr>
                    <a:xfrm>
                      <a:off x="0" y="0"/>
                      <a:ext cx="2802890" cy="2900045"/>
                    </a:xfrm>
                    <a:prstGeom prst="rect">
                      <a:avLst/>
                    </a:prstGeom>
                    <a:ln/>
                  </pic:spPr>
                </pic:pic>
              </a:graphicData>
            </a:graphic>
          </wp:anchor>
        </w:drawing>
      </w:r>
    </w:p>
    <w:p w14:paraId="69B7EA70" w14:textId="77777777" w:rsidR="009147D5" w:rsidRDefault="009147D5" w:rsidP="009147D5">
      <w:pPr>
        <w:jc w:val="center"/>
        <w:rPr>
          <w:rFonts w:ascii="Times New Roman" w:eastAsia="Times New Roman" w:hAnsi="Times New Roman" w:cs="Times New Roman"/>
          <w:b/>
          <w:color w:val="000000"/>
          <w:sz w:val="24"/>
          <w:szCs w:val="24"/>
        </w:rPr>
      </w:pPr>
    </w:p>
    <w:p w14:paraId="4FA9BF5A" w14:textId="77777777" w:rsidR="009147D5" w:rsidRDefault="009147D5" w:rsidP="009147D5">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Figure A1</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(a)</w:t>
      </w:r>
      <w:r>
        <w:rPr>
          <w:rFonts w:ascii="Times New Roman" w:eastAsia="Times New Roman" w:hAnsi="Times New Roman" w:cs="Times New Roman"/>
          <w:color w:val="000000"/>
          <w:sz w:val="24"/>
          <w:szCs w:val="24"/>
        </w:rPr>
        <w:t xml:space="preserve"> Scatter plot of the first two principal components (PC1 and PC2) derived from a PCA of standardized climatic variables. </w:t>
      </w:r>
      <w:r>
        <w:rPr>
          <w:rFonts w:ascii="Times New Roman" w:eastAsia="Times New Roman" w:hAnsi="Times New Roman" w:cs="Times New Roman"/>
          <w:b/>
          <w:color w:val="000000"/>
          <w:sz w:val="24"/>
          <w:szCs w:val="24"/>
        </w:rPr>
        <w:t>(b)</w:t>
      </w:r>
      <w:r>
        <w:rPr>
          <w:rFonts w:ascii="Times New Roman" w:eastAsia="Times New Roman" w:hAnsi="Times New Roman" w:cs="Times New Roman"/>
          <w:color w:val="000000"/>
          <w:sz w:val="24"/>
          <w:szCs w:val="24"/>
        </w:rPr>
        <w:t xml:space="preserve"> The correlation matrix for the subset of variables that determined dominant PFTs.</w:t>
      </w:r>
    </w:p>
    <w:p w14:paraId="3E1EB26B" w14:textId="77777777" w:rsidR="009147D5" w:rsidRDefault="009147D5" w:rsidP="009147D5">
      <w:pPr>
        <w:rPr>
          <w:rFonts w:ascii="Times New Roman" w:hAnsi="Times New Roman" w:cs="Times New Roman"/>
          <w:sz w:val="24"/>
          <w:szCs w:val="24"/>
        </w:rPr>
      </w:pPr>
    </w:p>
    <w:p w14:paraId="3AAF7ABA" w14:textId="77777777" w:rsidR="009147D5" w:rsidRDefault="009147D5" w:rsidP="009147D5">
      <w:pPr>
        <w:jc w:val="center"/>
        <w:rPr>
          <w:rFonts w:ascii="Times New Roman" w:eastAsia="Times New Roman" w:hAnsi="Times New Roman" w:cs="Times New Roman"/>
          <w:sz w:val="24"/>
          <w:szCs w:val="24"/>
        </w:rPr>
      </w:pPr>
      <w:r>
        <w:rPr>
          <w:noProof/>
        </w:rPr>
        <w:lastRenderedPageBreak/>
        <w:drawing>
          <wp:inline distT="0" distB="0" distL="0" distR="0" wp14:anchorId="4A47415A" wp14:editId="2AA2E5AD">
            <wp:extent cx="3834719" cy="4133567"/>
            <wp:effectExtent l="0" t="0" r="0" b="635"/>
            <wp:docPr id="5" name="Picture 5" descr="Chart, funnel chart&#10;&#10;Description automatically generated">
              <a:extLst xmlns:a="http://schemas.openxmlformats.org/drawingml/2006/main">
                <a:ext uri="{FF2B5EF4-FFF2-40B4-BE49-F238E27FC236}">
                  <a16:creationId xmlns:a16="http://schemas.microsoft.com/office/drawing/2014/main" id="{6B2F4228-48BC-3778-7EAD-0A3D5C1B60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funnel chart&#10;&#10;Description automatically generated">
                      <a:extLst>
                        <a:ext uri="{FF2B5EF4-FFF2-40B4-BE49-F238E27FC236}">
                          <a16:creationId xmlns:a16="http://schemas.microsoft.com/office/drawing/2014/main" id="{6B2F4228-48BC-3778-7EAD-0A3D5C1B6054}"/>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49730" cy="4149748"/>
                    </a:xfrm>
                    <a:prstGeom prst="rect">
                      <a:avLst/>
                    </a:prstGeom>
                  </pic:spPr>
                </pic:pic>
              </a:graphicData>
            </a:graphic>
          </wp:inline>
        </w:drawing>
      </w:r>
    </w:p>
    <w:p w14:paraId="790412D3" w14:textId="77777777" w:rsidR="009147D5" w:rsidRDefault="009147D5" w:rsidP="009147D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A2. </w:t>
      </w:r>
      <w:r>
        <w:rPr>
          <w:rFonts w:ascii="Times New Roman" w:eastAsia="Times New Roman" w:hAnsi="Times New Roman" w:cs="Times New Roman"/>
          <w:sz w:val="24"/>
          <w:szCs w:val="24"/>
        </w:rPr>
        <w:t>Types of shifts in dominant PFTs in the grids modelled.</w:t>
      </w:r>
    </w:p>
    <w:p w14:paraId="2C532004" w14:textId="77777777" w:rsidR="009147D5" w:rsidRDefault="009147D5" w:rsidP="009147D5">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elevation-temperature space (Figures A3, A4) shows the projected changes in elevation for tree PFTs by the end of the century. The analysis indicates that there will be a significant shift in the distribution of PFTs. Higher elevation PFTs, such as boreal forest, migrate upslope, while coastal-Mediterranean PFTs, such as temperate broadleaved evergreens, are expected to migrate to lower elevations closer to the coast. Additionally, temperate conifers are projected to experience a contraction in their range, with a higher density at high elevations, suggesting that climate change will significantly impact the spatial distribution of PFTs. </w:t>
      </w:r>
    </w:p>
    <w:p w14:paraId="0BFFFA92" w14:textId="77777777" w:rsidR="009147D5" w:rsidRDefault="009147D5" w:rsidP="009147D5">
      <w:pPr>
        <w:jc w:val="both"/>
        <w:rPr>
          <w:rFonts w:ascii="Times New Roman" w:eastAsia="Times New Roman" w:hAnsi="Times New Roman" w:cs="Times New Roman"/>
          <w:sz w:val="24"/>
          <w:szCs w:val="24"/>
        </w:rPr>
      </w:pPr>
    </w:p>
    <w:p w14:paraId="763C6098" w14:textId="77777777" w:rsidR="009147D5" w:rsidRDefault="009147D5" w:rsidP="009147D5">
      <w:pPr>
        <w:jc w:val="both"/>
        <w:rPr>
          <w:rFonts w:ascii="Times New Roman" w:eastAsia="Times New Roman" w:hAnsi="Times New Roman" w:cs="Times New Roman"/>
          <w:sz w:val="24"/>
          <w:szCs w:val="24"/>
        </w:rPr>
      </w:pPr>
    </w:p>
    <w:p w14:paraId="055291D8"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651D85E" wp14:editId="4CE662AB">
            <wp:extent cx="5407378" cy="2720622"/>
            <wp:effectExtent l="0" t="0" r="3175" b="3810"/>
            <wp:docPr id="735951681" name="Picture 735951681" descr="A picture containing text, screenshot, diagram, plot&#10;&#10;Description automatically generated"/>
            <wp:cNvGraphicFramePr/>
            <a:graphic xmlns:a="http://schemas.openxmlformats.org/drawingml/2006/main">
              <a:graphicData uri="http://schemas.openxmlformats.org/drawingml/2006/picture">
                <pic:pic xmlns:pic="http://schemas.openxmlformats.org/drawingml/2006/picture">
                  <pic:nvPicPr>
                    <pic:cNvPr id="735951681" name="Picture 735951681" descr="A picture containing text, screenshot, diagram, plot&#10;&#10;Description automatically generated"/>
                    <pic:cNvPicPr preferRelativeResize="0"/>
                  </pic:nvPicPr>
                  <pic:blipFill>
                    <a:blip r:embed="rId8"/>
                    <a:srcRect/>
                    <a:stretch>
                      <a:fillRect/>
                    </a:stretch>
                  </pic:blipFill>
                  <pic:spPr>
                    <a:xfrm>
                      <a:off x="0" y="0"/>
                      <a:ext cx="5415758" cy="2724838"/>
                    </a:xfrm>
                    <a:prstGeom prst="rect">
                      <a:avLst/>
                    </a:prstGeom>
                    <a:ln/>
                  </pic:spPr>
                </pic:pic>
              </a:graphicData>
            </a:graphic>
          </wp:inline>
        </w:drawing>
      </w:r>
    </w:p>
    <w:p w14:paraId="4BB1D13A"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A3. </w:t>
      </w:r>
      <w:r>
        <w:rPr>
          <w:rFonts w:ascii="Times New Roman" w:eastAsia="Times New Roman" w:hAnsi="Times New Roman" w:cs="Times New Roman"/>
          <w:sz w:val="24"/>
          <w:szCs w:val="24"/>
        </w:rPr>
        <w:t>Elevation - Temperature space plots showing the change in tree PFTs mean elevation and mean annual temperature range by the end of the century (2070-2100, bottom row) compared to the 1984-2014 baseline (top row). PFTs are BF= Boreal Forests, MTF = Mixed Temperate Forests, TCF =Temperate Coniferous Forest, XFW: Xeromorphic Forests and Woodlands, and TBEF = Temperate Broadleaved Evergreen Forests</w:t>
      </w:r>
    </w:p>
    <w:p w14:paraId="7FB47C07" w14:textId="77777777" w:rsidR="009147D5" w:rsidRDefault="009147D5" w:rsidP="009147D5">
      <w:pPr>
        <w:jc w:val="both"/>
        <w:rPr>
          <w:rFonts w:ascii="Times New Roman" w:eastAsia="Times New Roman" w:hAnsi="Times New Roman" w:cs="Times New Roman"/>
          <w:sz w:val="24"/>
          <w:szCs w:val="24"/>
        </w:rPr>
      </w:pPr>
    </w:p>
    <w:p w14:paraId="4A071034"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D640FC4" wp14:editId="42BD9D48">
            <wp:extent cx="5520267" cy="3302000"/>
            <wp:effectExtent l="0" t="0" r="4445" b="0"/>
            <wp:docPr id="735951690" name="Graphic 735951690"/>
            <wp:cNvGraphicFramePr/>
            <a:graphic xmlns:a="http://schemas.openxmlformats.org/drawingml/2006/main">
              <a:graphicData uri="http://schemas.openxmlformats.org/drawingml/2006/picture">
                <pic:pic xmlns:pic="http://schemas.openxmlformats.org/drawingml/2006/picture">
                  <pic:nvPicPr>
                    <pic:cNvPr id="735951690" name="image12.png"/>
                    <pic:cNvPicPr preferRelativeResize="0"/>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5521850" cy="3302947"/>
                    </a:xfrm>
                    <a:prstGeom prst="rect">
                      <a:avLst/>
                    </a:prstGeom>
                  </pic:spPr>
                </pic:pic>
              </a:graphicData>
            </a:graphic>
          </wp:inline>
        </w:drawing>
      </w:r>
    </w:p>
    <w:p w14:paraId="0C0577E1" w14:textId="77777777" w:rsidR="009147D5" w:rsidRDefault="009147D5" w:rsidP="009147D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A4. </w:t>
      </w:r>
      <w:r>
        <w:rPr>
          <w:rFonts w:ascii="Times New Roman" w:eastAsia="Times New Roman" w:hAnsi="Times New Roman" w:cs="Times New Roman"/>
          <w:sz w:val="24"/>
          <w:szCs w:val="24"/>
        </w:rPr>
        <w:t xml:space="preserve">The change in PFTs mean elevation and mean annual temperature by the end of the century (2070-100) compared to the 1984-2014 baseline. </w:t>
      </w:r>
    </w:p>
    <w:p w14:paraId="48D4B62C" w14:textId="77777777" w:rsidR="009147D5" w:rsidRDefault="009147D5" w:rsidP="009147D5">
      <w:pPr>
        <w:jc w:val="both"/>
        <w:rPr>
          <w:rFonts w:ascii="Times New Roman" w:eastAsia="Times New Roman" w:hAnsi="Times New Roman" w:cs="Times New Roman"/>
          <w:i/>
          <w:iCs/>
          <w:sz w:val="24"/>
          <w:szCs w:val="24"/>
        </w:rPr>
      </w:pPr>
      <w:r w:rsidRPr="0000071B">
        <w:rPr>
          <w:rFonts w:ascii="Times New Roman" w:eastAsia="Times New Roman" w:hAnsi="Times New Roman" w:cs="Times New Roman"/>
          <w:i/>
          <w:iCs/>
          <w:sz w:val="24"/>
          <w:szCs w:val="24"/>
        </w:rPr>
        <w:lastRenderedPageBreak/>
        <w:t>Appendix B</w:t>
      </w:r>
      <w:r>
        <w:rPr>
          <w:rFonts w:ascii="Times New Roman" w:eastAsia="Times New Roman" w:hAnsi="Times New Roman" w:cs="Times New Roman"/>
          <w:i/>
          <w:iCs/>
          <w:sz w:val="24"/>
          <w:szCs w:val="24"/>
        </w:rPr>
        <w:t>: Definition of NCE</w:t>
      </w:r>
    </w:p>
    <w:p w14:paraId="235DA21C"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NCE, carbon uptake is denoted as positive and carbon release is denoted as negative. NCE is strongly negative at the start when there are lots of replacement fires, since it is a measure of NEP minus the carbon lost by fire.  Eventually, NCE more closely resembles NEP as there are fewer fires later in the century. NCE is calculated using the following equations: </w:t>
      </w:r>
    </w:p>
    <w:p w14:paraId="5A20C3C4" w14:textId="77777777" w:rsidR="009147D5" w:rsidRDefault="009147D5" w:rsidP="009147D5">
      <w:pPr>
        <w:jc w:val="both"/>
        <w:rPr>
          <w:rFonts w:ascii="Times New Roman" w:eastAsia="Times New Roman" w:hAnsi="Times New Roman" w:cs="Times New Roman"/>
          <w:sz w:val="24"/>
          <w:szCs w:val="24"/>
        </w:rPr>
      </w:pPr>
    </w:p>
    <w:p w14:paraId="36032DDD" w14:textId="77777777" w:rsidR="009147D5" w:rsidRDefault="009147D5" w:rsidP="009147D5">
      <w:pPr>
        <w:ind w:left="2880" w:firstLine="720"/>
        <w:rPr>
          <w:rFonts w:ascii="Times New Roman" w:eastAsia="Times New Roman" w:hAnsi="Times New Roman" w:cs="Times New Roman"/>
          <w:i/>
          <w:sz w:val="24"/>
          <w:szCs w:val="24"/>
        </w:rPr>
      </w:pPr>
      <m:oMath>
        <m:r>
          <w:rPr>
            <w:rFonts w:ascii="Cambria Math" w:eastAsia="Cambria Math" w:hAnsi="Cambria Math" w:cs="Cambria Math"/>
            <w:sz w:val="24"/>
            <w:szCs w:val="24"/>
          </w:rPr>
          <m:t>NCE=NEP-</m:t>
        </m:r>
        <m:sSub>
          <m:sSubPr>
            <m:ctrlPr>
              <w:rPr>
                <w:rFonts w:ascii="Cambria Math" w:eastAsia="Cambria Math" w:hAnsi="Cambria Math" w:cs="Cambria Math"/>
                <w:sz w:val="24"/>
                <w:szCs w:val="24"/>
              </w:rPr>
            </m:ctrlPr>
          </m:sSubPr>
          <m:e>
            <m:r>
              <w:rPr>
                <w:rFonts w:ascii="Cambria Math" w:eastAsia="Cambria Math" w:hAnsi="Cambria Math" w:cs="Cambria Math"/>
                <w:sz w:val="24"/>
                <w:szCs w:val="24"/>
              </w:rPr>
              <m:t>E</m:t>
            </m:r>
          </m:e>
          <m:sub>
            <m:r>
              <w:rPr>
                <w:rFonts w:ascii="Cambria Math" w:eastAsia="Cambria Math" w:hAnsi="Cambria Math" w:cs="Cambria Math"/>
                <w:sz w:val="24"/>
                <w:szCs w:val="24"/>
              </w:rPr>
              <m:t>c</m:t>
            </m:r>
          </m:sub>
        </m:sSub>
      </m:oMath>
      <w:r>
        <w:rPr>
          <w:rFonts w:ascii="Times New Roman" w:eastAsia="Times New Roman" w:hAnsi="Times New Roman" w:cs="Times New Roman"/>
          <w:i/>
          <w:sz w:val="24"/>
          <w:szCs w:val="24"/>
        </w:rPr>
        <w:tab/>
        <w:t xml:space="preserve">                              Equation 1</w:t>
      </w:r>
    </w:p>
    <w:p w14:paraId="33035433" w14:textId="77777777" w:rsidR="009147D5" w:rsidRDefault="009147D5" w:rsidP="009147D5">
      <w:pPr>
        <w:ind w:left="2880" w:firstLine="720"/>
        <w:rPr>
          <w:rFonts w:ascii="Cambria Math" w:eastAsia="Cambria Math" w:hAnsi="Cambria Math" w:cs="Cambria Math"/>
          <w:sz w:val="24"/>
          <w:szCs w:val="24"/>
        </w:rPr>
      </w:pPr>
    </w:p>
    <w:p w14:paraId="21C1E4FF" w14:textId="77777777" w:rsidR="009147D5" w:rsidRDefault="009147D5" w:rsidP="009147D5">
      <w:pPr>
        <w:ind w:left="2160" w:firstLine="720"/>
        <w:rPr>
          <w:rFonts w:ascii="Cambria Math" w:eastAsia="Cambria Math" w:hAnsi="Cambria Math" w:cs="Cambria Math"/>
          <w:sz w:val="24"/>
          <w:szCs w:val="24"/>
          <w:vertAlign w:val="subscript"/>
        </w:rPr>
      </w:pPr>
      <m:oMath>
        <m:r>
          <w:rPr>
            <w:rFonts w:ascii="Cambria Math" w:eastAsia="Cambria Math" w:hAnsi="Cambria Math" w:cs="Cambria Math"/>
            <w:sz w:val="24"/>
            <w:szCs w:val="24"/>
            <w:vertAlign w:val="subscript"/>
          </w:rPr>
          <m:t>NEP=NPP-</m:t>
        </m:r>
        <m:sSub>
          <m:sSubPr>
            <m:ctrlPr>
              <w:rPr>
                <w:rFonts w:ascii="Cambria Math" w:eastAsia="Cambria Math" w:hAnsi="Cambria Math" w:cs="Cambria Math"/>
                <w:sz w:val="24"/>
                <w:szCs w:val="24"/>
                <w:vertAlign w:val="subscript"/>
              </w:rPr>
            </m:ctrlPr>
          </m:sSubPr>
          <m:e>
            <m:r>
              <w:rPr>
                <w:rFonts w:ascii="Cambria Math" w:eastAsia="Cambria Math" w:hAnsi="Cambria Math" w:cs="Cambria Math"/>
                <w:sz w:val="24"/>
                <w:szCs w:val="24"/>
                <w:vertAlign w:val="subscript"/>
              </w:rPr>
              <m:t>r</m:t>
            </m:r>
          </m:e>
          <m:sub>
            <m:r>
              <w:rPr>
                <w:rFonts w:ascii="Cambria Math" w:eastAsia="Cambria Math" w:hAnsi="Cambria Math" w:cs="Cambria Math"/>
                <w:sz w:val="24"/>
                <w:szCs w:val="24"/>
                <w:vertAlign w:val="subscript"/>
              </w:rPr>
              <m:t>h</m:t>
            </m:r>
          </m:sub>
        </m:sSub>
        <m:r>
          <w:rPr>
            <w:rFonts w:ascii="Cambria Math" w:eastAsia="Cambria Math" w:hAnsi="Cambria Math" w:cs="Cambria Math"/>
            <w:sz w:val="24"/>
            <w:szCs w:val="24"/>
            <w:vertAlign w:val="subscript"/>
          </w:rPr>
          <m:t>-VOLAC</m:t>
        </m:r>
      </m:oMath>
      <w:r>
        <w:rPr>
          <w:rFonts w:ascii="Times New Roman" w:eastAsia="Times New Roman" w:hAnsi="Times New Roman" w:cs="Times New Roman"/>
          <w:i/>
          <w:sz w:val="24"/>
          <w:szCs w:val="24"/>
          <w:vertAlign w:val="subscript"/>
        </w:rPr>
        <w:tab/>
      </w:r>
      <w:r>
        <w:rPr>
          <w:rFonts w:ascii="Times New Roman" w:eastAsia="Times New Roman" w:hAnsi="Times New Roman" w:cs="Times New Roman"/>
          <w:i/>
          <w:sz w:val="24"/>
          <w:szCs w:val="24"/>
          <w:vertAlign w:val="subscript"/>
        </w:rPr>
        <w:tab/>
        <w:t xml:space="preserve"> </w:t>
      </w:r>
      <w:r>
        <w:rPr>
          <w:rFonts w:ascii="Times New Roman" w:eastAsia="Times New Roman" w:hAnsi="Times New Roman" w:cs="Times New Roman"/>
          <w:i/>
          <w:sz w:val="24"/>
          <w:szCs w:val="24"/>
        </w:rPr>
        <w:t xml:space="preserve">                 Equation 2</w:t>
      </w:r>
    </w:p>
    <w:p w14:paraId="267AD485" w14:textId="77777777" w:rsidR="009147D5" w:rsidRDefault="009147D5" w:rsidP="009147D5">
      <w:pPr>
        <w:jc w:val="center"/>
        <w:rPr>
          <w:rFonts w:ascii="Times New Roman" w:eastAsia="Times New Roman" w:hAnsi="Times New Roman" w:cs="Times New Roman"/>
          <w:sz w:val="24"/>
          <w:szCs w:val="24"/>
        </w:rPr>
      </w:pPr>
    </w:p>
    <w:p w14:paraId="5137A98A"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NCE is net carbon exchange, NEP is net ecosystem productivity, </w:t>
      </w:r>
      <w:proofErr w:type="spellStart"/>
      <w:r>
        <w:rPr>
          <w:rFonts w:ascii="Times New Roman" w:eastAsia="Times New Roman" w:hAnsi="Times New Roman" w:cs="Times New Roman"/>
          <w:i/>
          <w:sz w:val="24"/>
          <w:szCs w:val="24"/>
        </w:rPr>
        <w:t>E</w:t>
      </w:r>
      <w:r>
        <w:rPr>
          <w:rFonts w:ascii="Times New Roman" w:eastAsia="Times New Roman" w:hAnsi="Times New Roman" w:cs="Times New Roman"/>
          <w:i/>
          <w:sz w:val="24"/>
          <w:szCs w:val="24"/>
          <w:vertAlign w:val="subscript"/>
        </w:rPr>
        <w:t>c</w:t>
      </w:r>
      <w:proofErr w:type="spellEnd"/>
      <w:r>
        <w:rPr>
          <w:rFonts w:ascii="Times New Roman" w:eastAsia="Times New Roman" w:hAnsi="Times New Roman" w:cs="Times New Roman"/>
          <w:sz w:val="24"/>
          <w:szCs w:val="24"/>
        </w:rPr>
        <w:t xml:space="preserve"> is burned carbon, NPP is net primary productivity, r</w:t>
      </w:r>
      <w:r>
        <w:rPr>
          <w:rFonts w:ascii="Times New Roman" w:eastAsia="Times New Roman" w:hAnsi="Times New Roman" w:cs="Times New Roman"/>
          <w:sz w:val="24"/>
          <w:szCs w:val="24"/>
          <w:vertAlign w:val="subscript"/>
        </w:rPr>
        <w:t>h</w:t>
      </w:r>
      <w:r>
        <w:rPr>
          <w:rFonts w:ascii="Times New Roman" w:eastAsia="Times New Roman" w:hAnsi="Times New Roman" w:cs="Times New Roman"/>
          <w:sz w:val="24"/>
          <w:szCs w:val="24"/>
        </w:rPr>
        <w:t xml:space="preserve"> is heterotrophic respiration, and VOLAC is the proportion of standing dead that directly decomposes and volatizes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directly back to the atmosphere. In this study we excluded other conversion fluxes i.e., decay of agricultural and wood products from NEP and NCE calculations because human land use and land cover change are not considered.  The NCE we calculate is equivalent to Net Biome Productivity (NBP), which is a measure of the balance between NPP and carbon losses due to heterotrophic respiration and wildfire. </w:t>
      </w:r>
    </w:p>
    <w:p w14:paraId="5F6FE7F3" w14:textId="77777777" w:rsidR="009147D5" w:rsidRDefault="009147D5" w:rsidP="009147D5">
      <w:pPr>
        <w:jc w:val="both"/>
        <w:rPr>
          <w:rFonts w:ascii="Times New Roman" w:eastAsia="Times New Roman" w:hAnsi="Times New Roman" w:cs="Times New Roman"/>
          <w:sz w:val="24"/>
          <w:szCs w:val="24"/>
        </w:rPr>
      </w:pPr>
    </w:p>
    <w:p w14:paraId="632246CB" w14:textId="77777777" w:rsidR="009147D5" w:rsidRDefault="009147D5" w:rsidP="009147D5">
      <w:pPr>
        <w:jc w:val="both"/>
        <w:rPr>
          <w:rFonts w:ascii="Times New Roman" w:eastAsia="Times New Roman" w:hAnsi="Times New Roman" w:cs="Times New Roman"/>
          <w:sz w:val="24"/>
          <w:szCs w:val="24"/>
        </w:rPr>
      </w:pPr>
    </w:p>
    <w:p w14:paraId="3502BAB4" w14:textId="77777777" w:rsidR="009147D5" w:rsidRDefault="009147D5" w:rsidP="009147D5">
      <w:pPr>
        <w:jc w:val="both"/>
        <w:rPr>
          <w:rFonts w:ascii="Times New Roman" w:eastAsia="Times New Roman" w:hAnsi="Times New Roman" w:cs="Times New Roman"/>
          <w:sz w:val="24"/>
          <w:szCs w:val="24"/>
        </w:rPr>
      </w:pPr>
    </w:p>
    <w:p w14:paraId="44C166E1" w14:textId="77777777" w:rsidR="009147D5" w:rsidRDefault="009147D5" w:rsidP="009147D5">
      <w:pPr>
        <w:jc w:val="both"/>
        <w:rPr>
          <w:rFonts w:ascii="Times New Roman" w:eastAsia="Times New Roman" w:hAnsi="Times New Roman" w:cs="Times New Roman"/>
          <w:sz w:val="24"/>
          <w:szCs w:val="24"/>
        </w:rPr>
      </w:pPr>
    </w:p>
    <w:p w14:paraId="4A949743" w14:textId="77777777" w:rsidR="009147D5" w:rsidRDefault="009147D5" w:rsidP="009147D5">
      <w:pPr>
        <w:jc w:val="both"/>
        <w:rPr>
          <w:rFonts w:ascii="Times New Roman" w:eastAsia="Times New Roman" w:hAnsi="Times New Roman" w:cs="Times New Roman"/>
          <w:sz w:val="24"/>
          <w:szCs w:val="24"/>
        </w:rPr>
      </w:pPr>
    </w:p>
    <w:p w14:paraId="417BB0CB" w14:textId="77777777" w:rsidR="009147D5" w:rsidRDefault="009147D5" w:rsidP="009147D5">
      <w:pPr>
        <w:jc w:val="both"/>
        <w:rPr>
          <w:rFonts w:ascii="Times New Roman" w:eastAsia="Times New Roman" w:hAnsi="Times New Roman" w:cs="Times New Roman"/>
          <w:sz w:val="24"/>
          <w:szCs w:val="24"/>
        </w:rPr>
      </w:pPr>
    </w:p>
    <w:p w14:paraId="413A3237" w14:textId="77777777" w:rsidR="009147D5" w:rsidRDefault="009147D5" w:rsidP="009147D5">
      <w:pPr>
        <w:jc w:val="both"/>
        <w:rPr>
          <w:rFonts w:ascii="Times New Roman" w:eastAsia="Times New Roman" w:hAnsi="Times New Roman" w:cs="Times New Roman"/>
          <w:sz w:val="24"/>
          <w:szCs w:val="24"/>
        </w:rPr>
      </w:pPr>
    </w:p>
    <w:p w14:paraId="70A532FB" w14:textId="77777777" w:rsidR="009147D5" w:rsidRDefault="009147D5" w:rsidP="009147D5">
      <w:pPr>
        <w:jc w:val="both"/>
        <w:rPr>
          <w:rFonts w:ascii="Times New Roman" w:eastAsia="Times New Roman" w:hAnsi="Times New Roman" w:cs="Times New Roman"/>
          <w:sz w:val="24"/>
          <w:szCs w:val="24"/>
        </w:rPr>
      </w:pPr>
    </w:p>
    <w:p w14:paraId="0CA1C092" w14:textId="77777777" w:rsidR="009147D5" w:rsidRDefault="009147D5" w:rsidP="009147D5">
      <w:pPr>
        <w:jc w:val="both"/>
        <w:rPr>
          <w:rFonts w:ascii="Times New Roman" w:eastAsia="Times New Roman" w:hAnsi="Times New Roman" w:cs="Times New Roman"/>
          <w:sz w:val="24"/>
          <w:szCs w:val="24"/>
        </w:rPr>
      </w:pPr>
    </w:p>
    <w:p w14:paraId="34655E68" w14:textId="77777777" w:rsidR="009147D5" w:rsidRDefault="009147D5" w:rsidP="009147D5">
      <w:pPr>
        <w:jc w:val="both"/>
        <w:rPr>
          <w:rFonts w:ascii="Times New Roman" w:eastAsia="Times New Roman" w:hAnsi="Times New Roman" w:cs="Times New Roman"/>
          <w:sz w:val="24"/>
          <w:szCs w:val="24"/>
        </w:rPr>
      </w:pPr>
    </w:p>
    <w:p w14:paraId="2FE38C8E" w14:textId="77777777" w:rsidR="009147D5" w:rsidRDefault="009147D5" w:rsidP="009147D5">
      <w:pPr>
        <w:jc w:val="both"/>
        <w:rPr>
          <w:rFonts w:ascii="Times New Roman" w:eastAsia="Times New Roman" w:hAnsi="Times New Roman" w:cs="Times New Roman"/>
          <w:sz w:val="24"/>
          <w:szCs w:val="24"/>
        </w:rPr>
      </w:pPr>
    </w:p>
    <w:p w14:paraId="4793F615" w14:textId="77777777" w:rsidR="009147D5" w:rsidRDefault="009147D5" w:rsidP="009147D5">
      <w:pPr>
        <w:jc w:val="both"/>
        <w:rPr>
          <w:rFonts w:ascii="Times New Roman" w:eastAsia="Times New Roman" w:hAnsi="Times New Roman" w:cs="Times New Roman"/>
          <w:sz w:val="24"/>
          <w:szCs w:val="24"/>
        </w:rPr>
      </w:pPr>
    </w:p>
    <w:p w14:paraId="12545CF2" w14:textId="77777777" w:rsidR="009147D5" w:rsidRDefault="009147D5" w:rsidP="009147D5">
      <w:pPr>
        <w:jc w:val="both"/>
        <w:rPr>
          <w:rFonts w:ascii="Times New Roman" w:eastAsia="Times New Roman" w:hAnsi="Times New Roman" w:cs="Times New Roman"/>
          <w:sz w:val="24"/>
          <w:szCs w:val="24"/>
        </w:rPr>
      </w:pPr>
    </w:p>
    <w:p w14:paraId="497E772C" w14:textId="77777777" w:rsidR="009147D5" w:rsidRDefault="009147D5" w:rsidP="009147D5">
      <w:pPr>
        <w:jc w:val="both"/>
        <w:rPr>
          <w:rFonts w:ascii="Times New Roman" w:eastAsia="Times New Roman" w:hAnsi="Times New Roman" w:cs="Times New Roman"/>
          <w:sz w:val="24"/>
          <w:szCs w:val="24"/>
        </w:rPr>
      </w:pPr>
    </w:p>
    <w:p w14:paraId="13AEA2DC" w14:textId="77777777" w:rsidR="009147D5" w:rsidRDefault="009147D5" w:rsidP="009147D5">
      <w:pPr>
        <w:jc w:val="both"/>
        <w:rPr>
          <w:rFonts w:ascii="Times New Roman" w:eastAsia="Times New Roman" w:hAnsi="Times New Roman" w:cs="Times New Roman"/>
          <w:i/>
          <w:iCs/>
          <w:sz w:val="24"/>
          <w:szCs w:val="24"/>
        </w:rPr>
      </w:pPr>
      <w:r w:rsidRPr="00770DC5">
        <w:rPr>
          <w:rFonts w:ascii="Times New Roman" w:eastAsia="Times New Roman" w:hAnsi="Times New Roman" w:cs="Times New Roman"/>
          <w:i/>
          <w:iCs/>
          <w:sz w:val="24"/>
          <w:szCs w:val="24"/>
        </w:rPr>
        <w:lastRenderedPageBreak/>
        <w:t>Appendix C</w:t>
      </w:r>
      <w:r>
        <w:rPr>
          <w:rFonts w:ascii="Times New Roman" w:eastAsia="Times New Roman" w:hAnsi="Times New Roman" w:cs="Times New Roman"/>
          <w:i/>
          <w:iCs/>
          <w:sz w:val="24"/>
          <w:szCs w:val="24"/>
        </w:rPr>
        <w:t xml:space="preserve">: TEM functions affecting </w:t>
      </w:r>
      <w:proofErr w:type="gramStart"/>
      <w:r>
        <w:rPr>
          <w:rFonts w:ascii="Times New Roman" w:eastAsia="Times New Roman" w:hAnsi="Times New Roman" w:cs="Times New Roman"/>
          <w:i/>
          <w:iCs/>
          <w:sz w:val="24"/>
          <w:szCs w:val="24"/>
        </w:rPr>
        <w:t>GPP</w:t>
      </w:r>
      <w:proofErr w:type="gramEnd"/>
    </w:p>
    <w:p w14:paraId="2DAA9D87" w14:textId="77777777" w:rsidR="009147D5" w:rsidRPr="006D7F79" w:rsidRDefault="009147D5" w:rsidP="009147D5">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TEM employs a parabolic function to assess the impact of temperature changes on the productivity of individual PFTs. An increase in temperature will enhance PFT productivity if the temperature falls on the cooler side of the peak of the parabola. However, if temperatures continue to rise beyond this peak value, then we see a decline in PFT productivity.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fertilization depends on the half-saturation constant (</w:t>
      </w:r>
      <w:r>
        <w:rPr>
          <w:rFonts w:ascii="Times New Roman" w:eastAsia="Times New Roman" w:hAnsi="Times New Roman" w:cs="Times New Roman"/>
          <w:i/>
          <w:sz w:val="24"/>
          <w:szCs w:val="24"/>
        </w:rPr>
        <w:t>k</w:t>
      </w:r>
      <w:r>
        <w:rPr>
          <w:rFonts w:ascii="Times New Roman" w:eastAsia="Times New Roman" w:hAnsi="Times New Roman" w:cs="Times New Roman"/>
          <w:i/>
          <w:sz w:val="24"/>
          <w:szCs w:val="24"/>
          <w:vertAlign w:val="subscript"/>
        </w:rPr>
        <w:t>c</w:t>
      </w:r>
      <w:r>
        <w:rPr>
          <w:rFonts w:ascii="Times New Roman" w:eastAsia="Times New Roman" w:hAnsi="Times New Roman" w:cs="Times New Roman"/>
          <w:sz w:val="24"/>
          <w:szCs w:val="24"/>
        </w:rPr>
        <w:t>), which is a measure of how efficiently plants can use CO</w:t>
      </w:r>
      <w:r>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 xml:space="preserve">for photosynthesis.  The </w:t>
      </w:r>
      <w:r>
        <w:rPr>
          <w:rFonts w:ascii="Times New Roman" w:eastAsia="Times New Roman" w:hAnsi="Times New Roman" w:cs="Times New Roman"/>
          <w:i/>
          <w:sz w:val="24"/>
          <w:szCs w:val="24"/>
        </w:rPr>
        <w:t>k</w:t>
      </w:r>
      <w:r>
        <w:rPr>
          <w:rFonts w:ascii="Times New Roman" w:eastAsia="Times New Roman" w:hAnsi="Times New Roman" w:cs="Times New Roman"/>
          <w:i/>
          <w:sz w:val="24"/>
          <w:szCs w:val="24"/>
          <w:vertAlign w:val="subscript"/>
        </w:rPr>
        <w:t>c</w:t>
      </w:r>
      <w:r>
        <w:rPr>
          <w:rFonts w:ascii="Times New Roman" w:eastAsia="Times New Roman" w:hAnsi="Times New Roman" w:cs="Times New Roman"/>
          <w:sz w:val="24"/>
          <w:szCs w:val="24"/>
        </w:rPr>
        <w:t xml:space="preserve"> represents the concentration of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at which the rate of photosynthesis is half of its maximum potential</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{"citationID":"uc026rDG","properties":{"formattedCitation":"\\super 46\\nosupersub{}","plainCitation":"46","noteIndex":0},"citationItems":[{"id":1111,"uris":["http://zotero.org/users/8442981/items/M2953MVM"],"itemData":{"id":1111,"type":"article-journal","abstract":"Hizikia fusiforme (Harv.) Okamura (brown seaweed) was cultured using aeration with two CO2 conditions: outdoor air (actual atmospheric CO2 concentration, averaging 360 μl l−1) and CO2-enriched air (averaging 700 μl l−1), to investigate the possible adjustments of elevated atmospheric CO2 to the growth, photosynthesis and nitrogen metabolism in this mariculture species. Aeration with CO2-enriched air reduced the pH in the culture medium in comparison with aeration with air. The mean relative growth rate was enhanced when H. fusiforme was grown at high CO2 with respect to normal CO2. There was little change in the rate of light-saturated photosynthesis, dark respiratory rate and apparent photosynthetic efficiency, measured in natural seawater, between thalli grown in high and normal CO2 contents. However, both the mean nitrate uptake rate and the activity of nitrate reductase at light period were increased following culture at high CO2, indicating an enhanced nitrogen assimilation of H. fusiforme thalli with the CO2 enrichment in culture. It was proposed that the intensive cultivation of H. fusiforme would remove nutrients more efficiently with the future elevation of CO2 levels in seawater, which could be a possible solution to the problem of ongoing coastal eutrophication.","container-title":"Aquaculture","DOI":"10.1016/j.aquaculture.2005.05.014","ISSN":"0044-8486","issue":"3","journalAbbreviation":"Aquaculture","language":"en","page":"726-735","source":"ScienceDirect","title":"Effects of elevated atmospheric CO2 on growth, photosynthesis and nitrogen metabolism in the economic brown seaweed, Hizikia fusiforme (Sargassaceae, Phaeophyta)","volume":"250","author":[{"family":"Zou","given":"Dinghui"}],"issued":{"date-parts":[["2005",12,30]]}}}],"schema":"https://github.com/citation-style-language/schema/raw/master/csl-citation.json"} </w:instrText>
      </w:r>
      <w:r>
        <w:rPr>
          <w:rFonts w:ascii="Times New Roman" w:eastAsia="Times New Roman" w:hAnsi="Times New Roman" w:cs="Times New Roman"/>
          <w:sz w:val="24"/>
          <w:szCs w:val="24"/>
        </w:rPr>
        <w:fldChar w:fldCharType="separate"/>
      </w:r>
      <w:r w:rsidRPr="00F24D44">
        <w:rPr>
          <w:rFonts w:ascii="Times New Roman" w:hAnsi="Times New Roman" w:cs="Times New Roman"/>
          <w:sz w:val="24"/>
          <w:szCs w:val="24"/>
          <w:vertAlign w:val="superscript"/>
        </w:rPr>
        <w:t>46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Lower </w:t>
      </w:r>
      <w:r>
        <w:rPr>
          <w:rFonts w:ascii="Times New Roman" w:eastAsia="Times New Roman" w:hAnsi="Times New Roman" w:cs="Times New Roman"/>
          <w:i/>
          <w:sz w:val="24"/>
          <w:szCs w:val="24"/>
        </w:rPr>
        <w:t>k</w:t>
      </w:r>
      <w:r>
        <w:rPr>
          <w:rFonts w:ascii="Times New Roman" w:eastAsia="Times New Roman" w:hAnsi="Times New Roman" w:cs="Times New Roman"/>
          <w:i/>
          <w:sz w:val="24"/>
          <w:szCs w:val="24"/>
          <w:vertAlign w:val="subscript"/>
        </w:rPr>
        <w:t>c</w:t>
      </w:r>
      <w:r>
        <w:rPr>
          <w:rFonts w:ascii="Times New Roman" w:eastAsia="Times New Roman" w:hAnsi="Times New Roman" w:cs="Times New Roman"/>
          <w:sz w:val="24"/>
          <w:szCs w:val="24"/>
        </w:rPr>
        <w:t xml:space="preserve"> values indicate that a plant can more efficiently use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for photosynthesis, as it reaches half of its maximum photosynthetic rate at lower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concentrations (Table C1).</w:t>
      </w:r>
      <w:r>
        <w:rPr>
          <w:rFonts w:ascii="Times New Roman" w:eastAsia="Times New Roman" w:hAnsi="Times New Roman" w:cs="Times New Roman"/>
          <w:color w:val="000000"/>
          <w:sz w:val="24"/>
          <w:szCs w:val="24"/>
        </w:rPr>
        <w:t> </w:t>
      </w:r>
      <w:r w:rsidRPr="00E9089C">
        <w:rPr>
          <w:rFonts w:ascii="Times New Roman" w:eastAsia="Times New Roman" w:hAnsi="Times New Roman" w:cs="Times New Roman"/>
          <w:color w:val="000000"/>
          <w:sz w:val="24"/>
          <w:szCs w:val="24"/>
        </w:rPr>
        <w:t>CO</w:t>
      </w:r>
      <w:r w:rsidRPr="007B7BE4">
        <w:rPr>
          <w:rFonts w:ascii="Times New Roman" w:eastAsia="Times New Roman" w:hAnsi="Times New Roman" w:cs="Times New Roman"/>
          <w:color w:val="000000"/>
          <w:sz w:val="24"/>
          <w:szCs w:val="24"/>
          <w:vertAlign w:val="subscript"/>
        </w:rPr>
        <w:t>2</w:t>
      </w:r>
      <w:r w:rsidRPr="00E9089C">
        <w:rPr>
          <w:rFonts w:ascii="Times New Roman" w:eastAsia="Times New Roman" w:hAnsi="Times New Roman" w:cs="Times New Roman"/>
          <w:color w:val="000000"/>
          <w:sz w:val="24"/>
          <w:szCs w:val="24"/>
        </w:rPr>
        <w:t xml:space="preserve"> fertilization increase</w:t>
      </w:r>
      <w:r>
        <w:rPr>
          <w:rFonts w:ascii="Times New Roman" w:eastAsia="Times New Roman" w:hAnsi="Times New Roman" w:cs="Times New Roman"/>
          <w:color w:val="000000"/>
          <w:sz w:val="24"/>
          <w:szCs w:val="24"/>
        </w:rPr>
        <w:t>s</w:t>
      </w:r>
      <w:r w:rsidRPr="00E9089C">
        <w:rPr>
          <w:rFonts w:ascii="Times New Roman" w:eastAsia="Times New Roman" w:hAnsi="Times New Roman" w:cs="Times New Roman"/>
          <w:color w:val="000000"/>
          <w:sz w:val="24"/>
          <w:szCs w:val="24"/>
        </w:rPr>
        <w:t xml:space="preserve"> water use efficiency o</w:t>
      </w:r>
      <w:r>
        <w:rPr>
          <w:rFonts w:ascii="Times New Roman" w:eastAsia="Times New Roman" w:hAnsi="Times New Roman" w:cs="Times New Roman"/>
          <w:color w:val="000000"/>
          <w:sz w:val="24"/>
          <w:szCs w:val="24"/>
        </w:rPr>
        <w:t>f tree PFTs</w:t>
      </w:r>
      <w:r w:rsidRPr="00E9089C">
        <w:rPr>
          <w:rFonts w:ascii="Times New Roman" w:eastAsia="Times New Roman" w:hAnsi="Times New Roman" w:cs="Times New Roman"/>
          <w:color w:val="000000"/>
          <w:sz w:val="24"/>
          <w:szCs w:val="24"/>
        </w:rPr>
        <w:t>, as it allows them to maintain high rates of photosynthesis with reduced water loss through transpiration</w:t>
      </w:r>
      <w:r>
        <w:rPr>
          <w:rFonts w:ascii="Times New Roman" w:eastAsia="Times New Roman" w:hAnsi="Times New Roman" w:cs="Times New Roman"/>
          <w:color w:val="000000"/>
          <w:sz w:val="24"/>
          <w:szCs w:val="24"/>
        </w:rPr>
        <w:t xml:space="preserve"> (Figure C1)</w:t>
      </w:r>
      <w:r w:rsidRPr="00E9089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Thus, forests may be more resilient to future climatic changes than previously thought, as they could maintain or even increase productivity and carbon storage under warmer and wetter conditions.</w:t>
      </w:r>
      <w:r w:rsidRPr="00791FED">
        <w:rPr>
          <w:rFonts w:ascii="Times New Roman" w:eastAsia="Times New Roman" w:hAnsi="Times New Roman" w:cs="Times New Roman"/>
          <w:color w:val="000000"/>
          <w:sz w:val="24"/>
          <w:szCs w:val="24"/>
        </w:rPr>
        <w:t xml:space="preserve"> However, an increase in temperatures with a decrease in precipitation resulted in the loss of forests, as observed in grids where shrubs and grass are the dominant PFTs.</w:t>
      </w:r>
      <w:r w:rsidRPr="006D7F79">
        <w:rPr>
          <w:rFonts w:ascii="Times New Roman" w:eastAsia="Times New Roman" w:hAnsi="Times New Roman" w:cs="Times New Roman"/>
          <w:sz w:val="24"/>
          <w:szCs w:val="24"/>
        </w:rPr>
        <w:t xml:space="preserve"> </w:t>
      </w:r>
      <w:r w:rsidRPr="006D7F79">
        <w:rPr>
          <w:rFonts w:ascii="Times New Roman" w:eastAsia="Times New Roman" w:hAnsi="Times New Roman" w:cs="Times New Roman"/>
          <w:color w:val="000000"/>
          <w:sz w:val="24"/>
          <w:szCs w:val="24"/>
        </w:rPr>
        <w:t>Future models</w:t>
      </w:r>
      <w:r>
        <w:rPr>
          <w:rFonts w:ascii="Times New Roman" w:eastAsia="Times New Roman" w:hAnsi="Times New Roman" w:cs="Times New Roman"/>
          <w:color w:val="000000"/>
          <w:sz w:val="24"/>
          <w:szCs w:val="24"/>
        </w:rPr>
        <w:t xml:space="preserve"> also</w:t>
      </w:r>
      <w:r w:rsidRPr="006D7F7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show evapo</w:t>
      </w:r>
      <w:r w:rsidRPr="006D7F79">
        <w:rPr>
          <w:rFonts w:ascii="Times New Roman" w:eastAsia="Times New Roman" w:hAnsi="Times New Roman" w:cs="Times New Roman"/>
          <w:color w:val="000000"/>
          <w:sz w:val="24"/>
          <w:szCs w:val="24"/>
        </w:rPr>
        <w:t>transpiration rates</w:t>
      </w:r>
      <w:r>
        <w:rPr>
          <w:rFonts w:ascii="Times New Roman" w:eastAsia="Times New Roman" w:hAnsi="Times New Roman" w:cs="Times New Roman"/>
          <w:color w:val="000000"/>
          <w:sz w:val="24"/>
          <w:szCs w:val="24"/>
        </w:rPr>
        <w:t xml:space="preserve"> increasing due to vegetation regrowth rather than decreasing </w:t>
      </w:r>
      <w:proofErr w:type="gramStart"/>
      <w:r>
        <w:rPr>
          <w:rFonts w:ascii="Times New Roman" w:eastAsia="Times New Roman" w:hAnsi="Times New Roman" w:cs="Times New Roman"/>
          <w:color w:val="000000"/>
          <w:sz w:val="24"/>
          <w:szCs w:val="24"/>
        </w:rPr>
        <w:t>as a result of</w:t>
      </w:r>
      <w:proofErr w:type="gramEnd"/>
      <w:r>
        <w:rPr>
          <w:rFonts w:ascii="Times New Roman" w:eastAsia="Times New Roman" w:hAnsi="Times New Roman" w:cs="Times New Roman"/>
          <w:color w:val="000000"/>
          <w:sz w:val="24"/>
          <w:szCs w:val="24"/>
        </w:rPr>
        <w:t xml:space="preserve"> reduced soil moisture. The enhanced transpiration relative to evaporation may also be the result of limited soil moisture and warmer atmosphere, which creates a gradient for moving water from</w:t>
      </w:r>
      <w:r w:rsidRPr="006D7F79">
        <w:rPr>
          <w:rFonts w:ascii="Times New Roman" w:eastAsia="Times New Roman" w:hAnsi="Times New Roman" w:cs="Times New Roman"/>
          <w:color w:val="000000"/>
          <w:sz w:val="24"/>
          <w:szCs w:val="24"/>
        </w:rPr>
        <w:t xml:space="preserve"> the plant to the atmosphere and may</w:t>
      </w:r>
      <w:r>
        <w:rPr>
          <w:rFonts w:ascii="Times New Roman" w:eastAsia="Times New Roman" w:hAnsi="Times New Roman" w:cs="Times New Roman"/>
          <w:color w:val="000000"/>
          <w:sz w:val="24"/>
          <w:szCs w:val="24"/>
        </w:rPr>
        <w:t xml:space="preserve"> also</w:t>
      </w:r>
      <w:r w:rsidRPr="006D7F79">
        <w:rPr>
          <w:rFonts w:ascii="Times New Roman" w:eastAsia="Times New Roman" w:hAnsi="Times New Roman" w:cs="Times New Roman"/>
          <w:color w:val="000000"/>
          <w:sz w:val="24"/>
          <w:szCs w:val="24"/>
        </w:rPr>
        <w:t xml:space="preserve"> leave plants moisture stressed</w:t>
      </w:r>
      <w:r>
        <w:rPr>
          <w:rFonts w:ascii="Times New Roman" w:eastAsia="Times New Roman" w:hAnsi="Times New Roman" w:cs="Times New Roman"/>
          <w:color w:val="000000"/>
          <w:sz w:val="24"/>
          <w:szCs w:val="24"/>
        </w:rPr>
        <w:t xml:space="preserve">. </w:t>
      </w:r>
      <w:r w:rsidRPr="006D7F7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Figure C2</w:t>
      </w:r>
      <w:r w:rsidRPr="006D7F79">
        <w:rPr>
          <w:rFonts w:ascii="Times New Roman" w:eastAsia="Times New Roman" w:hAnsi="Times New Roman" w:cs="Times New Roman"/>
          <w:color w:val="000000"/>
          <w:sz w:val="24"/>
          <w:szCs w:val="24"/>
        </w:rPr>
        <w:t>).</w:t>
      </w:r>
    </w:p>
    <w:p w14:paraId="056A0216" w14:textId="77777777" w:rsidR="009147D5" w:rsidRDefault="009147D5" w:rsidP="009147D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Even though </w:t>
      </w:r>
      <w:r w:rsidRPr="008A5635">
        <w:rPr>
          <w:rFonts w:ascii="Times New Roman" w:eastAsia="Times New Roman" w:hAnsi="Times New Roman" w:cs="Times New Roman"/>
          <w:color w:val="000000"/>
          <w:sz w:val="24"/>
          <w:szCs w:val="24"/>
        </w:rPr>
        <w:t>earlier studies demonstrated substantial CO</w:t>
      </w:r>
      <w:r w:rsidRPr="008A5635">
        <w:rPr>
          <w:rFonts w:ascii="Times New Roman" w:eastAsia="Times New Roman" w:hAnsi="Times New Roman" w:cs="Times New Roman"/>
          <w:color w:val="000000"/>
          <w:sz w:val="24"/>
          <w:szCs w:val="24"/>
          <w:vertAlign w:val="subscript"/>
        </w:rPr>
        <w:t>2</w:t>
      </w:r>
      <w:r w:rsidRPr="008A5635">
        <w:rPr>
          <w:rFonts w:ascii="Times New Roman" w:eastAsia="Times New Roman" w:hAnsi="Times New Roman" w:cs="Times New Roman"/>
          <w:color w:val="000000"/>
          <w:sz w:val="24"/>
          <w:szCs w:val="24"/>
        </w:rPr>
        <w:t xml:space="preserve"> fertilization effect</w:t>
      </w:r>
      <w:r>
        <w:rPr>
          <w:rFonts w:ascii="Times New Roman" w:eastAsia="Times New Roman" w:hAnsi="Times New Roman" w:cs="Times New Roman"/>
          <w:color w:val="000000"/>
          <w:sz w:val="24"/>
          <w:szCs w:val="24"/>
        </w:rPr>
        <w:t xml:space="preserve"> on forests,</w:t>
      </w:r>
      <w:r w:rsidRPr="008A563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it </w:t>
      </w:r>
      <w:r w:rsidRPr="00E53142">
        <w:rPr>
          <w:rFonts w:ascii="Times New Roman" w:eastAsia="Times New Roman" w:hAnsi="Times New Roman" w:cs="Times New Roman"/>
          <w:color w:val="000000"/>
          <w:sz w:val="24"/>
          <w:szCs w:val="24"/>
        </w:rPr>
        <w:t xml:space="preserve">is important to </w:t>
      </w:r>
      <w:r>
        <w:rPr>
          <w:rFonts w:ascii="Times New Roman" w:eastAsia="Times New Roman" w:hAnsi="Times New Roman" w:cs="Times New Roman"/>
          <w:color w:val="000000"/>
          <w:sz w:val="24"/>
          <w:szCs w:val="24"/>
        </w:rPr>
        <w:t>note that</w:t>
      </w:r>
      <w:r w:rsidRPr="00E53142">
        <w:rPr>
          <w:rFonts w:ascii="Times New Roman" w:eastAsia="Times New Roman" w:hAnsi="Times New Roman" w:cs="Times New Roman"/>
          <w:color w:val="000000"/>
          <w:sz w:val="24"/>
          <w:szCs w:val="24"/>
        </w:rPr>
        <w:t xml:space="preserve"> recent findings from FACE (Free Air CO</w:t>
      </w:r>
      <w:r w:rsidRPr="00C01220">
        <w:rPr>
          <w:rFonts w:ascii="Times New Roman" w:eastAsia="Times New Roman" w:hAnsi="Times New Roman" w:cs="Times New Roman"/>
          <w:color w:val="000000"/>
          <w:sz w:val="24"/>
          <w:szCs w:val="24"/>
          <w:vertAlign w:val="subscript"/>
        </w:rPr>
        <w:t>2</w:t>
      </w:r>
      <w:r w:rsidRPr="00E53142">
        <w:rPr>
          <w:rFonts w:ascii="Times New Roman" w:eastAsia="Times New Roman" w:hAnsi="Times New Roman" w:cs="Times New Roman"/>
          <w:color w:val="000000"/>
          <w:sz w:val="24"/>
          <w:szCs w:val="24"/>
        </w:rPr>
        <w:t xml:space="preserve"> Enhancement) studies, such as </w:t>
      </w:r>
      <w:r w:rsidRPr="00493AB3">
        <w:rPr>
          <w:rFonts w:ascii="Times New Roman" w:eastAsia="Times New Roman" w:hAnsi="Times New Roman" w:cs="Times New Roman"/>
          <w:color w:val="000000"/>
          <w:sz w:val="24"/>
          <w:szCs w:val="24"/>
        </w:rPr>
        <w:t>The </w:t>
      </w:r>
      <w:r w:rsidRPr="00493AB3">
        <w:rPr>
          <w:rFonts w:ascii="Times New Roman" w:eastAsia="Times New Roman" w:hAnsi="Times New Roman" w:cs="Times New Roman"/>
          <w:i/>
          <w:iCs/>
          <w:color w:val="000000"/>
          <w:sz w:val="24"/>
          <w:szCs w:val="24"/>
        </w:rPr>
        <w:t>Eucalyptus</w:t>
      </w:r>
      <w:r w:rsidRPr="00493AB3">
        <w:rPr>
          <w:rFonts w:ascii="Times New Roman" w:eastAsia="Times New Roman" w:hAnsi="Times New Roman" w:cs="Times New Roman"/>
          <w:color w:val="000000"/>
          <w:sz w:val="24"/>
          <w:szCs w:val="24"/>
        </w:rPr>
        <w:t> FACE</w:t>
      </w:r>
      <w:r>
        <w:rPr>
          <w:rFonts w:ascii="Times New Roman" w:eastAsia="Times New Roman" w:hAnsi="Times New Roman" w:cs="Times New Roman"/>
          <w:color w:val="000000"/>
          <w:sz w:val="24"/>
          <w:szCs w:val="24"/>
        </w:rPr>
        <w:t xml:space="preserve"> (</w:t>
      </w:r>
      <w:r w:rsidRPr="00E53142">
        <w:rPr>
          <w:rFonts w:ascii="Times New Roman" w:eastAsia="Times New Roman" w:hAnsi="Times New Roman" w:cs="Times New Roman"/>
          <w:color w:val="000000"/>
          <w:sz w:val="24"/>
          <w:szCs w:val="24"/>
        </w:rPr>
        <w:t>EUCFACE</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{"citationID":"YxppTEOm","properties":{"formattedCitation":"\\super 47\\nosupersub{}","plainCitation":"47","noteIndex":0},"citationItems":[{"id":1118,"uris":["http://zotero.org/users/8442981/items/6ZAMGRYP"],"itemData":{"id":1118,"type":"article-journal","abstract":"Atmospheric carbon dioxide enrichment (eCO2) can enhance plant carbon uptake and growth1–5, thereby providing an important negative feedback to climate change by slowing the rate of increase of the atmospheric CO2 concentration6. Although evidence gathered from young aggrading forests has generally indicated a strong CO2 fertilization effect on biomass growth3–5, it is unclear whether mature forests respond to eCO2 in a similar way. In mature trees and forest stands7–10, photosynthetic uptake has been found to increase under eCO2 without any apparent accompanying growth response, leaving the fate of additional carbon fixed under eCO2 unclear4,5,7–11. Here using data from the first ecosystem-scale Free-Air CO2 Enrichment (FACE) experiment in a mature forest, we constructed a comprehensive ecosystem carbon budget to track the fate of carbon as the forest responded to four years of eCO2 exposure. We show that, although the eCO2 treatment of +150 parts per million (+38 per cent) above ambient levels induced a 12 per cent (+247 grams of carbon per square metre per year) increase in carbon uptake through gross primary production, this additional carbon uptake did not lead to increased carbon sequestration at the ecosystem level. Instead, the majority of the extra carbon was emitted back into the atmosphere via several respiratory fluxes, with increased soil respiration alone accounting for half of the total uptake surplus. Our results call into question the predominant thinking that the capacity of forests to act as carbon sinks will be generally enhanced under eCO2, and challenge the efficacy of climate mitigation strategies that rely on ubiquitous CO2 fertilization as a driver of increased carbon sinks in global forests.","container-title":"Nature","DOI":"10.1038/s41586-020-2128-9","ISSN":"1476-4687","issue":"7802","language":"en","license":"2020 The Author(s), under exclusive licence to Springer Nature Limited","note":"number: 7802\npublisher: Nature Publishing Group","page":"227-231","source":"www.nature.com","title":"The fate of carbon in a mature forest under carbon dioxide enrichment","volume":"580","author":[{"family":"Jiang","given":"Mingkai"},{"family":"Medlyn","given":"Belinda E."},{"family":"Drake","given":"John E."},{"family":"Duursma","given":"Remko A."},{"family":"Anderson","given":"Ian C."},{"family":"Barton","given":"Craig V. M."},{"family":"Boer","given":"Matthias M."},{"family":"Carrillo","given":"Yolima"},{"family":"Castañeda-Gómez","given":"Laura"},{"family":"Collins","given":"Luke"},{"family":"Crous","given":"Kristine Y."},{"family":"De Kauwe","given":"Martin G."},{"family":"Santos","given":"Bruna M.","non-dropping-particle":"dos"},{"family":"Emmerson","given":"Kathryn M."},{"family":"Facey","given":"Sarah L."},{"family":"Gherlenda","given":"Andrew N."},{"family":"Gimeno","given":"Teresa E."},{"family":"Hasegawa","given":"Shun"},{"family":"Johnson","given":"Scott N."},{"family":"Kännaste","given":"Astrid"},{"family":"Macdonald","given":"Catriona A."},{"family":"Mahmud","given":"Kashif"},{"family":"Moore","given":"Ben D."},{"family":"Nazaries","given":"Loïc"},{"family":"Neilson","given":"Elizabeth H. J."},{"family":"Nielsen","given":"Uffe N."},{"family":"Niinemets","given":"Ülo"},{"family":"Noh","given":"Nam Jin"},{"family":"Ochoa-Hueso","given":"Raúl"},{"family":"Pathare","given":"Varsha S."},{"family":"Pendall","given":"Elise"},{"family":"Pihlblad","given":"Johanna"},{"family":"Piñeiro","given":"Juan"},{"family":"Powell","given":"Jeff R."},{"family":"Power","given":"Sally A."},{"family":"Reich","given":"Peter B."},{"family":"Renchon","given":"Alexandre A."},{"family":"Riegler","given":"Markus"},{"family":"Rinnan","given":"Riikka"},{"family":"Rymer","given":"Paul D."},{"family":"Salomón","given":"Roberto L."},{"family":"Singh","given":"Brajesh K."},{"family":"Smith","given":"Benjamin"},{"family":"Tjoelker","given":"Mark G."},{"family":"Walker","given":"Jennifer K. M."},{"family":"Wujeska-Klause","given":"Agnieszka"},{"family":"Yang","given":"Jinyan"},{"family":"Zaehle","given":"Sönke"},{"family":"Ellsworth","given":"David S."}],"issued":{"date-parts":[["2020",4]]}}}],"schema":"https://github.com/citation-style-language/schema/raw/master/csl-citation.json"}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F24D44">
        <w:rPr>
          <w:rFonts w:ascii="Times New Roman" w:hAnsi="Times New Roman" w:cs="Times New Roman"/>
          <w:sz w:val="24"/>
          <w:szCs w:val="24"/>
          <w:vertAlign w:val="superscript"/>
        </w:rPr>
        <w:t>47</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w:t>
      </w:r>
      <w:r w:rsidRPr="00E53142">
        <w:rPr>
          <w:rFonts w:ascii="Times New Roman" w:eastAsia="Times New Roman" w:hAnsi="Times New Roman" w:cs="Times New Roman"/>
          <w:color w:val="000000"/>
          <w:sz w:val="24"/>
          <w:szCs w:val="24"/>
        </w:rPr>
        <w:t xml:space="preserve">and </w:t>
      </w:r>
      <w:r w:rsidRPr="00D333FC">
        <w:rPr>
          <w:rFonts w:ascii="Times New Roman" w:eastAsia="Times New Roman" w:hAnsi="Times New Roman" w:cs="Times New Roman"/>
          <w:color w:val="000000"/>
          <w:sz w:val="24"/>
          <w:szCs w:val="24"/>
        </w:rPr>
        <w:t xml:space="preserve">Birmingham Institute of Forest Research </w:t>
      </w:r>
      <w:r>
        <w:rPr>
          <w:rFonts w:ascii="Times New Roman" w:eastAsia="Times New Roman" w:hAnsi="Times New Roman" w:cs="Times New Roman"/>
          <w:color w:val="000000"/>
          <w:sz w:val="24"/>
          <w:szCs w:val="24"/>
        </w:rPr>
        <w:t>(</w:t>
      </w:r>
      <w:proofErr w:type="spellStart"/>
      <w:r w:rsidRPr="00E53142">
        <w:rPr>
          <w:rFonts w:ascii="Times New Roman" w:eastAsia="Times New Roman" w:hAnsi="Times New Roman" w:cs="Times New Roman"/>
          <w:color w:val="000000"/>
          <w:sz w:val="24"/>
          <w:szCs w:val="24"/>
        </w:rPr>
        <w:t>BiForFACE</w:t>
      </w:r>
      <w:proofErr w:type="spellEnd"/>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{"citationID":"XUcOtu2F","properties":{"formattedCitation":"\\super 48\\nosupersub{}","plainCitation":"48","noteIndex":0},"citationItems":[{"id":1120,"uris":["http://zotero.org/users/8442981/items/8QZ8EAHV"],"itemData":{"id":1120,"type":"article-journal","abstract":"In 2017, the Birmingham Institute of Forest Research (BIFoR) began to conduct Free Air Carbon Dioxide Enrichment (FACE) within a mature broadleaf deciduous forest situated in the United Kingdom. BIFoR FACE employs large‐scale infrastructure, in the form of lattice towers, forming ‘arrays’ which encircle a forest plot of ~30 m diameter. BIFoR FACE consists of three treatment arrays to elevate local CO2 concentrations (e[CO2]) by +150 µmol/mol. In practice, acceptable operational enrichment (ambient [CO2] + e[CO2]) is ±20% of the set point 1‐min average target. There are a further three arrays that replicate the infrastructure and deliver ambient air as paired controls for the treatment arrays. For the first growing season with e[CO2] (April to November 2017), [CO2] measurements in treatment and control arrays show that the target concentration was successfully delivered, that is: +147 ± 21 µmol/mol (mean ± SD) or 98 ± 14% of set point enrichment target. e[CO2] treatment was accomplished for 97.7% of the scheduled operation time, with the remaining time lost due to engineering faults (0.6% of the time), CO2 supply issues (0.6%) or adverse weather conditions (1.1%). CO2 demand in the facility was driven predominantly by wind speed and the formation of the deciduous canopy. Deviations greater than 10% from the ambient baseline CO2 occurred &lt;1% of the time in control arrays. Incidences of cross‐contamination &gt;80 µmol/mol (i.e. &gt;53% of the treatment increment) into control arrays accounted for &lt;0.1% of the enrichment period. The median [CO2] values in reconstructed three‐dimensional [CO2] fields show enrichment somewhat lower than the target but still well above ambient. The data presented here provide confidence in the facility setup and can be used to guide future next‐generation forest FACE facilities built into tall and complex forest stands., The Birmingham Institute of Forest Research (BIFoR) has built and operated a free‐air carbon dioxide enrichment (FACE) facility in deciduous forest in the United Kingdom. BIFoR FACE aims to elevate the local atmospheric carbon dioxide concentrations of a temperate, mature, oak woodland, to mimic those predicted for 30–50 years into the future. The facility target of 150 parts per million (ppm) above ambient (currently ~405 ppm) was reached in 97% of the operation time in the first year of operation (2017). With performance of the facility characterized, researchers can now investigate how this ecosystem responds to elevated CO2.","container-title":"Global Change Biology","DOI":"10.1111/gcb.14786","ISSN":"1354-1013","issue":"2","journalAbbreviation":"Glob Chang Biol","note":"PMID: 31376229\nPMCID: PMC7027798","page":"1023-1037","source":"PubMed Central","title":"Characteristics of free air carbon dioxide enrichment of a northern temperate mature forest","volume":"26","author":[{"family":"Hart","given":"Kris M."},{"family":"Curioni","given":"Giulio"},{"family":"Blaen","given":"Phillip"},{"family":"Harper","given":"Nicholas J."},{"family":"Miles","given":"Peter"},{"family":"Lewin","given":"Keith F."},{"family":"Nagy","given":"John"},{"family":"Bannister","given":"Edward J."},{"family":"Cai","given":"Xiaoming M."},{"family":"Thomas","given":"Rick M."},{"family":"Krause","given":"Stefan"},{"family":"Tausz","given":"Michael"},{"family":"MacKenzie","given":"A. Robert"}],"issued":{"date-parts":[["2020",2]]}}}],"schema":"https://github.com/citation-style-language/schema/raw/master/csl-citation.json"}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F24D44">
        <w:rPr>
          <w:rFonts w:ascii="Times New Roman" w:hAnsi="Times New Roman" w:cs="Times New Roman"/>
          <w:sz w:val="24"/>
          <w:szCs w:val="24"/>
          <w:vertAlign w:val="superscript"/>
        </w:rPr>
        <w:t>48</w:t>
      </w:r>
      <w:r>
        <w:rPr>
          <w:rFonts w:ascii="Times New Roman" w:eastAsia="Times New Roman" w:hAnsi="Times New Roman" w:cs="Times New Roman"/>
          <w:color w:val="000000"/>
          <w:sz w:val="24"/>
          <w:szCs w:val="24"/>
        </w:rPr>
        <w:fldChar w:fldCharType="end"/>
      </w:r>
      <w:r w:rsidRPr="00E5314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concluded</w:t>
      </w:r>
      <w:r w:rsidRPr="00E53142">
        <w:rPr>
          <w:rFonts w:ascii="Times New Roman" w:eastAsia="Times New Roman" w:hAnsi="Times New Roman" w:cs="Times New Roman"/>
          <w:color w:val="000000"/>
          <w:sz w:val="24"/>
          <w:szCs w:val="24"/>
        </w:rPr>
        <w:t xml:space="preserve"> that the CO</w:t>
      </w:r>
      <w:r w:rsidRPr="00B85841">
        <w:rPr>
          <w:rFonts w:ascii="Times New Roman" w:eastAsia="Times New Roman" w:hAnsi="Times New Roman" w:cs="Times New Roman"/>
          <w:color w:val="000000"/>
          <w:sz w:val="24"/>
          <w:szCs w:val="24"/>
          <w:vertAlign w:val="subscript"/>
        </w:rPr>
        <w:t>2</w:t>
      </w:r>
      <w:r w:rsidRPr="00E53142">
        <w:rPr>
          <w:rFonts w:ascii="Times New Roman" w:eastAsia="Times New Roman" w:hAnsi="Times New Roman" w:cs="Times New Roman"/>
          <w:color w:val="000000"/>
          <w:sz w:val="24"/>
          <w:szCs w:val="24"/>
        </w:rPr>
        <w:t xml:space="preserve"> fertilization effect may not be as potent as once believed. These studies suggest that the CO</w:t>
      </w:r>
      <w:r w:rsidRPr="00B85841">
        <w:rPr>
          <w:rFonts w:ascii="Times New Roman" w:eastAsia="Times New Roman" w:hAnsi="Times New Roman" w:cs="Times New Roman"/>
          <w:color w:val="000000"/>
          <w:sz w:val="24"/>
          <w:szCs w:val="24"/>
          <w:vertAlign w:val="subscript"/>
        </w:rPr>
        <w:t xml:space="preserve">2 </w:t>
      </w:r>
      <w:r w:rsidRPr="00E53142">
        <w:rPr>
          <w:rFonts w:ascii="Times New Roman" w:eastAsia="Times New Roman" w:hAnsi="Times New Roman" w:cs="Times New Roman"/>
          <w:color w:val="000000"/>
          <w:sz w:val="24"/>
          <w:szCs w:val="24"/>
        </w:rPr>
        <w:t xml:space="preserve">fertilization effect might primarily occur in young, growing trees, rather than in mature trees. </w:t>
      </w:r>
      <w:r>
        <w:rPr>
          <w:rFonts w:ascii="Times New Roman" w:eastAsia="Times New Roman" w:hAnsi="Times New Roman" w:cs="Times New Roman"/>
          <w:color w:val="000000"/>
          <w:sz w:val="24"/>
          <w:szCs w:val="24"/>
        </w:rPr>
        <w:t xml:space="preserve">More </w:t>
      </w:r>
      <w:r w:rsidRPr="00E53142">
        <w:rPr>
          <w:rFonts w:ascii="Times New Roman" w:eastAsia="Times New Roman" w:hAnsi="Times New Roman" w:cs="Times New Roman"/>
          <w:color w:val="000000"/>
          <w:sz w:val="24"/>
          <w:szCs w:val="24"/>
        </w:rPr>
        <w:t>research is</w:t>
      </w:r>
      <w:r>
        <w:rPr>
          <w:rFonts w:ascii="Times New Roman" w:eastAsia="Times New Roman" w:hAnsi="Times New Roman" w:cs="Times New Roman"/>
          <w:color w:val="000000"/>
          <w:sz w:val="24"/>
          <w:szCs w:val="24"/>
        </w:rPr>
        <w:t xml:space="preserve"> therefore </w:t>
      </w:r>
      <w:r w:rsidRPr="00E53142">
        <w:rPr>
          <w:rFonts w:ascii="Times New Roman" w:eastAsia="Times New Roman" w:hAnsi="Times New Roman" w:cs="Times New Roman"/>
          <w:color w:val="000000"/>
          <w:sz w:val="24"/>
          <w:szCs w:val="24"/>
        </w:rPr>
        <w:t>ne</w:t>
      </w:r>
      <w:r>
        <w:rPr>
          <w:rFonts w:ascii="Times New Roman" w:eastAsia="Times New Roman" w:hAnsi="Times New Roman" w:cs="Times New Roman"/>
          <w:color w:val="000000"/>
          <w:sz w:val="24"/>
          <w:szCs w:val="24"/>
        </w:rPr>
        <w:t xml:space="preserve">eded </w:t>
      </w:r>
      <w:r w:rsidRPr="00E53142">
        <w:rPr>
          <w:rFonts w:ascii="Times New Roman" w:eastAsia="Times New Roman" w:hAnsi="Times New Roman" w:cs="Times New Roman"/>
          <w:color w:val="000000"/>
          <w:sz w:val="24"/>
          <w:szCs w:val="24"/>
        </w:rPr>
        <w:t xml:space="preserve">to better understand </w:t>
      </w:r>
      <w:r>
        <w:rPr>
          <w:rFonts w:ascii="Times New Roman" w:eastAsia="Times New Roman" w:hAnsi="Times New Roman" w:cs="Times New Roman"/>
          <w:color w:val="000000"/>
          <w:sz w:val="24"/>
          <w:szCs w:val="24"/>
        </w:rPr>
        <w:t>the effect of CO</w:t>
      </w:r>
      <w:r w:rsidRPr="00DF08D0">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vertAlign w:val="subscript"/>
        </w:rPr>
        <w:t xml:space="preserve"> </w:t>
      </w:r>
      <w:r>
        <w:rPr>
          <w:rFonts w:ascii="Times New Roman" w:eastAsia="Times New Roman" w:hAnsi="Times New Roman" w:cs="Times New Roman"/>
          <w:color w:val="000000"/>
          <w:sz w:val="24"/>
          <w:szCs w:val="24"/>
        </w:rPr>
        <w:t xml:space="preserve">fertilization. </w:t>
      </w:r>
    </w:p>
    <w:p w14:paraId="4EDEC8C1" w14:textId="77777777" w:rsidR="009147D5" w:rsidRDefault="009147D5" w:rsidP="009147D5">
      <w:pPr>
        <w:jc w:val="both"/>
        <w:rPr>
          <w:rFonts w:ascii="Times New Roman" w:eastAsia="Times New Roman" w:hAnsi="Times New Roman" w:cs="Times New Roman"/>
          <w:color w:val="000000"/>
          <w:sz w:val="24"/>
          <w:szCs w:val="24"/>
        </w:rPr>
      </w:pPr>
    </w:p>
    <w:p w14:paraId="53C867E2" w14:textId="77777777" w:rsidR="009147D5" w:rsidRPr="00DF08D0" w:rsidRDefault="009147D5" w:rsidP="009147D5">
      <w:pPr>
        <w:jc w:val="both"/>
        <w:rPr>
          <w:rFonts w:ascii="Times New Roman" w:eastAsia="Times New Roman" w:hAnsi="Times New Roman" w:cs="Times New Roman"/>
          <w:color w:val="000000"/>
          <w:sz w:val="24"/>
          <w:szCs w:val="24"/>
        </w:rPr>
      </w:pPr>
    </w:p>
    <w:p w14:paraId="4A4625CA"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0288" behindDoc="1" locked="0" layoutInCell="1" allowOverlap="1" wp14:anchorId="7F47AD24" wp14:editId="7BCA440C">
            <wp:simplePos x="0" y="0"/>
            <wp:positionH relativeFrom="column">
              <wp:posOffset>3467172</wp:posOffset>
            </wp:positionH>
            <wp:positionV relativeFrom="paragraph">
              <wp:posOffset>-352377</wp:posOffset>
            </wp:positionV>
            <wp:extent cx="2596515" cy="1710690"/>
            <wp:effectExtent l="0" t="0" r="0" b="3810"/>
            <wp:wrapTight wrapText="bothSides">
              <wp:wrapPolygon edited="0">
                <wp:start x="0" y="0"/>
                <wp:lineTo x="0" y="21408"/>
                <wp:lineTo x="21394" y="21408"/>
                <wp:lineTo x="21394" y="0"/>
                <wp:lineTo x="0" y="0"/>
              </wp:wrapPolygon>
            </wp:wrapTight>
            <wp:docPr id="1919662054" name="Graphic 191966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662054" name="Graphic 1919662054"/>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596515" cy="1710690"/>
                    </a:xfrm>
                    <a:prstGeom prst="rect">
                      <a:avLst/>
                    </a:prstGeom>
                  </pic:spPr>
                </pic:pic>
              </a:graphicData>
            </a:graphic>
          </wp:anchor>
        </w:drawing>
      </w:r>
      <w:r>
        <w:rPr>
          <w:rFonts w:ascii="Times New Roman" w:eastAsia="Times New Roman" w:hAnsi="Times New Roman" w:cs="Times New Roman"/>
          <w:b/>
          <w:sz w:val="24"/>
          <w:szCs w:val="24"/>
        </w:rPr>
        <w:t xml:space="preserve">Figure C1 </w:t>
      </w:r>
      <w:r w:rsidRPr="00451D2A">
        <w:rPr>
          <w:rFonts w:ascii="Times New Roman" w:eastAsia="Times New Roman" w:hAnsi="Times New Roman" w:cs="Times New Roman"/>
          <w:sz w:val="24"/>
          <w:szCs w:val="24"/>
        </w:rPr>
        <w:t>Water Use Efficiency (GPP/Transpiration) with respect to CO</w:t>
      </w:r>
      <w:r w:rsidRPr="00451D2A">
        <w:rPr>
          <w:rFonts w:ascii="Times New Roman" w:eastAsia="Times New Roman" w:hAnsi="Times New Roman" w:cs="Times New Roman"/>
          <w:sz w:val="24"/>
          <w:szCs w:val="24"/>
          <w:vertAlign w:val="subscript"/>
        </w:rPr>
        <w:t xml:space="preserve">2 </w:t>
      </w:r>
      <w:r w:rsidRPr="00451D2A">
        <w:rPr>
          <w:rFonts w:ascii="Times New Roman" w:eastAsia="Times New Roman" w:hAnsi="Times New Roman" w:cs="Times New Roman"/>
          <w:sz w:val="24"/>
          <w:szCs w:val="24"/>
        </w:rPr>
        <w:t>fertilization</w:t>
      </w:r>
      <w:r>
        <w:rPr>
          <w:rFonts w:ascii="Times New Roman" w:eastAsia="Times New Roman" w:hAnsi="Times New Roman" w:cs="Times New Roman"/>
          <w:sz w:val="24"/>
          <w:szCs w:val="24"/>
        </w:rPr>
        <w:t xml:space="preserve"> for the remaining forested grids. Tree PFTs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more water efficient due to CO</w:t>
      </w:r>
      <w:r w:rsidRPr="00451D2A">
        <w:rPr>
          <w:rFonts w:ascii="Times New Roman" w:eastAsia="Times New Roman" w:hAnsi="Times New Roman" w:cs="Times New Roman"/>
          <w:sz w:val="24"/>
          <w:szCs w:val="24"/>
          <w:vertAlign w:val="subscript"/>
        </w:rPr>
        <w:t xml:space="preserve">2 </w:t>
      </w:r>
      <w:r>
        <w:rPr>
          <w:rFonts w:ascii="Times New Roman" w:eastAsia="Times New Roman" w:hAnsi="Times New Roman" w:cs="Times New Roman"/>
          <w:sz w:val="24"/>
          <w:szCs w:val="24"/>
        </w:rPr>
        <w:t>fertilization.</w:t>
      </w:r>
    </w:p>
    <w:p w14:paraId="00248450" w14:textId="77777777" w:rsidR="009147D5" w:rsidRDefault="009147D5" w:rsidP="009147D5">
      <w:pPr>
        <w:jc w:val="both"/>
        <w:rPr>
          <w:rFonts w:ascii="Times New Roman" w:eastAsia="Times New Roman" w:hAnsi="Times New Roman" w:cs="Times New Roman"/>
          <w:sz w:val="24"/>
          <w:szCs w:val="24"/>
        </w:rPr>
      </w:pPr>
    </w:p>
    <w:p w14:paraId="13F4A0F2" w14:textId="77777777" w:rsidR="009147D5" w:rsidRDefault="009147D5" w:rsidP="009147D5">
      <w:pPr>
        <w:jc w:val="both"/>
        <w:rPr>
          <w:rFonts w:ascii="Times New Roman" w:eastAsia="Times New Roman" w:hAnsi="Times New Roman" w:cs="Times New Roman"/>
          <w:sz w:val="24"/>
          <w:szCs w:val="24"/>
        </w:rPr>
      </w:pPr>
    </w:p>
    <w:p w14:paraId="2ACF1A04" w14:textId="77777777" w:rsidR="009147D5" w:rsidRDefault="009147D5" w:rsidP="009147D5">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61312" behindDoc="1" locked="0" layoutInCell="1" allowOverlap="1" wp14:anchorId="19A177DF" wp14:editId="6280750F">
            <wp:simplePos x="0" y="0"/>
            <wp:positionH relativeFrom="column">
              <wp:posOffset>3604895</wp:posOffset>
            </wp:positionH>
            <wp:positionV relativeFrom="paragraph">
              <wp:posOffset>0</wp:posOffset>
            </wp:positionV>
            <wp:extent cx="2596515" cy="1710690"/>
            <wp:effectExtent l="0" t="0" r="0" b="3810"/>
            <wp:wrapTight wrapText="bothSides">
              <wp:wrapPolygon edited="0">
                <wp:start x="0" y="0"/>
                <wp:lineTo x="0" y="21408"/>
                <wp:lineTo x="21394" y="21408"/>
                <wp:lineTo x="21394" y="0"/>
                <wp:lineTo x="0" y="0"/>
              </wp:wrapPolygon>
            </wp:wrapTight>
            <wp:docPr id="3381868" name="Graphic 338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1868" name="Graphic 3381868"/>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596515" cy="1710690"/>
                    </a:xfrm>
                    <a:prstGeom prst="rect">
                      <a:avLst/>
                    </a:prstGeom>
                  </pic:spPr>
                </pic:pic>
              </a:graphicData>
            </a:graphic>
          </wp:anchor>
        </w:drawing>
      </w:r>
    </w:p>
    <w:p w14:paraId="6625D2D7"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C2</w:t>
      </w:r>
      <w:r>
        <w:rPr>
          <w:rFonts w:ascii="Times New Roman" w:eastAsia="Times New Roman" w:hAnsi="Times New Roman" w:cs="Times New Roman"/>
          <w:sz w:val="24"/>
          <w:szCs w:val="24"/>
        </w:rPr>
        <w:t xml:space="preserve"> Partitioning between evaporation, transpiration, and the total water loss through evapotranspiration. Total evapotranspiration includes </w:t>
      </w:r>
      <w:r w:rsidRPr="007B7A00">
        <w:rPr>
          <w:rFonts w:ascii="Times New Roman" w:eastAsia="Times New Roman" w:hAnsi="Times New Roman" w:cs="Times New Roman"/>
          <w:sz w:val="24"/>
          <w:szCs w:val="24"/>
        </w:rPr>
        <w:t>canopy interception</w:t>
      </w:r>
      <w:r>
        <w:rPr>
          <w:rFonts w:ascii="Times New Roman" w:eastAsia="Times New Roman" w:hAnsi="Times New Roman" w:cs="Times New Roman"/>
          <w:sz w:val="24"/>
          <w:szCs w:val="24"/>
        </w:rPr>
        <w:t>.</w:t>
      </w:r>
    </w:p>
    <w:p w14:paraId="541667C8" w14:textId="77777777" w:rsidR="009147D5" w:rsidRDefault="009147D5" w:rsidP="009147D5">
      <w:pPr>
        <w:jc w:val="both"/>
        <w:rPr>
          <w:rFonts w:ascii="Times New Roman" w:eastAsia="Times New Roman" w:hAnsi="Times New Roman" w:cs="Times New Roman"/>
          <w:i/>
          <w:iCs/>
          <w:sz w:val="24"/>
          <w:szCs w:val="24"/>
        </w:rPr>
      </w:pPr>
    </w:p>
    <w:p w14:paraId="7A985026" w14:textId="77777777" w:rsidR="009147D5" w:rsidRDefault="009147D5" w:rsidP="009147D5">
      <w:pPr>
        <w:jc w:val="both"/>
        <w:rPr>
          <w:rFonts w:ascii="Times New Roman" w:eastAsia="Times New Roman" w:hAnsi="Times New Roman" w:cs="Times New Roman"/>
          <w:i/>
          <w:iCs/>
          <w:sz w:val="24"/>
          <w:szCs w:val="24"/>
        </w:rPr>
      </w:pPr>
    </w:p>
    <w:p w14:paraId="4047C29B" w14:textId="77777777" w:rsidR="009147D5" w:rsidRDefault="009147D5" w:rsidP="009147D5">
      <w:pPr>
        <w:jc w:val="both"/>
        <w:rPr>
          <w:rFonts w:ascii="Times New Roman" w:eastAsia="Times New Roman" w:hAnsi="Times New Roman" w:cs="Times New Roman"/>
          <w:i/>
          <w:iCs/>
          <w:sz w:val="24"/>
          <w:szCs w:val="24"/>
        </w:rPr>
      </w:pPr>
    </w:p>
    <w:p w14:paraId="1C019771" w14:textId="77777777" w:rsidR="009147D5" w:rsidRDefault="009147D5" w:rsidP="009147D5">
      <w:pPr>
        <w:jc w:val="both"/>
        <w:rPr>
          <w:rFonts w:ascii="Times New Roman" w:eastAsia="Times New Roman" w:hAnsi="Times New Roman" w:cs="Times New Roman"/>
          <w:i/>
          <w:iCs/>
          <w:sz w:val="24"/>
          <w:szCs w:val="24"/>
        </w:rPr>
      </w:pPr>
    </w:p>
    <w:p w14:paraId="041B8972"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Table C1</w:t>
      </w:r>
      <w:r>
        <w:rPr>
          <w:rFonts w:ascii="Times New Roman" w:eastAsia="Times New Roman" w:hAnsi="Times New Roman" w:cs="Times New Roman"/>
          <w:sz w:val="24"/>
          <w:szCs w:val="24"/>
        </w:rPr>
        <w:t xml:space="preserve"> Temperature and k</w:t>
      </w:r>
      <w:r>
        <w:rPr>
          <w:rFonts w:ascii="Times New Roman" w:eastAsia="Times New Roman" w:hAnsi="Times New Roman" w:cs="Times New Roman"/>
          <w:sz w:val="24"/>
          <w:szCs w:val="24"/>
          <w:vertAlign w:val="subscript"/>
        </w:rPr>
        <w:t>c</w:t>
      </w:r>
      <w:r>
        <w:rPr>
          <w:rFonts w:ascii="Times New Roman" w:eastAsia="Times New Roman" w:hAnsi="Times New Roman" w:cs="Times New Roman"/>
          <w:sz w:val="24"/>
          <w:szCs w:val="24"/>
        </w:rPr>
        <w:t xml:space="preserve"> values determining GPP of PFTs in TEM. Temperature values are based on a parabolic function. The function determines the effects of temperature on primary productivity where the function equals zero above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z w:val="24"/>
          <w:szCs w:val="24"/>
          <w:vertAlign w:val="subscript"/>
        </w:rPr>
        <w:t>max</w:t>
      </w:r>
      <w:proofErr w:type="spellEnd"/>
      <w:r>
        <w:rPr>
          <w:rFonts w:ascii="Times New Roman" w:eastAsia="Times New Roman" w:hAnsi="Times New Roman" w:cs="Times New Roman"/>
          <w:sz w:val="24"/>
          <w:szCs w:val="24"/>
        </w:rPr>
        <w:t xml:space="preserve"> and below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z w:val="24"/>
          <w:szCs w:val="24"/>
          <w:vertAlign w:val="subscript"/>
        </w:rPr>
        <w:t>min</w:t>
      </w:r>
      <w:proofErr w:type="spellEnd"/>
      <w:r>
        <w:rPr>
          <w:rFonts w:ascii="Times New Roman" w:eastAsia="Times New Roman" w:hAnsi="Times New Roman" w:cs="Times New Roman"/>
          <w:sz w:val="24"/>
          <w:szCs w:val="24"/>
        </w:rPr>
        <w:t xml:space="preserve">, and bell-shaped in between, with a peak at the optimum temperature.  As the optimum temperature gets closer to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z w:val="24"/>
          <w:szCs w:val="24"/>
          <w:vertAlign w:val="subscript"/>
        </w:rPr>
        <w:t>max</w:t>
      </w:r>
      <w:proofErr w:type="spellEnd"/>
      <w:r>
        <w:rPr>
          <w:rFonts w:ascii="Times New Roman" w:eastAsia="Times New Roman" w:hAnsi="Times New Roman" w:cs="Times New Roman"/>
          <w:sz w:val="24"/>
          <w:szCs w:val="24"/>
        </w:rPr>
        <w:t xml:space="preserve"> or </w:t>
      </w:r>
      <w:proofErr w:type="spellStart"/>
      <w:r>
        <w:rPr>
          <w:rFonts w:ascii="Times New Roman" w:eastAsia="Times New Roman" w:hAnsi="Times New Roman" w:cs="Times New Roman"/>
          <w:sz w:val="24"/>
          <w:szCs w:val="24"/>
        </w:rPr>
        <w:t>T</w:t>
      </w:r>
      <w:r>
        <w:rPr>
          <w:rFonts w:ascii="Times New Roman" w:eastAsia="Times New Roman" w:hAnsi="Times New Roman" w:cs="Times New Roman"/>
          <w:sz w:val="24"/>
          <w:szCs w:val="24"/>
          <w:vertAlign w:val="subscript"/>
        </w:rPr>
        <w:t>min</w:t>
      </w:r>
      <w:proofErr w:type="spellEnd"/>
      <w:r>
        <w:rPr>
          <w:rFonts w:ascii="Times New Roman" w:eastAsia="Times New Roman" w:hAnsi="Times New Roman" w:cs="Times New Roman"/>
          <w:sz w:val="24"/>
          <w:szCs w:val="24"/>
        </w:rPr>
        <w:t>, the peak narrows, reflecting limited temperature range for PFT productivity. The k</w:t>
      </w:r>
      <w:r>
        <w:rPr>
          <w:rFonts w:ascii="Times New Roman" w:eastAsia="Times New Roman" w:hAnsi="Times New Roman" w:cs="Times New Roman"/>
          <w:sz w:val="24"/>
          <w:szCs w:val="24"/>
          <w:vertAlign w:val="subscript"/>
        </w:rPr>
        <w:t>c</w:t>
      </w:r>
      <w:r>
        <w:rPr>
          <w:rFonts w:ascii="Times New Roman" w:eastAsia="Times New Roman" w:hAnsi="Times New Roman" w:cs="Times New Roman"/>
          <w:sz w:val="24"/>
          <w:szCs w:val="24"/>
        </w:rPr>
        <w:t xml:space="preserve"> determines how efficiently each PFT uses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with higher kc indicating a stronger CO2 fertilization effect, based on a hyperbolic function.</w:t>
      </w:r>
    </w:p>
    <w:p w14:paraId="2F748127" w14:textId="77777777" w:rsidR="009147D5" w:rsidRDefault="009147D5" w:rsidP="009147D5">
      <w:pPr>
        <w:rPr>
          <w:b/>
          <w:i/>
        </w:rPr>
      </w:pPr>
    </w:p>
    <w:tbl>
      <w:tblPr>
        <w:tblW w:w="9350" w:type="dxa"/>
        <w:jc w:val="center"/>
        <w:tblLayout w:type="fixed"/>
        <w:tblCellMar>
          <w:left w:w="115" w:type="dxa"/>
          <w:right w:w="115" w:type="dxa"/>
        </w:tblCellMar>
        <w:tblLook w:val="0200" w:firstRow="0" w:lastRow="0" w:firstColumn="0" w:lastColumn="0" w:noHBand="1" w:noVBand="0"/>
      </w:tblPr>
      <w:tblGrid>
        <w:gridCol w:w="3235"/>
        <w:gridCol w:w="1260"/>
        <w:gridCol w:w="1170"/>
        <w:gridCol w:w="1105"/>
        <w:gridCol w:w="1290"/>
        <w:gridCol w:w="1290"/>
      </w:tblGrid>
      <w:tr w:rsidR="009147D5" w14:paraId="53E0582E" w14:textId="77777777" w:rsidTr="00C37972">
        <w:trPr>
          <w:trHeight w:val="452"/>
          <w:jc w:val="center"/>
        </w:trPr>
        <w:tc>
          <w:tcPr>
            <w:tcW w:w="3235" w:type="dxa"/>
            <w:tcBorders>
              <w:top w:val="single" w:sz="12" w:space="0" w:color="auto"/>
              <w:bottom w:val="single" w:sz="12" w:space="0" w:color="auto"/>
            </w:tcBorders>
            <w:vAlign w:val="center"/>
          </w:tcPr>
          <w:p w14:paraId="238B8B7D" w14:textId="77777777" w:rsidR="009147D5" w:rsidRDefault="009147D5" w:rsidP="00C37972">
            <w:pPr>
              <w:rPr>
                <w:rFonts w:ascii="Cambria Math" w:eastAsia="Cambria Math" w:hAnsi="Cambria Math" w:cs="Cambria Math"/>
                <w:b/>
                <w:i/>
                <w:sz w:val="20"/>
                <w:szCs w:val="20"/>
              </w:rPr>
            </w:pPr>
            <w:r>
              <w:rPr>
                <w:rFonts w:ascii="Cambria Math" w:eastAsia="Cambria Math" w:hAnsi="Cambria Math" w:cs="Cambria Math"/>
                <w:b/>
                <w:sz w:val="20"/>
                <w:szCs w:val="20"/>
              </w:rPr>
              <w:t>PFT</w:t>
            </w:r>
          </w:p>
        </w:tc>
        <w:tc>
          <w:tcPr>
            <w:tcW w:w="1260" w:type="dxa"/>
            <w:tcBorders>
              <w:top w:val="single" w:sz="12" w:space="0" w:color="auto"/>
              <w:bottom w:val="single" w:sz="12" w:space="0" w:color="auto"/>
            </w:tcBorders>
            <w:vAlign w:val="center"/>
          </w:tcPr>
          <w:p w14:paraId="3B72F77A" w14:textId="77777777" w:rsidR="009147D5" w:rsidRDefault="009147D5" w:rsidP="00C37972">
            <w:pPr>
              <w:jc w:val="center"/>
              <w:rPr>
                <w:rFonts w:ascii="Cambria Math" w:eastAsia="Cambria Math" w:hAnsi="Cambria Math" w:cs="Cambria Math"/>
                <w:b/>
                <w:i/>
                <w:sz w:val="20"/>
                <w:szCs w:val="20"/>
              </w:rPr>
            </w:pPr>
            <w:r>
              <w:rPr>
                <w:rFonts w:ascii="Cambria Math" w:eastAsia="Cambria Math" w:hAnsi="Cambria Math" w:cs="Cambria Math"/>
                <w:b/>
                <w:sz w:val="20"/>
                <w:szCs w:val="20"/>
              </w:rPr>
              <w:t>k</w:t>
            </w:r>
            <w:r>
              <w:rPr>
                <w:rFonts w:ascii="Cambria Math" w:eastAsia="Cambria Math" w:hAnsi="Cambria Math" w:cs="Cambria Math"/>
                <w:b/>
                <w:sz w:val="20"/>
                <w:szCs w:val="20"/>
                <w:vertAlign w:val="subscript"/>
              </w:rPr>
              <w:t>c</w:t>
            </w:r>
          </w:p>
        </w:tc>
        <w:tc>
          <w:tcPr>
            <w:tcW w:w="1170" w:type="dxa"/>
            <w:tcBorders>
              <w:top w:val="single" w:sz="12" w:space="0" w:color="auto"/>
              <w:bottom w:val="single" w:sz="12" w:space="0" w:color="auto"/>
            </w:tcBorders>
            <w:vAlign w:val="center"/>
          </w:tcPr>
          <w:p w14:paraId="448CDE95" w14:textId="77777777" w:rsidR="009147D5" w:rsidRDefault="009147D5" w:rsidP="00C37972">
            <w:pPr>
              <w:jc w:val="center"/>
              <w:rPr>
                <w:rFonts w:ascii="Cambria Math" w:eastAsia="Cambria Math" w:hAnsi="Cambria Math" w:cs="Cambria Math"/>
                <w:b/>
                <w:i/>
                <w:sz w:val="20"/>
                <w:szCs w:val="20"/>
              </w:rPr>
            </w:pPr>
            <w:proofErr w:type="spellStart"/>
            <w:r>
              <w:rPr>
                <w:rFonts w:ascii="Cambria Math" w:eastAsia="Cambria Math" w:hAnsi="Cambria Math" w:cs="Cambria Math"/>
                <w:b/>
                <w:sz w:val="20"/>
                <w:szCs w:val="20"/>
              </w:rPr>
              <w:t>T</w:t>
            </w:r>
            <w:r>
              <w:rPr>
                <w:rFonts w:ascii="Cambria Math" w:eastAsia="Cambria Math" w:hAnsi="Cambria Math" w:cs="Cambria Math"/>
                <w:b/>
                <w:sz w:val="20"/>
                <w:szCs w:val="20"/>
                <w:vertAlign w:val="subscript"/>
              </w:rPr>
              <w:t>min</w:t>
            </w:r>
            <w:proofErr w:type="spellEnd"/>
          </w:p>
        </w:tc>
        <w:tc>
          <w:tcPr>
            <w:tcW w:w="1105" w:type="dxa"/>
            <w:tcBorders>
              <w:top w:val="single" w:sz="12" w:space="0" w:color="auto"/>
              <w:bottom w:val="single" w:sz="12" w:space="0" w:color="auto"/>
            </w:tcBorders>
            <w:vAlign w:val="center"/>
          </w:tcPr>
          <w:p w14:paraId="6B43DD1B" w14:textId="77777777" w:rsidR="009147D5" w:rsidRDefault="009147D5" w:rsidP="00C37972">
            <w:pPr>
              <w:jc w:val="center"/>
              <w:rPr>
                <w:rFonts w:ascii="Cambria Math" w:eastAsia="Cambria Math" w:hAnsi="Cambria Math" w:cs="Cambria Math"/>
                <w:b/>
                <w:i/>
                <w:sz w:val="20"/>
                <w:szCs w:val="20"/>
              </w:rPr>
            </w:pPr>
            <w:proofErr w:type="spellStart"/>
            <w:r>
              <w:rPr>
                <w:rFonts w:ascii="Cambria Math" w:eastAsia="Cambria Math" w:hAnsi="Cambria Math" w:cs="Cambria Math"/>
                <w:b/>
                <w:sz w:val="20"/>
                <w:szCs w:val="20"/>
              </w:rPr>
              <w:t>T</w:t>
            </w:r>
            <w:r>
              <w:rPr>
                <w:rFonts w:ascii="Cambria Math" w:eastAsia="Cambria Math" w:hAnsi="Cambria Math" w:cs="Cambria Math"/>
                <w:b/>
                <w:sz w:val="20"/>
                <w:szCs w:val="20"/>
                <w:vertAlign w:val="subscript"/>
              </w:rPr>
              <w:t>optmin</w:t>
            </w:r>
            <w:proofErr w:type="spellEnd"/>
          </w:p>
        </w:tc>
        <w:tc>
          <w:tcPr>
            <w:tcW w:w="1290" w:type="dxa"/>
            <w:tcBorders>
              <w:top w:val="single" w:sz="12" w:space="0" w:color="auto"/>
              <w:bottom w:val="single" w:sz="12" w:space="0" w:color="auto"/>
            </w:tcBorders>
            <w:vAlign w:val="center"/>
          </w:tcPr>
          <w:p w14:paraId="258652FD" w14:textId="77777777" w:rsidR="009147D5" w:rsidRDefault="009147D5" w:rsidP="00C37972">
            <w:pPr>
              <w:jc w:val="center"/>
              <w:rPr>
                <w:rFonts w:ascii="Cambria Math" w:eastAsia="Cambria Math" w:hAnsi="Cambria Math" w:cs="Cambria Math"/>
                <w:b/>
                <w:i/>
                <w:sz w:val="20"/>
                <w:szCs w:val="20"/>
              </w:rPr>
            </w:pPr>
            <w:proofErr w:type="spellStart"/>
            <w:r>
              <w:rPr>
                <w:rFonts w:ascii="Cambria Math" w:eastAsia="Cambria Math" w:hAnsi="Cambria Math" w:cs="Cambria Math"/>
                <w:b/>
                <w:sz w:val="20"/>
                <w:szCs w:val="20"/>
              </w:rPr>
              <w:t>T</w:t>
            </w:r>
            <w:r>
              <w:rPr>
                <w:rFonts w:ascii="Cambria Math" w:eastAsia="Cambria Math" w:hAnsi="Cambria Math" w:cs="Cambria Math"/>
                <w:b/>
                <w:sz w:val="20"/>
                <w:szCs w:val="20"/>
                <w:vertAlign w:val="subscript"/>
              </w:rPr>
              <w:t>optmax</w:t>
            </w:r>
            <w:proofErr w:type="spellEnd"/>
          </w:p>
        </w:tc>
        <w:tc>
          <w:tcPr>
            <w:tcW w:w="1290" w:type="dxa"/>
            <w:tcBorders>
              <w:top w:val="single" w:sz="12" w:space="0" w:color="auto"/>
              <w:bottom w:val="single" w:sz="12" w:space="0" w:color="auto"/>
            </w:tcBorders>
            <w:vAlign w:val="center"/>
          </w:tcPr>
          <w:p w14:paraId="2D2A8941" w14:textId="77777777" w:rsidR="009147D5" w:rsidRDefault="009147D5" w:rsidP="00C37972">
            <w:pPr>
              <w:jc w:val="center"/>
              <w:rPr>
                <w:rFonts w:ascii="Cambria Math" w:eastAsia="Cambria Math" w:hAnsi="Cambria Math" w:cs="Cambria Math"/>
                <w:b/>
                <w:sz w:val="20"/>
                <w:szCs w:val="20"/>
              </w:rPr>
            </w:pPr>
            <w:proofErr w:type="spellStart"/>
            <w:r>
              <w:rPr>
                <w:rFonts w:ascii="Cambria Math" w:eastAsia="Cambria Math" w:hAnsi="Cambria Math" w:cs="Cambria Math"/>
                <w:b/>
                <w:sz w:val="20"/>
                <w:szCs w:val="20"/>
              </w:rPr>
              <w:t>T</w:t>
            </w:r>
            <w:r>
              <w:rPr>
                <w:rFonts w:ascii="Cambria Math" w:eastAsia="Cambria Math" w:hAnsi="Cambria Math" w:cs="Cambria Math"/>
                <w:b/>
                <w:sz w:val="20"/>
                <w:szCs w:val="20"/>
                <w:vertAlign w:val="subscript"/>
              </w:rPr>
              <w:t>max</w:t>
            </w:r>
            <w:proofErr w:type="spellEnd"/>
          </w:p>
        </w:tc>
      </w:tr>
      <w:tr w:rsidR="009147D5" w14:paraId="0F620E4F" w14:textId="77777777" w:rsidTr="00C37972">
        <w:trPr>
          <w:trHeight w:val="452"/>
          <w:jc w:val="center"/>
        </w:trPr>
        <w:tc>
          <w:tcPr>
            <w:tcW w:w="3235" w:type="dxa"/>
            <w:tcBorders>
              <w:top w:val="single" w:sz="12" w:space="0" w:color="auto"/>
            </w:tcBorders>
          </w:tcPr>
          <w:p w14:paraId="60A3C72F" w14:textId="77777777" w:rsidR="009147D5" w:rsidRDefault="009147D5" w:rsidP="00C37972">
            <w:pPr>
              <w:rPr>
                <w:rFonts w:ascii="Cambria Math" w:eastAsia="Cambria Math" w:hAnsi="Cambria Math" w:cs="Cambria Math"/>
                <w:i/>
                <w:sz w:val="20"/>
                <w:szCs w:val="20"/>
              </w:rPr>
            </w:pPr>
            <w:r>
              <w:rPr>
                <w:rFonts w:ascii="Cambria Math" w:eastAsia="Cambria Math" w:hAnsi="Cambria Math" w:cs="Cambria Math"/>
                <w:sz w:val="20"/>
                <w:szCs w:val="20"/>
              </w:rPr>
              <w:t>Boreal Forest</w:t>
            </w:r>
          </w:p>
        </w:tc>
        <w:tc>
          <w:tcPr>
            <w:tcW w:w="1260" w:type="dxa"/>
            <w:tcBorders>
              <w:top w:val="single" w:sz="12" w:space="0" w:color="auto"/>
            </w:tcBorders>
          </w:tcPr>
          <w:p w14:paraId="061D3430"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200</w:t>
            </w:r>
          </w:p>
        </w:tc>
        <w:tc>
          <w:tcPr>
            <w:tcW w:w="1170" w:type="dxa"/>
            <w:tcBorders>
              <w:top w:val="single" w:sz="12" w:space="0" w:color="auto"/>
            </w:tcBorders>
          </w:tcPr>
          <w:p w14:paraId="2967CE4F"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-5</w:t>
            </w:r>
          </w:p>
        </w:tc>
        <w:tc>
          <w:tcPr>
            <w:tcW w:w="1105" w:type="dxa"/>
            <w:tcBorders>
              <w:top w:val="single" w:sz="12" w:space="0" w:color="auto"/>
            </w:tcBorders>
          </w:tcPr>
          <w:p w14:paraId="0E62815F"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17</w:t>
            </w:r>
          </w:p>
        </w:tc>
        <w:tc>
          <w:tcPr>
            <w:tcW w:w="1290" w:type="dxa"/>
            <w:tcBorders>
              <w:top w:val="single" w:sz="12" w:space="0" w:color="auto"/>
            </w:tcBorders>
          </w:tcPr>
          <w:p w14:paraId="7409D6BA" w14:textId="77777777" w:rsidR="009147D5" w:rsidRDefault="009147D5" w:rsidP="00C37972">
            <w:pPr>
              <w:jc w:val="center"/>
              <w:rPr>
                <w:rFonts w:ascii="Cambria Math" w:eastAsia="Cambria Math" w:hAnsi="Cambria Math" w:cs="Cambria Math"/>
                <w:i/>
                <w:sz w:val="20"/>
                <w:szCs w:val="20"/>
              </w:rPr>
            </w:pPr>
            <w:r>
              <w:rPr>
                <w:rFonts w:ascii="Cambria Math" w:eastAsia="Cambria Math" w:hAnsi="Cambria Math" w:cs="Cambria Math"/>
                <w:sz w:val="20"/>
                <w:szCs w:val="20"/>
              </w:rPr>
              <w:t>25</w:t>
            </w:r>
          </w:p>
        </w:tc>
        <w:tc>
          <w:tcPr>
            <w:tcW w:w="1290" w:type="dxa"/>
            <w:tcBorders>
              <w:top w:val="single" w:sz="12" w:space="0" w:color="auto"/>
            </w:tcBorders>
          </w:tcPr>
          <w:p w14:paraId="387F86C5"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32</w:t>
            </w:r>
          </w:p>
        </w:tc>
      </w:tr>
      <w:tr w:rsidR="009147D5" w14:paraId="27EFC34A" w14:textId="77777777" w:rsidTr="00C37972">
        <w:trPr>
          <w:trHeight w:val="452"/>
          <w:jc w:val="center"/>
        </w:trPr>
        <w:tc>
          <w:tcPr>
            <w:tcW w:w="3235" w:type="dxa"/>
          </w:tcPr>
          <w:p w14:paraId="3FCB9EE7" w14:textId="77777777" w:rsidR="009147D5" w:rsidRDefault="009147D5" w:rsidP="00C37972">
            <w:pPr>
              <w:rPr>
                <w:rFonts w:ascii="Cambria Math" w:eastAsia="Cambria Math" w:hAnsi="Cambria Math" w:cs="Cambria Math"/>
                <w:i/>
                <w:sz w:val="20"/>
                <w:szCs w:val="20"/>
              </w:rPr>
            </w:pPr>
            <w:r>
              <w:rPr>
                <w:rFonts w:ascii="Cambria Math" w:eastAsia="Cambria Math" w:hAnsi="Cambria Math" w:cs="Cambria Math"/>
                <w:sz w:val="20"/>
                <w:szCs w:val="20"/>
              </w:rPr>
              <w:t>Temperate Coniferous Forest</w:t>
            </w:r>
          </w:p>
        </w:tc>
        <w:tc>
          <w:tcPr>
            <w:tcW w:w="1260" w:type="dxa"/>
          </w:tcPr>
          <w:p w14:paraId="019BD239"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200</w:t>
            </w:r>
          </w:p>
        </w:tc>
        <w:tc>
          <w:tcPr>
            <w:tcW w:w="1170" w:type="dxa"/>
          </w:tcPr>
          <w:p w14:paraId="51DC8110"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-1</w:t>
            </w:r>
          </w:p>
        </w:tc>
        <w:tc>
          <w:tcPr>
            <w:tcW w:w="1105" w:type="dxa"/>
          </w:tcPr>
          <w:p w14:paraId="13503109"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22</w:t>
            </w:r>
          </w:p>
        </w:tc>
        <w:tc>
          <w:tcPr>
            <w:tcW w:w="1290" w:type="dxa"/>
          </w:tcPr>
          <w:p w14:paraId="0675ECA2" w14:textId="77777777" w:rsidR="009147D5" w:rsidRDefault="009147D5" w:rsidP="00C37972">
            <w:pPr>
              <w:jc w:val="center"/>
              <w:rPr>
                <w:rFonts w:ascii="Cambria Math" w:eastAsia="Cambria Math" w:hAnsi="Cambria Math" w:cs="Cambria Math"/>
                <w:i/>
                <w:sz w:val="20"/>
                <w:szCs w:val="20"/>
              </w:rPr>
            </w:pPr>
            <w:r>
              <w:rPr>
                <w:rFonts w:ascii="Cambria Math" w:eastAsia="Cambria Math" w:hAnsi="Cambria Math" w:cs="Cambria Math"/>
                <w:sz w:val="20"/>
                <w:szCs w:val="20"/>
              </w:rPr>
              <w:t>30</w:t>
            </w:r>
          </w:p>
        </w:tc>
        <w:tc>
          <w:tcPr>
            <w:tcW w:w="1290" w:type="dxa"/>
          </w:tcPr>
          <w:p w14:paraId="7503A577"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38</w:t>
            </w:r>
          </w:p>
        </w:tc>
      </w:tr>
      <w:tr w:rsidR="009147D5" w14:paraId="47DA16E5" w14:textId="77777777" w:rsidTr="00C37972">
        <w:trPr>
          <w:trHeight w:val="452"/>
          <w:jc w:val="center"/>
        </w:trPr>
        <w:tc>
          <w:tcPr>
            <w:tcW w:w="3235" w:type="dxa"/>
          </w:tcPr>
          <w:p w14:paraId="3423A781" w14:textId="77777777" w:rsidR="009147D5" w:rsidRDefault="009147D5" w:rsidP="00C37972">
            <w:pPr>
              <w:rPr>
                <w:rFonts w:ascii="Cambria Math" w:eastAsia="Cambria Math" w:hAnsi="Cambria Math" w:cs="Cambria Math"/>
                <w:i/>
                <w:sz w:val="20"/>
                <w:szCs w:val="20"/>
              </w:rPr>
            </w:pPr>
            <w:r>
              <w:rPr>
                <w:rFonts w:ascii="Cambria Math" w:eastAsia="Cambria Math" w:hAnsi="Cambria Math" w:cs="Cambria Math"/>
                <w:sz w:val="20"/>
                <w:szCs w:val="20"/>
              </w:rPr>
              <w:t>Temperate Deciduous Forest</w:t>
            </w:r>
          </w:p>
        </w:tc>
        <w:tc>
          <w:tcPr>
            <w:tcW w:w="1260" w:type="dxa"/>
          </w:tcPr>
          <w:p w14:paraId="56DDCD7D"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200</w:t>
            </w:r>
          </w:p>
        </w:tc>
        <w:tc>
          <w:tcPr>
            <w:tcW w:w="1170" w:type="dxa"/>
          </w:tcPr>
          <w:p w14:paraId="16211525"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0</w:t>
            </w:r>
          </w:p>
        </w:tc>
        <w:tc>
          <w:tcPr>
            <w:tcW w:w="1105" w:type="dxa"/>
          </w:tcPr>
          <w:p w14:paraId="0E34F307"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23</w:t>
            </w:r>
          </w:p>
        </w:tc>
        <w:tc>
          <w:tcPr>
            <w:tcW w:w="1290" w:type="dxa"/>
          </w:tcPr>
          <w:p w14:paraId="205C0B11" w14:textId="77777777" w:rsidR="009147D5" w:rsidRDefault="009147D5" w:rsidP="00C37972">
            <w:pPr>
              <w:jc w:val="center"/>
              <w:rPr>
                <w:rFonts w:ascii="Cambria Math" w:eastAsia="Cambria Math" w:hAnsi="Cambria Math" w:cs="Cambria Math"/>
                <w:i/>
                <w:sz w:val="20"/>
                <w:szCs w:val="20"/>
              </w:rPr>
            </w:pPr>
            <w:r>
              <w:rPr>
                <w:rFonts w:ascii="Cambria Math" w:eastAsia="Cambria Math" w:hAnsi="Cambria Math" w:cs="Cambria Math"/>
                <w:sz w:val="20"/>
                <w:szCs w:val="20"/>
              </w:rPr>
              <w:t>30.9</w:t>
            </w:r>
          </w:p>
        </w:tc>
        <w:tc>
          <w:tcPr>
            <w:tcW w:w="1290" w:type="dxa"/>
          </w:tcPr>
          <w:p w14:paraId="06215582"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40</w:t>
            </w:r>
          </w:p>
        </w:tc>
      </w:tr>
      <w:tr w:rsidR="009147D5" w14:paraId="5D8CDBCA" w14:textId="77777777" w:rsidTr="00C37972">
        <w:trPr>
          <w:trHeight w:val="452"/>
          <w:jc w:val="center"/>
        </w:trPr>
        <w:tc>
          <w:tcPr>
            <w:tcW w:w="3235" w:type="dxa"/>
          </w:tcPr>
          <w:p w14:paraId="14AD31A6" w14:textId="77777777" w:rsidR="009147D5" w:rsidRDefault="009147D5" w:rsidP="00C37972">
            <w:pPr>
              <w:rPr>
                <w:rFonts w:ascii="Cambria Math" w:eastAsia="Cambria Math" w:hAnsi="Cambria Math" w:cs="Cambria Math"/>
                <w:sz w:val="20"/>
                <w:szCs w:val="20"/>
              </w:rPr>
            </w:pPr>
            <w:r>
              <w:rPr>
                <w:rFonts w:ascii="Cambria Math" w:eastAsia="Cambria Math" w:hAnsi="Cambria Math" w:cs="Cambria Math"/>
                <w:sz w:val="20"/>
                <w:szCs w:val="20"/>
              </w:rPr>
              <w:t>Short Grasslands</w:t>
            </w:r>
          </w:p>
        </w:tc>
        <w:tc>
          <w:tcPr>
            <w:tcW w:w="1260" w:type="dxa"/>
          </w:tcPr>
          <w:p w14:paraId="53567AB4"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40</w:t>
            </w:r>
          </w:p>
        </w:tc>
        <w:tc>
          <w:tcPr>
            <w:tcW w:w="1170" w:type="dxa"/>
          </w:tcPr>
          <w:p w14:paraId="37AE3D95"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0</w:t>
            </w:r>
          </w:p>
        </w:tc>
        <w:tc>
          <w:tcPr>
            <w:tcW w:w="1105" w:type="dxa"/>
          </w:tcPr>
          <w:p w14:paraId="327D5013"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13</w:t>
            </w:r>
          </w:p>
        </w:tc>
        <w:tc>
          <w:tcPr>
            <w:tcW w:w="1290" w:type="dxa"/>
          </w:tcPr>
          <w:p w14:paraId="0C75C5AB"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32.7</w:t>
            </w:r>
          </w:p>
        </w:tc>
        <w:tc>
          <w:tcPr>
            <w:tcW w:w="1290" w:type="dxa"/>
          </w:tcPr>
          <w:p w14:paraId="1D2CDFA7"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38</w:t>
            </w:r>
          </w:p>
        </w:tc>
      </w:tr>
      <w:tr w:rsidR="009147D5" w14:paraId="6DA710BA" w14:textId="77777777" w:rsidTr="00C37972">
        <w:trPr>
          <w:trHeight w:val="452"/>
          <w:jc w:val="center"/>
        </w:trPr>
        <w:tc>
          <w:tcPr>
            <w:tcW w:w="3235" w:type="dxa"/>
          </w:tcPr>
          <w:p w14:paraId="7FD8B137" w14:textId="77777777" w:rsidR="009147D5" w:rsidRDefault="009147D5" w:rsidP="00C37972">
            <w:pPr>
              <w:rPr>
                <w:rFonts w:ascii="Cambria Math" w:eastAsia="Cambria Math" w:hAnsi="Cambria Math" w:cs="Cambria Math"/>
                <w:sz w:val="20"/>
                <w:szCs w:val="20"/>
              </w:rPr>
            </w:pPr>
            <w:r>
              <w:rPr>
                <w:rFonts w:ascii="Cambria Math" w:eastAsia="Cambria Math" w:hAnsi="Cambria Math" w:cs="Cambria Math"/>
                <w:sz w:val="20"/>
                <w:szCs w:val="20"/>
              </w:rPr>
              <w:t>Arid Shrublands</w:t>
            </w:r>
          </w:p>
        </w:tc>
        <w:tc>
          <w:tcPr>
            <w:tcW w:w="1260" w:type="dxa"/>
          </w:tcPr>
          <w:p w14:paraId="37138D35"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120</w:t>
            </w:r>
          </w:p>
        </w:tc>
        <w:tc>
          <w:tcPr>
            <w:tcW w:w="1170" w:type="dxa"/>
          </w:tcPr>
          <w:p w14:paraId="041CF868"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1</w:t>
            </w:r>
          </w:p>
        </w:tc>
        <w:tc>
          <w:tcPr>
            <w:tcW w:w="1105" w:type="dxa"/>
          </w:tcPr>
          <w:p w14:paraId="66727290"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15</w:t>
            </w:r>
          </w:p>
        </w:tc>
        <w:tc>
          <w:tcPr>
            <w:tcW w:w="1290" w:type="dxa"/>
          </w:tcPr>
          <w:p w14:paraId="4FA1F4C6"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35</w:t>
            </w:r>
          </w:p>
        </w:tc>
        <w:tc>
          <w:tcPr>
            <w:tcW w:w="1290" w:type="dxa"/>
          </w:tcPr>
          <w:p w14:paraId="13383071"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44</w:t>
            </w:r>
          </w:p>
        </w:tc>
      </w:tr>
      <w:tr w:rsidR="009147D5" w14:paraId="5130AB23" w14:textId="77777777" w:rsidTr="00C37972">
        <w:trPr>
          <w:trHeight w:val="452"/>
          <w:jc w:val="center"/>
        </w:trPr>
        <w:tc>
          <w:tcPr>
            <w:tcW w:w="3235" w:type="dxa"/>
          </w:tcPr>
          <w:p w14:paraId="3D3999D2" w14:textId="77777777" w:rsidR="009147D5" w:rsidRDefault="009147D5" w:rsidP="00C37972">
            <w:pPr>
              <w:rPr>
                <w:rFonts w:ascii="Cambria Math" w:eastAsia="Cambria Math" w:hAnsi="Cambria Math" w:cs="Cambria Math"/>
                <w:i/>
                <w:sz w:val="20"/>
                <w:szCs w:val="20"/>
              </w:rPr>
            </w:pPr>
            <w:r>
              <w:rPr>
                <w:rFonts w:ascii="Cambria Math" w:eastAsia="Cambria Math" w:hAnsi="Cambria Math" w:cs="Cambria Math"/>
                <w:sz w:val="20"/>
                <w:szCs w:val="20"/>
              </w:rPr>
              <w:t>Xeromorphic Forests and Woodlands</w:t>
            </w:r>
          </w:p>
        </w:tc>
        <w:tc>
          <w:tcPr>
            <w:tcW w:w="1260" w:type="dxa"/>
          </w:tcPr>
          <w:p w14:paraId="65CED6A4"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200</w:t>
            </w:r>
          </w:p>
        </w:tc>
        <w:tc>
          <w:tcPr>
            <w:tcW w:w="1170" w:type="dxa"/>
          </w:tcPr>
          <w:p w14:paraId="4B0D4B1D"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0</w:t>
            </w:r>
          </w:p>
        </w:tc>
        <w:tc>
          <w:tcPr>
            <w:tcW w:w="1105" w:type="dxa"/>
          </w:tcPr>
          <w:p w14:paraId="580762D6"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19.1</w:t>
            </w:r>
          </w:p>
        </w:tc>
        <w:tc>
          <w:tcPr>
            <w:tcW w:w="1290" w:type="dxa"/>
          </w:tcPr>
          <w:p w14:paraId="2E679AA3" w14:textId="77777777" w:rsidR="009147D5" w:rsidRDefault="009147D5" w:rsidP="00C37972">
            <w:pPr>
              <w:jc w:val="center"/>
              <w:rPr>
                <w:rFonts w:ascii="Cambria Math" w:eastAsia="Cambria Math" w:hAnsi="Cambria Math" w:cs="Cambria Math"/>
                <w:i/>
                <w:sz w:val="20"/>
                <w:szCs w:val="20"/>
              </w:rPr>
            </w:pPr>
            <w:r>
              <w:rPr>
                <w:rFonts w:ascii="Cambria Math" w:eastAsia="Cambria Math" w:hAnsi="Cambria Math" w:cs="Cambria Math"/>
                <w:sz w:val="20"/>
                <w:szCs w:val="20"/>
              </w:rPr>
              <w:t>33.1</w:t>
            </w:r>
          </w:p>
        </w:tc>
        <w:tc>
          <w:tcPr>
            <w:tcW w:w="1290" w:type="dxa"/>
          </w:tcPr>
          <w:p w14:paraId="57A43276"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38</w:t>
            </w:r>
          </w:p>
        </w:tc>
      </w:tr>
      <w:tr w:rsidR="009147D5" w14:paraId="20F24BCE" w14:textId="77777777" w:rsidTr="00C37972">
        <w:trPr>
          <w:trHeight w:val="452"/>
          <w:jc w:val="center"/>
        </w:trPr>
        <w:tc>
          <w:tcPr>
            <w:tcW w:w="3235" w:type="dxa"/>
            <w:tcBorders>
              <w:bottom w:val="single" w:sz="12" w:space="0" w:color="auto"/>
            </w:tcBorders>
          </w:tcPr>
          <w:p w14:paraId="5322487D" w14:textId="77777777" w:rsidR="009147D5" w:rsidRDefault="009147D5" w:rsidP="00C37972">
            <w:pPr>
              <w:rPr>
                <w:rFonts w:ascii="Cambria Math" w:eastAsia="Cambria Math" w:hAnsi="Cambria Math" w:cs="Cambria Math"/>
                <w:i/>
                <w:sz w:val="20"/>
                <w:szCs w:val="20"/>
              </w:rPr>
            </w:pPr>
            <w:r>
              <w:rPr>
                <w:rFonts w:ascii="Cambria Math" w:eastAsia="Cambria Math" w:hAnsi="Cambria Math" w:cs="Cambria Math"/>
                <w:sz w:val="20"/>
                <w:szCs w:val="20"/>
              </w:rPr>
              <w:t>Temperate Broadleaved Evergreen Forest</w:t>
            </w:r>
          </w:p>
        </w:tc>
        <w:tc>
          <w:tcPr>
            <w:tcW w:w="1260" w:type="dxa"/>
            <w:tcBorders>
              <w:bottom w:val="single" w:sz="12" w:space="0" w:color="auto"/>
            </w:tcBorders>
          </w:tcPr>
          <w:p w14:paraId="6543B707"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200</w:t>
            </w:r>
          </w:p>
        </w:tc>
        <w:tc>
          <w:tcPr>
            <w:tcW w:w="1170" w:type="dxa"/>
            <w:tcBorders>
              <w:bottom w:val="single" w:sz="12" w:space="0" w:color="auto"/>
            </w:tcBorders>
          </w:tcPr>
          <w:p w14:paraId="71D17CA7"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5</w:t>
            </w:r>
          </w:p>
        </w:tc>
        <w:tc>
          <w:tcPr>
            <w:tcW w:w="1105" w:type="dxa"/>
            <w:tcBorders>
              <w:bottom w:val="single" w:sz="12" w:space="0" w:color="auto"/>
            </w:tcBorders>
          </w:tcPr>
          <w:p w14:paraId="0CA80F34"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19.5</w:t>
            </w:r>
          </w:p>
        </w:tc>
        <w:tc>
          <w:tcPr>
            <w:tcW w:w="1290" w:type="dxa"/>
            <w:tcBorders>
              <w:bottom w:val="single" w:sz="12" w:space="0" w:color="auto"/>
            </w:tcBorders>
          </w:tcPr>
          <w:p w14:paraId="265BED2C" w14:textId="77777777" w:rsidR="009147D5" w:rsidRDefault="009147D5" w:rsidP="00C37972">
            <w:pPr>
              <w:jc w:val="center"/>
              <w:rPr>
                <w:rFonts w:ascii="Cambria Math" w:eastAsia="Cambria Math" w:hAnsi="Cambria Math" w:cs="Cambria Math"/>
                <w:i/>
                <w:sz w:val="20"/>
                <w:szCs w:val="20"/>
              </w:rPr>
            </w:pPr>
            <w:r>
              <w:rPr>
                <w:rFonts w:ascii="Cambria Math" w:eastAsia="Cambria Math" w:hAnsi="Cambria Math" w:cs="Cambria Math"/>
                <w:sz w:val="20"/>
                <w:szCs w:val="20"/>
              </w:rPr>
              <w:t>32</w:t>
            </w:r>
          </w:p>
        </w:tc>
        <w:tc>
          <w:tcPr>
            <w:tcW w:w="1290" w:type="dxa"/>
            <w:tcBorders>
              <w:bottom w:val="single" w:sz="12" w:space="0" w:color="auto"/>
            </w:tcBorders>
          </w:tcPr>
          <w:p w14:paraId="2FA67C10" w14:textId="77777777" w:rsidR="009147D5" w:rsidRDefault="009147D5" w:rsidP="00C37972">
            <w:pPr>
              <w:jc w:val="center"/>
              <w:rPr>
                <w:rFonts w:ascii="Cambria Math" w:eastAsia="Cambria Math" w:hAnsi="Cambria Math" w:cs="Cambria Math"/>
                <w:sz w:val="20"/>
                <w:szCs w:val="20"/>
              </w:rPr>
            </w:pPr>
            <w:r>
              <w:rPr>
                <w:rFonts w:ascii="Cambria Math" w:eastAsia="Cambria Math" w:hAnsi="Cambria Math" w:cs="Cambria Math"/>
                <w:sz w:val="20"/>
                <w:szCs w:val="20"/>
              </w:rPr>
              <w:t>35</w:t>
            </w:r>
          </w:p>
        </w:tc>
      </w:tr>
    </w:tbl>
    <w:p w14:paraId="0A52D716" w14:textId="77777777" w:rsidR="009147D5" w:rsidRDefault="009147D5" w:rsidP="009147D5">
      <w:pPr>
        <w:jc w:val="both"/>
        <w:rPr>
          <w:rFonts w:ascii="Times New Roman" w:eastAsia="Times New Roman" w:hAnsi="Times New Roman" w:cs="Times New Roman"/>
          <w:sz w:val="24"/>
          <w:szCs w:val="24"/>
        </w:rPr>
      </w:pPr>
    </w:p>
    <w:p w14:paraId="271211C7" w14:textId="77777777" w:rsidR="009147D5" w:rsidRDefault="009147D5" w:rsidP="009147D5">
      <w:pPr>
        <w:jc w:val="both"/>
        <w:rPr>
          <w:rFonts w:ascii="Times New Roman" w:eastAsia="Times New Roman" w:hAnsi="Times New Roman" w:cs="Times New Roman"/>
          <w:sz w:val="24"/>
          <w:szCs w:val="24"/>
        </w:rPr>
      </w:pPr>
    </w:p>
    <w:p w14:paraId="7B40CE44" w14:textId="77777777" w:rsidR="009147D5" w:rsidRDefault="009147D5" w:rsidP="009147D5">
      <w:pPr>
        <w:jc w:val="both"/>
        <w:rPr>
          <w:rFonts w:ascii="Times New Roman" w:eastAsia="Times New Roman" w:hAnsi="Times New Roman" w:cs="Times New Roman"/>
          <w:i/>
          <w:iCs/>
          <w:sz w:val="24"/>
          <w:szCs w:val="24"/>
        </w:rPr>
      </w:pPr>
    </w:p>
    <w:p w14:paraId="0035F1C8" w14:textId="77777777" w:rsidR="009147D5" w:rsidRDefault="009147D5" w:rsidP="009147D5">
      <w:pPr>
        <w:jc w:val="both"/>
        <w:rPr>
          <w:rFonts w:ascii="Times New Roman" w:eastAsia="Times New Roman" w:hAnsi="Times New Roman" w:cs="Times New Roman"/>
          <w:i/>
          <w:iCs/>
          <w:sz w:val="24"/>
          <w:szCs w:val="24"/>
        </w:rPr>
      </w:pPr>
    </w:p>
    <w:p w14:paraId="30892880" w14:textId="77777777" w:rsidR="009147D5" w:rsidRDefault="009147D5" w:rsidP="009147D5">
      <w:pPr>
        <w:jc w:val="both"/>
        <w:rPr>
          <w:rFonts w:ascii="Times New Roman" w:eastAsia="Times New Roman" w:hAnsi="Times New Roman" w:cs="Times New Roman"/>
          <w:i/>
          <w:iCs/>
          <w:sz w:val="24"/>
          <w:szCs w:val="24"/>
        </w:rPr>
      </w:pPr>
    </w:p>
    <w:p w14:paraId="18E37BBD" w14:textId="77777777" w:rsidR="009147D5" w:rsidRDefault="009147D5" w:rsidP="009147D5">
      <w:pPr>
        <w:jc w:val="both"/>
        <w:rPr>
          <w:rFonts w:ascii="Times New Roman" w:eastAsia="Times New Roman" w:hAnsi="Times New Roman" w:cs="Times New Roman"/>
          <w:i/>
          <w:iCs/>
          <w:sz w:val="24"/>
          <w:szCs w:val="24"/>
        </w:rPr>
      </w:pPr>
    </w:p>
    <w:p w14:paraId="6A0EBD3A" w14:textId="77777777" w:rsidR="009147D5" w:rsidRDefault="009147D5" w:rsidP="009147D5">
      <w:pPr>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Appendix D: TEM model evaluation</w:t>
      </w:r>
    </w:p>
    <w:p w14:paraId="527E436B" w14:textId="77777777" w:rsidR="009147D5" w:rsidRDefault="009147D5" w:rsidP="009147D5">
      <w:pPr>
        <w:jc w:val="both"/>
        <w:rPr>
          <w:rFonts w:ascii="Times New Roman" w:eastAsia="Times New Roman" w:hAnsi="Times New Roman" w:cs="Times New Roman"/>
          <w:i/>
          <w:iCs/>
          <w:sz w:val="24"/>
          <w:szCs w:val="24"/>
        </w:rPr>
      </w:pPr>
    </w:p>
    <w:p w14:paraId="50ED488C" w14:textId="77777777" w:rsidR="009147D5" w:rsidRDefault="009147D5" w:rsidP="009147D5">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517B27D" wp14:editId="292750C9">
            <wp:extent cx="5968419" cy="3958541"/>
            <wp:effectExtent l="0" t="0" r="0" b="4445"/>
            <wp:docPr id="103677029" name="Graphic 103677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7029" name="Graphic 103677029"/>
                    <pic:cNvPicPr/>
                  </pic:nvPicPr>
                  <pic:blipFill rotWithShape="1">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rcRect l="7693" r="7498"/>
                    <a:stretch/>
                  </pic:blipFill>
                  <pic:spPr bwMode="auto">
                    <a:xfrm>
                      <a:off x="0" y="0"/>
                      <a:ext cx="5975463" cy="3963213"/>
                    </a:xfrm>
                    <a:prstGeom prst="rect">
                      <a:avLst/>
                    </a:prstGeom>
                    <a:ln>
                      <a:noFill/>
                    </a:ln>
                    <a:extLst>
                      <a:ext uri="{53640926-AAD7-44D8-BBD7-CCE9431645EC}">
                        <a14:shadowObscured xmlns:a14="http://schemas.microsoft.com/office/drawing/2010/main"/>
                      </a:ext>
                    </a:extLst>
                  </pic:spPr>
                </pic:pic>
              </a:graphicData>
            </a:graphic>
          </wp:inline>
        </w:drawing>
      </w:r>
    </w:p>
    <w:p w14:paraId="3A04F32F" w14:textId="77777777" w:rsidR="009147D5" w:rsidRDefault="009147D5" w:rsidP="009147D5">
      <w:pPr>
        <w:jc w:val="both"/>
        <w:rPr>
          <w:rFonts w:ascii="Times New Roman" w:eastAsia="Times New Roman" w:hAnsi="Times New Roman" w:cs="Times New Roman"/>
          <w:sz w:val="24"/>
          <w:szCs w:val="24"/>
        </w:rPr>
      </w:pPr>
    </w:p>
    <w:p w14:paraId="6AF2211F" w14:textId="77777777" w:rsidR="009147D5" w:rsidRDefault="009147D5" w:rsidP="009147D5">
      <w:pPr>
        <w:rPr>
          <w:rFonts w:ascii="Times New Roman" w:eastAsia="Times New Roman" w:hAnsi="Times New Roman" w:cs="Times New Roman"/>
          <w:sz w:val="24"/>
          <w:szCs w:val="24"/>
        </w:rPr>
      </w:pPr>
      <w:r>
        <w:rPr>
          <w:rFonts w:ascii="Times New Roman" w:eastAsia="Times New Roman" w:hAnsi="Times New Roman" w:cs="Times New Roman"/>
          <w:b/>
          <w:sz w:val="24"/>
          <w:szCs w:val="24"/>
        </w:rPr>
        <w:t>Figure D1</w:t>
      </w:r>
      <w:r>
        <w:rPr>
          <w:rFonts w:ascii="Times New Roman" w:eastAsia="Times New Roman" w:hAnsi="Times New Roman" w:cs="Times New Roman"/>
          <w:sz w:val="24"/>
          <w:szCs w:val="24"/>
        </w:rPr>
        <w:t xml:space="preserve"> TEM model overview </w:t>
      </w:r>
    </w:p>
    <w:p w14:paraId="65ED944D" w14:textId="77777777" w:rsidR="009147D5" w:rsidRDefault="009147D5" w:rsidP="009147D5">
      <w:pPr>
        <w:jc w:val="both"/>
        <w:rPr>
          <w:rFonts w:ascii="Times New Roman" w:eastAsia="Times New Roman" w:hAnsi="Times New Roman" w:cs="Times New Roman"/>
          <w:i/>
          <w:iCs/>
          <w:sz w:val="24"/>
          <w:szCs w:val="24"/>
        </w:rPr>
      </w:pPr>
    </w:p>
    <w:p w14:paraId="665F397E" w14:textId="77777777" w:rsidR="009147D5" w:rsidRPr="006A0CDC" w:rsidRDefault="009147D5" w:rsidP="009147D5">
      <w:pPr>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Biomass Validation</w:t>
      </w:r>
    </w:p>
    <w:p w14:paraId="6E2D89B6" w14:textId="77777777" w:rsidR="009147D5" w:rsidRDefault="009147D5" w:rsidP="009147D5">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Biomass validation is done by comparing vegetation carbon output of the TEM model, to both remotely sensed data and ground truth observations</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{"citationID":"QUc7C4NJ","properties":{"formattedCitation":"\\super 49\\nosupersub{}","plainCitation":"49","noteIndex":0},"citationItems":[{"id":1044,"uris":["http://zotero.org/users/8442981/items/EU4KFGSX"],"itemData":{"id":1044,"type":"article-journal","abstract":"There are several new and imminent space-based sensors intended to support mapping of forest structure and biomass. These instruments, along with advancing cloud-based mapping platforms, will soon contribute to a proliferation of biomass maps. One means of differentiating the quality of different maps and estimation strategies will be comparison of results against independent field-based estimates at various scales. The Forest Inventory and Analysis Program of the US Forest Service (FIA) maintains a designed sample of uniformly measured field plots across the conterminous United States. This paper reports production of a map of statistical estimates of mean biomass, created at approximately the finest scale (64,000-hectare hexagons) allowed by FIA’s sample density. This map may be useful for assessing the accuracy of future remotely sensed biomass estimates. Equally important, fine-scale mapping of FIA estimates highlights several ways in which field- and remote sensing-based methods must be aligned to ensure comparability. For example, the biomass in standing dead trees, which may or may not be included in biomass estimates, represents a source of potential discrepancy that FIA shows to be particularly important in the Western US. Likewise, alternative allometric equations (which link measurable tree dimensions such as diameter to difficult-to-measure variables like biomass) strongly impact biomass estimates in ways that can vary over short distances. Potential mismatch in the conditions counted as forests also varies greatly over space. Field-to-map comparisons will ideally minimize these sources of uncertainty by adopting common allometry, carbon pools, and forest definitions. Our national hexagon-level benchmark estimates, provided in Supplementary Files, therefore addresses multiple pools and allometric approaches independently, while providing explicit forest area and uncertainty information. This range of information is intended to allow scientists to minimize potential discrepancies in support of unambiguous validation.","container-title":"Remote Sensing","DOI":"10.3390/rs12244141","ISSN":"2072-4292","issue":"24","language":"en","license":"http://creativecommons.org/licenses/by/3.0/","note":"number: 24\npublisher: Multidisciplinary Digital Publishing Institute","page":"4141","source":"www.mdpi.com","title":"A Comprehensive Forest Biomass Dataset for the USA Allows Customized Validation of Remotely Sensed Biomass Estimates","volume":"12","author":[{"family":"Menlove","given":"James"},{"family":"Healey","given":"Sean P."}],"issued":{"date-parts":[["2020",1]]}}}],"schema":"https://github.com/citation-style-language/schema/raw/master/csl-citation.json"}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F24D44">
        <w:rPr>
          <w:rFonts w:ascii="Times New Roman" w:hAnsi="Times New Roman" w:cs="Times New Roman"/>
          <w:sz w:val="24"/>
          <w:szCs w:val="24"/>
          <w:vertAlign w:val="superscript"/>
        </w:rPr>
        <w:t>49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(Figure D2) . A histogram of the difference shows both positive and negative biases in </w:t>
      </w:r>
      <w:r>
        <w:rPr>
          <w:rFonts w:ascii="Times New Roman" w:eastAsia="Times New Roman" w:hAnsi="Times New Roman" w:cs="Times New Roman"/>
          <w:sz w:val="24"/>
          <w:szCs w:val="24"/>
        </w:rPr>
        <w:t>vegetation carbon</w:t>
      </w:r>
      <w:r>
        <w:rPr>
          <w:rFonts w:ascii="Times New Roman" w:eastAsia="Times New Roman" w:hAnsi="Times New Roman" w:cs="Times New Roman"/>
          <w:color w:val="000000"/>
          <w:sz w:val="24"/>
          <w:szCs w:val="24"/>
        </w:rPr>
        <w:t xml:space="preserve">. The maximum difference at the peak of the histogram is +1000 </w:t>
      </w:r>
      <w:proofErr w:type="spellStart"/>
      <w:r>
        <w:rPr>
          <w:rFonts w:ascii="Times New Roman" w:eastAsia="Times New Roman" w:hAnsi="Times New Roman" w:cs="Times New Roman"/>
          <w:color w:val="000000"/>
          <w:sz w:val="24"/>
          <w:szCs w:val="24"/>
        </w:rPr>
        <w:t>gC</w:t>
      </w:r>
      <w:proofErr w:type="spellEnd"/>
      <w:r>
        <w:rPr>
          <w:rFonts w:ascii="Times New Roman" w:eastAsia="Times New Roman" w:hAnsi="Times New Roman" w:cs="Times New Roman"/>
          <w:color w:val="000000"/>
          <w:sz w:val="24"/>
          <w:szCs w:val="24"/>
        </w:rPr>
        <w:t>/m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color w:val="000000"/>
          <w:sz w:val="24"/>
          <w:szCs w:val="24"/>
        </w:rPr>
        <w:t xml:space="preserve"> for positive bias, and -2500 </w:t>
      </w:r>
      <w:proofErr w:type="spellStart"/>
      <w:r>
        <w:rPr>
          <w:rFonts w:ascii="Times New Roman" w:eastAsia="Times New Roman" w:hAnsi="Times New Roman" w:cs="Times New Roman"/>
          <w:color w:val="000000"/>
          <w:sz w:val="24"/>
          <w:szCs w:val="24"/>
        </w:rPr>
        <w:t>gC</w:t>
      </w:r>
      <w:proofErr w:type="spellEnd"/>
      <w:r>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xml:space="preserve">, for negative bias (Figures D3). One potential source of bias in our model outputs is the resolution of our vegetation cover dataset. At 0.5° by 0.5°, it may not accurately capture areas where the climate changes rapidly, such as transitions from deserts to wetter climates (i.e., high to low </w:t>
      </w:r>
      <w:r>
        <w:rPr>
          <w:rFonts w:ascii="Times New Roman" w:eastAsia="Times New Roman" w:hAnsi="Times New Roman" w:cs="Times New Roman"/>
          <w:sz w:val="24"/>
          <w:szCs w:val="24"/>
        </w:rPr>
        <w:t>vegetation carbon</w:t>
      </w:r>
      <w:r>
        <w:rPr>
          <w:rFonts w:ascii="Times New Roman" w:eastAsia="Times New Roman" w:hAnsi="Times New Roman" w:cs="Times New Roman"/>
          <w:color w:val="000000"/>
          <w:sz w:val="24"/>
          <w:szCs w:val="24"/>
        </w:rPr>
        <w:t xml:space="preserve">). As a result, our resolution may not be fine enough to detect these changes and could lead to biased model outputs. Additionally, </w:t>
      </w:r>
      <w:r>
        <w:rPr>
          <w:rFonts w:ascii="Times New Roman" w:eastAsia="Times New Roman" w:hAnsi="Times New Roman" w:cs="Times New Roman"/>
          <w:sz w:val="24"/>
          <w:szCs w:val="24"/>
        </w:rPr>
        <w:t>the</w:t>
      </w:r>
      <w:r>
        <w:rPr>
          <w:rFonts w:ascii="Times New Roman" w:eastAsia="Times New Roman" w:hAnsi="Times New Roman" w:cs="Times New Roman"/>
          <w:color w:val="000000"/>
          <w:sz w:val="24"/>
          <w:szCs w:val="24"/>
        </w:rPr>
        <w:t xml:space="preserve"> calibration sites for each PFT may not accurately reflect the characteristics of the PFTs in the modeled grids given the</w:t>
      </w:r>
      <w:r>
        <w:rPr>
          <w:rFonts w:ascii="Times New Roman" w:eastAsia="Times New Roman" w:hAnsi="Times New Roman" w:cs="Times New Roman"/>
          <w:sz w:val="24"/>
          <w:szCs w:val="24"/>
        </w:rPr>
        <w:t xml:space="preserve"> species differences amongst the broad PFT categories.</w:t>
      </w:r>
      <w:r>
        <w:rPr>
          <w:rFonts w:ascii="Times New Roman" w:eastAsia="Times New Roman" w:hAnsi="Times New Roman" w:cs="Times New Roman"/>
          <w:color w:val="000000"/>
          <w:sz w:val="24"/>
          <w:szCs w:val="24"/>
        </w:rPr>
        <w:t xml:space="preserve"> For example, the calibration of temperate coniferous forests in TEM is based on </w:t>
      </w:r>
      <w:r>
        <w:rPr>
          <w:rFonts w:ascii="Times New Roman" w:eastAsia="Times New Roman" w:hAnsi="Times New Roman" w:cs="Times New Roman"/>
          <w:color w:val="000000"/>
          <w:sz w:val="24"/>
          <w:szCs w:val="24"/>
        </w:rPr>
        <w:lastRenderedPageBreak/>
        <w:t>red pines (</w:t>
      </w:r>
      <w:r>
        <w:rPr>
          <w:rFonts w:ascii="Times New Roman" w:eastAsia="Times New Roman" w:hAnsi="Times New Roman" w:cs="Times New Roman"/>
          <w:i/>
          <w:color w:val="000000"/>
          <w:sz w:val="24"/>
          <w:szCs w:val="24"/>
        </w:rPr>
        <w:t xml:space="preserve">Pinus </w:t>
      </w:r>
      <w:proofErr w:type="spellStart"/>
      <w:r>
        <w:rPr>
          <w:rFonts w:ascii="Times New Roman" w:eastAsia="Times New Roman" w:hAnsi="Times New Roman" w:cs="Times New Roman"/>
          <w:i/>
          <w:color w:val="000000"/>
          <w:sz w:val="24"/>
          <w:szCs w:val="24"/>
        </w:rPr>
        <w:t>resinosa</w:t>
      </w:r>
      <w:proofErr w:type="spellEnd"/>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at Harvard Forest in the northeastern US, which on average have lower biomass compared to temperate coniferous forests in the western U.S.  e.g.  spruces, and lodgepole pines, </w:t>
      </w:r>
      <w:proofErr w:type="spellStart"/>
      <w:r>
        <w:rPr>
          <w:rFonts w:ascii="Times New Roman" w:eastAsia="Times New Roman" w:hAnsi="Times New Roman" w:cs="Times New Roman"/>
          <w:color w:val="000000"/>
          <w:sz w:val="24"/>
          <w:szCs w:val="24"/>
        </w:rPr>
        <w:t>ehave</w:t>
      </w:r>
      <w:proofErr w:type="spellEnd"/>
      <w:r>
        <w:rPr>
          <w:rFonts w:ascii="Times New Roman" w:eastAsia="Times New Roman" w:hAnsi="Times New Roman" w:cs="Times New Roman"/>
          <w:color w:val="000000"/>
          <w:sz w:val="24"/>
          <w:szCs w:val="24"/>
        </w:rPr>
        <w:t xml:space="preserve"> higher biomass</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{"citationID":"y0YDovLD","properties":{"formattedCitation":"\\super 49\\nosupersub{}","plainCitation":"49","noteIndex":0},"citationItems":[{"id":1044,"uris":["http://zotero.org/users/8442981/items/EU4KFGSX"],"itemData":{"id":1044,"type":"article-journal","abstract":"There are several new and imminent space-based sensors intended to support mapping of forest structure and biomass. These instruments, along with advancing cloud-based mapping platforms, will soon contribute to a proliferation of biomass maps. One means of differentiating the quality of different maps and estimation strategies will be comparison of results against independent field-based estimates at various scales. The Forest Inventory and Analysis Program of the US Forest Service (FIA) maintains a designed sample of uniformly measured field plots across the conterminous United States. This paper reports production of a map of statistical estimates of mean biomass, created at approximately the finest scale (64,000-hectare hexagons) allowed by FIA’s sample density. This map may be useful for assessing the accuracy of future remotely sensed biomass estimates. Equally important, fine-scale mapping of FIA estimates highlights several ways in which field- and remote sensing-based methods must be aligned to ensure comparability. For example, the biomass in standing dead trees, which may or may not be included in biomass estimates, represents a source of potential discrepancy that FIA shows to be particularly important in the Western US. Likewise, alternative allometric equations (which link measurable tree dimensions such as diameter to difficult-to-measure variables like biomass) strongly impact biomass estimates in ways that can vary over short distances. Potential mismatch in the conditions counted as forests also varies greatly over space. Field-to-map comparisons will ideally minimize these sources of uncertainty by adopting common allometry, carbon pools, and forest definitions. Our national hexagon-level benchmark estimates, provided in Supplementary Files, therefore addresses multiple pools and allometric approaches independently, while providing explicit forest area and uncertainty information. This range of information is intended to allow scientists to minimize potential discrepancies in support of unambiguous validation.","container-title":"Remote Sensing","DOI":"10.3390/rs12244141","ISSN":"2072-4292","issue":"24","language":"en","license":"http://creativecommons.org/licenses/by/3.0/","note":"number: 24\npublisher: Multidisciplinary Digital Publishing Institute","page":"4141","source":"www.mdpi.com","title":"A Comprehensive Forest Biomass Dataset for the USA Allows Customized Validation of Remotely Sensed Biomass Estimates","volume":"12","author":[{"family":"Menlove","given":"James"},{"family":"Healey","given":"Sean P."}],"issued":{"date-parts":[["2020",1]]}}}],"schema":"https://github.com/citation-style-language/schema/raw/master/csl-citation.json"}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F24D44">
        <w:rPr>
          <w:rFonts w:ascii="Times New Roman" w:hAnsi="Times New Roman" w:cs="Times New Roman"/>
          <w:sz w:val="24"/>
          <w:szCs w:val="24"/>
          <w:vertAlign w:val="superscript"/>
        </w:rPr>
        <w:t>49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The difference in biomass, however, does not affect the result of this study as shifts are driven by climatic changes.</w:t>
      </w:r>
    </w:p>
    <w:p w14:paraId="6408FD62"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2336" behindDoc="0" locked="0" layoutInCell="1" allowOverlap="1" wp14:anchorId="6452EDBC" wp14:editId="5C772069">
            <wp:simplePos x="0" y="0"/>
            <wp:positionH relativeFrom="column">
              <wp:posOffset>3256460</wp:posOffset>
            </wp:positionH>
            <wp:positionV relativeFrom="paragraph">
              <wp:posOffset>143</wp:posOffset>
            </wp:positionV>
            <wp:extent cx="3165475" cy="2648585"/>
            <wp:effectExtent l="0" t="0" r="0" b="0"/>
            <wp:wrapThrough wrapText="bothSides">
              <wp:wrapPolygon edited="0">
                <wp:start x="0" y="0"/>
                <wp:lineTo x="0" y="21439"/>
                <wp:lineTo x="21448" y="21439"/>
                <wp:lineTo x="21448" y="0"/>
                <wp:lineTo x="0" y="0"/>
              </wp:wrapPolygon>
            </wp:wrapThrough>
            <wp:docPr id="735951687" name="Picture 735951687"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picture containing chart&#10;&#10;Description automatically generated"/>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3165475" cy="2648585"/>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sz w:val="24"/>
          <w:szCs w:val="24"/>
        </w:rPr>
        <w:t xml:space="preserve">Figure D2 </w:t>
      </w:r>
      <w:r>
        <w:rPr>
          <w:rFonts w:ascii="Times New Roman" w:eastAsia="Times New Roman" w:hAnsi="Times New Roman" w:cs="Times New Roman"/>
          <w:sz w:val="24"/>
          <w:szCs w:val="24"/>
        </w:rPr>
        <w:t>Vegetation carbon difference (Observed – Modeled) for western U. S forested grids (2010 - 2014) used for assessing the accuracy of TEM output values, data retrieved from the Comprehensive Forest Biomass Dataset for the USA</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{"citationID":"IpHoptOM","properties":{"formattedCitation":"\\super 49\\nosupersub{}","plainCitation":"49","noteIndex":0},"citationItems":[{"id":1044,"uris":["http://zotero.org/users/8442981/items/EU4KFGSX"],"itemData":{"id":1044,"type":"article-journal","abstract":"There are several new and imminent space-based sensors intended to support mapping of forest structure and biomass. These instruments, along with advancing cloud-based mapping platforms, will soon contribute to a proliferation of biomass maps. One means of differentiating the quality of different maps and estimation strategies will be comparison of results against independent field-based estimates at various scales. The Forest Inventory and Analysis Program of the US Forest Service (FIA) maintains a designed sample of uniformly measured field plots across the conterminous United States. This paper reports production of a map of statistical estimates of mean biomass, created at approximately the finest scale (64,000-hectare hexagons) allowed by FIA’s sample density. This map may be useful for assessing the accuracy of future remotely sensed biomass estimates. Equally important, fine-scale mapping of FIA estimates highlights several ways in which field- and remote sensing-based methods must be aligned to ensure comparability. For example, the biomass in standing dead trees, which may or may not be included in biomass estimates, represents a source of potential discrepancy that FIA shows to be particularly important in the Western US. Likewise, alternative allometric equations (which link measurable tree dimensions such as diameter to difficult-to-measure variables like biomass) strongly impact biomass estimates in ways that can vary over short distances. Potential mismatch in the conditions counted as forests also varies greatly over space. Field-to-map comparisons will ideally minimize these sources of uncertainty by adopting common allometry, carbon pools, and forest definitions. Our national hexagon-level benchmark estimates, provided in Supplementary Files, therefore addresses multiple pools and allometric approaches independently, while providing explicit forest area and uncertainty information. This range of information is intended to allow scientists to minimize potential discrepancies in support of unambiguous validation.","container-title":"Remote Sensing","DOI":"10.3390/rs12244141","ISSN":"2072-4292","issue":"24","language":"en","license":"http://creativecommons.org/licenses/by/3.0/","note":"number: 24\npublisher: Multidisciplinary Digital Publishing Institute","page":"4141","source":"www.mdpi.com","title":"A Comprehensive Forest Biomass Dataset for the USA Allows Customized Validation of Remotely Sensed Biomass Estimates","volume":"12","author":[{"family":"Menlove","given":"James"},{"family":"Healey","given":"Sean P."}],"issued":{"date-parts":[["2020",1]]}}}],"schema":"https://github.com/citation-style-language/schema/raw/master/csl-citation.json"}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F24D44">
        <w:rPr>
          <w:rFonts w:ascii="Times New Roman" w:hAnsi="Times New Roman" w:cs="Times New Roman"/>
          <w:sz w:val="24"/>
          <w:szCs w:val="24"/>
          <w:vertAlign w:val="superscript"/>
        </w:rPr>
        <w:t>49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47ED7297" w14:textId="77777777" w:rsidR="009147D5" w:rsidRDefault="009147D5" w:rsidP="009147D5">
      <w:pPr>
        <w:jc w:val="both"/>
        <w:rPr>
          <w:rFonts w:ascii="Times New Roman" w:eastAsia="Times New Roman" w:hAnsi="Times New Roman" w:cs="Times New Roman"/>
          <w:b/>
          <w:sz w:val="24"/>
          <w:szCs w:val="24"/>
        </w:rPr>
      </w:pPr>
    </w:p>
    <w:p w14:paraId="7B51EA76" w14:textId="77777777" w:rsidR="009147D5" w:rsidRDefault="009147D5" w:rsidP="009147D5">
      <w:pPr>
        <w:jc w:val="both"/>
        <w:rPr>
          <w:rFonts w:ascii="Times New Roman" w:eastAsia="Times New Roman" w:hAnsi="Times New Roman" w:cs="Times New Roman"/>
          <w:sz w:val="24"/>
          <w:szCs w:val="24"/>
        </w:rPr>
      </w:pPr>
    </w:p>
    <w:p w14:paraId="109CA862" w14:textId="77777777" w:rsidR="009147D5" w:rsidRDefault="009147D5" w:rsidP="009147D5">
      <w:pPr>
        <w:jc w:val="both"/>
        <w:rPr>
          <w:rFonts w:ascii="Times New Roman" w:eastAsia="Times New Roman" w:hAnsi="Times New Roman" w:cs="Times New Roman"/>
          <w:sz w:val="24"/>
          <w:szCs w:val="24"/>
        </w:rPr>
      </w:pPr>
    </w:p>
    <w:p w14:paraId="64F46049" w14:textId="77777777" w:rsidR="009147D5" w:rsidRDefault="009147D5" w:rsidP="009147D5">
      <w:pPr>
        <w:jc w:val="both"/>
        <w:rPr>
          <w:rFonts w:ascii="Times New Roman" w:eastAsia="Times New Roman" w:hAnsi="Times New Roman" w:cs="Times New Roman"/>
          <w:sz w:val="24"/>
          <w:szCs w:val="24"/>
        </w:rPr>
      </w:pPr>
    </w:p>
    <w:p w14:paraId="0E1EC290" w14:textId="77777777" w:rsidR="009147D5" w:rsidRDefault="009147D5" w:rsidP="009147D5">
      <w:pPr>
        <w:jc w:val="both"/>
        <w:rPr>
          <w:rFonts w:ascii="Times New Roman" w:eastAsia="Times New Roman" w:hAnsi="Times New Roman" w:cs="Times New Roman"/>
          <w:sz w:val="24"/>
          <w:szCs w:val="24"/>
        </w:rPr>
      </w:pPr>
    </w:p>
    <w:p w14:paraId="4D1AD352"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14:anchorId="61233130" wp14:editId="1E22DE7F">
            <wp:simplePos x="0" y="0"/>
            <wp:positionH relativeFrom="column">
              <wp:posOffset>3225800</wp:posOffset>
            </wp:positionH>
            <wp:positionV relativeFrom="paragraph">
              <wp:posOffset>62865</wp:posOffset>
            </wp:positionV>
            <wp:extent cx="3105150" cy="2548890"/>
            <wp:effectExtent l="0" t="0" r="0" b="3810"/>
            <wp:wrapTight wrapText="bothSides">
              <wp:wrapPolygon edited="0">
                <wp:start x="0" y="0"/>
                <wp:lineTo x="0" y="21471"/>
                <wp:lineTo x="21467" y="21471"/>
                <wp:lineTo x="21467" y="0"/>
                <wp:lineTo x="0" y="0"/>
              </wp:wrapPolygon>
            </wp:wrapTight>
            <wp:docPr id="735951688" name="Picture 735951688" descr="Chart, histo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0.png" descr="Chart, histogram&#10;&#10;Description automatically generated"/>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3105150" cy="2548890"/>
                    </a:xfrm>
                    <a:prstGeom prst="rect">
                      <a:avLst/>
                    </a:prstGeom>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sz w:val="24"/>
          <w:szCs w:val="24"/>
        </w:rPr>
        <w:t>Figure D3 V</w:t>
      </w:r>
      <w:r>
        <w:rPr>
          <w:rFonts w:ascii="Times New Roman" w:eastAsia="Times New Roman" w:hAnsi="Times New Roman" w:cs="Times New Roman"/>
          <w:sz w:val="24"/>
          <w:szCs w:val="24"/>
        </w:rPr>
        <w:t>egetation carbon, negative and positive bias: used for assessing the accuracy of TEM output values. Data retrieved from the Comprehensive Forest Biomass Dataset</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{"citationID":"AiTDJwa7","properties":{"formattedCitation":"\\super 49\\nosupersub{}","plainCitation":"49","noteIndex":0},"citationItems":[{"id":1044,"uris":["http://zotero.org/users/8442981/items/EU4KFGSX"],"itemData":{"id":1044,"type":"article-journal","abstract":"There are several new and imminent space-based sensors intended to support mapping of forest structure and biomass. These instruments, along with advancing cloud-based mapping platforms, will soon contribute to a proliferation of biomass maps. One means of differentiating the quality of different maps and estimation strategies will be comparison of results against independent field-based estimates at various scales. The Forest Inventory and Analysis Program of the US Forest Service (FIA) maintains a designed sample of uniformly measured field plots across the conterminous United States. This paper reports production of a map of statistical estimates of mean biomass, created at approximately the finest scale (64,000-hectare hexagons) allowed by FIA’s sample density. This map may be useful for assessing the accuracy of future remotely sensed biomass estimates. Equally important, fine-scale mapping of FIA estimates highlights several ways in which field- and remote sensing-based methods must be aligned to ensure comparability. For example, the biomass in standing dead trees, which may or may not be included in biomass estimates, represents a source of potential discrepancy that FIA shows to be particularly important in the Western US. Likewise, alternative allometric equations (which link measurable tree dimensions such as diameter to difficult-to-measure variables like biomass) strongly impact biomass estimates in ways that can vary over short distances. Potential mismatch in the conditions counted as forests also varies greatly over space. Field-to-map comparisons will ideally minimize these sources of uncertainty by adopting common allometry, carbon pools, and forest definitions. Our national hexagon-level benchmark estimates, provided in Supplementary Files, therefore addresses multiple pools and allometric approaches independently, while providing explicit forest area and uncertainty information. This range of information is intended to allow scientists to minimize potential discrepancies in support of unambiguous validation.","container-title":"Remote Sensing","DOI":"10.3390/rs12244141","ISSN":"2072-4292","issue":"24","language":"en","license":"http://creativecommons.org/licenses/by/3.0/","note":"number: 24\npublisher: Multidisciplinary Digital Publishing Institute","page":"4141","source":"www.mdpi.com","title":"A Comprehensive Forest Biomass Dataset for the USA Allows Customized Validation of Remotely Sensed Biomass Estimates","volume":"12","author":[{"family":"Menlove","given":"James"},{"family":"Healey","given":"Sean P."}],"issued":{"date-parts":[["2020",1]]}}}],"schema":"https://github.com/citation-style-language/schema/raw/master/csl-citation.json"}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F24D44">
        <w:rPr>
          <w:rFonts w:ascii="Times New Roman" w:hAnsi="Times New Roman" w:cs="Times New Roman"/>
          <w:sz w:val="24"/>
          <w:szCs w:val="24"/>
          <w:vertAlign w:val="superscript"/>
        </w:rPr>
        <w:t>49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w:t>
      </w:r>
    </w:p>
    <w:p w14:paraId="1929D5CC"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 analysis reveals that the model shows a positive bias in some areas and a negative bias in others, as evidenced by the frequency distributions of percent difference for all the grids. Specifically, we found that the positive bias frequency peaks at 38 with maximum mean vegetation carbon values of +1000 gCm</w:t>
      </w:r>
      <w:sdt>
        <w:sdtPr>
          <w:tag w:val="goog_rdk_10"/>
          <w:id w:val="-735713223"/>
        </w:sdtPr>
        <w:sdtContent>
          <w:r>
            <w:rPr>
              <w:rFonts w:ascii="Gungsuh" w:eastAsia="Gungsuh" w:hAnsi="Gungsuh" w:cs="Gungsuh"/>
              <w:sz w:val="24"/>
              <w:szCs w:val="24"/>
              <w:vertAlign w:val="superscript"/>
            </w:rPr>
            <w:t>−2</w:t>
          </w:r>
        </w:sdtContent>
      </w:sdt>
      <w:r>
        <w:rPr>
          <w:rFonts w:ascii="Times New Roman" w:eastAsia="Times New Roman" w:hAnsi="Times New Roman" w:cs="Times New Roman"/>
          <w:sz w:val="24"/>
          <w:szCs w:val="24"/>
        </w:rPr>
        <w:t>. On the other hand, the negative bias frequency peaks at 40 but with maximum mean vegetation carbon values of -2500 gCm</w:t>
      </w:r>
      <w:sdt>
        <w:sdtPr>
          <w:tag w:val="goog_rdk_11"/>
          <w:id w:val="904254519"/>
        </w:sdtPr>
        <w:sdtContent>
          <w:r>
            <w:rPr>
              <w:rFonts w:ascii="Gungsuh" w:eastAsia="Gungsuh" w:hAnsi="Gungsuh" w:cs="Gungsuh"/>
              <w:sz w:val="24"/>
              <w:szCs w:val="24"/>
              <w:vertAlign w:val="superscript"/>
            </w:rPr>
            <w:t>−2</w:t>
          </w:r>
        </w:sdtContent>
      </w:sdt>
      <w:r>
        <w:rPr>
          <w:rFonts w:ascii="Times New Roman" w:eastAsia="Times New Roman" w:hAnsi="Times New Roman" w:cs="Times New Roman"/>
          <w:sz w:val="24"/>
          <w:szCs w:val="24"/>
        </w:rPr>
        <w:t>.</w:t>
      </w:r>
    </w:p>
    <w:p w14:paraId="74FBA0E3" w14:textId="77777777" w:rsidR="009147D5" w:rsidRDefault="009147D5" w:rsidP="009147D5">
      <w:pPr>
        <w:jc w:val="both"/>
        <w:rPr>
          <w:rFonts w:ascii="Times New Roman" w:eastAsia="Times New Roman" w:hAnsi="Times New Roman" w:cs="Times New Roman"/>
          <w:color w:val="000000"/>
          <w:sz w:val="24"/>
          <w:szCs w:val="24"/>
        </w:rPr>
      </w:pPr>
    </w:p>
    <w:p w14:paraId="745823FD" w14:textId="77777777" w:rsidR="009147D5" w:rsidRDefault="009147D5" w:rsidP="009147D5">
      <w:pPr>
        <w:jc w:val="both"/>
        <w:rPr>
          <w:rFonts w:ascii="Times New Roman" w:eastAsia="Times New Roman" w:hAnsi="Times New Roman" w:cs="Times New Roman"/>
          <w:b/>
          <w:bCs/>
          <w:i/>
          <w:iCs/>
          <w:color w:val="000000"/>
          <w:sz w:val="24"/>
          <w:szCs w:val="24"/>
        </w:rPr>
      </w:pPr>
    </w:p>
    <w:p w14:paraId="7469A71B" w14:textId="77777777" w:rsidR="009147D5" w:rsidRDefault="009147D5" w:rsidP="009147D5">
      <w:pPr>
        <w:jc w:val="both"/>
        <w:rPr>
          <w:rFonts w:ascii="Times New Roman" w:eastAsia="Times New Roman" w:hAnsi="Times New Roman" w:cs="Times New Roman"/>
          <w:b/>
          <w:bCs/>
          <w:i/>
          <w:iCs/>
          <w:color w:val="000000"/>
          <w:sz w:val="24"/>
          <w:szCs w:val="24"/>
        </w:rPr>
      </w:pPr>
    </w:p>
    <w:p w14:paraId="143C9CF0" w14:textId="77777777" w:rsidR="009147D5" w:rsidRDefault="009147D5" w:rsidP="009147D5">
      <w:pPr>
        <w:jc w:val="both"/>
        <w:rPr>
          <w:rFonts w:ascii="Times New Roman" w:eastAsia="Times New Roman" w:hAnsi="Times New Roman" w:cs="Times New Roman"/>
          <w:b/>
          <w:bCs/>
          <w:i/>
          <w:iCs/>
          <w:color w:val="000000"/>
          <w:sz w:val="24"/>
          <w:szCs w:val="24"/>
        </w:rPr>
      </w:pPr>
    </w:p>
    <w:p w14:paraId="745D6CD7" w14:textId="77777777" w:rsidR="009147D5" w:rsidRDefault="009147D5" w:rsidP="009147D5">
      <w:pPr>
        <w:jc w:val="both"/>
        <w:rPr>
          <w:rFonts w:ascii="Times New Roman" w:eastAsia="Times New Roman" w:hAnsi="Times New Roman" w:cs="Times New Roman"/>
          <w:b/>
          <w:bCs/>
          <w:i/>
          <w:iCs/>
          <w:color w:val="000000"/>
          <w:sz w:val="24"/>
          <w:szCs w:val="24"/>
        </w:rPr>
      </w:pPr>
    </w:p>
    <w:p w14:paraId="3F256326" w14:textId="77777777" w:rsidR="009147D5" w:rsidRDefault="009147D5" w:rsidP="009147D5">
      <w:pPr>
        <w:jc w:val="both"/>
        <w:rPr>
          <w:rFonts w:ascii="Times New Roman" w:eastAsia="Times New Roman" w:hAnsi="Times New Roman" w:cs="Times New Roman"/>
          <w:b/>
          <w:bCs/>
          <w:i/>
          <w:iCs/>
          <w:color w:val="000000"/>
          <w:sz w:val="24"/>
          <w:szCs w:val="24"/>
        </w:rPr>
      </w:pPr>
    </w:p>
    <w:p w14:paraId="18598A24" w14:textId="77777777" w:rsidR="009147D5" w:rsidRDefault="009147D5" w:rsidP="009147D5">
      <w:pPr>
        <w:jc w:val="both"/>
        <w:rPr>
          <w:rFonts w:ascii="Times New Roman" w:eastAsia="Times New Roman" w:hAnsi="Times New Roman" w:cs="Times New Roman"/>
          <w:b/>
          <w:bCs/>
          <w:i/>
          <w:iCs/>
          <w:color w:val="000000"/>
          <w:sz w:val="24"/>
          <w:szCs w:val="24"/>
        </w:rPr>
      </w:pPr>
    </w:p>
    <w:p w14:paraId="3E1538AE" w14:textId="77777777" w:rsidR="009147D5" w:rsidRDefault="009147D5" w:rsidP="009147D5">
      <w:pPr>
        <w:jc w:val="both"/>
        <w:rPr>
          <w:rFonts w:ascii="Times New Roman" w:eastAsia="Times New Roman" w:hAnsi="Times New Roman" w:cs="Times New Roman"/>
          <w:b/>
          <w:bCs/>
          <w:i/>
          <w:iCs/>
          <w:color w:val="000000"/>
          <w:sz w:val="24"/>
          <w:szCs w:val="24"/>
        </w:rPr>
      </w:pPr>
      <w:r w:rsidRPr="00975CC2">
        <w:rPr>
          <w:rFonts w:ascii="Times New Roman" w:eastAsia="Times New Roman" w:hAnsi="Times New Roman" w:cs="Times New Roman"/>
          <w:b/>
          <w:bCs/>
          <w:i/>
          <w:iCs/>
          <w:color w:val="000000"/>
          <w:sz w:val="24"/>
          <w:szCs w:val="24"/>
        </w:rPr>
        <w:lastRenderedPageBreak/>
        <w:t>Biogeography Validation</w:t>
      </w:r>
    </w:p>
    <w:p w14:paraId="4F2C4E7E" w14:textId="77777777" w:rsidR="009147D5" w:rsidRPr="00975CC2" w:rsidRDefault="009147D5" w:rsidP="009147D5">
      <w:pPr>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Validation of the biogeography and NPP bakeoff module was done by applying the module to the historical run covering the period from 1750 to 2014, with focus on the most recent 30-year period from 1984 to 2014. Our biogeography module successfully reproduced the current dominant PFTs in 89% of the grid cells modeled, as demonstrated in Figure D4. Furthermore, the resulting vegetation distribution closely resembled ground truth obsevations</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{"citationID":"thUbu1j7","properties":{"formattedCitation":"\\super 45\\nosupersub{}","plainCitation":"45","noteIndex":0},"citationItems":[{"id":547,"uris":["http://zotero.org/users/8442981/items/IX5F2I9K"],"itemData":{"id":547,"type":"article-journal","abstract":"&lt;p&gt;&lt;strong class=\"journal-contentHeaderColor\"&gt;Abstract.&lt;/strong&gt; Human land use activities have resulted in large changes to the biogeochemical and biophysical properties of the Earth's surface, with consequences for climate and other ecosystem services. In the future, land use activities are likely to expand and/or intensify further to meet growing demands for food, fiber, and energy. As part of the World Climate Research Program Coupled Model Intercomparison Project (CMIP6), the international community has developed the next generation of advanced Earth system models (ESMs) to estimate the combined effects of human activities (e.g., land use and fossil fuel emissions) on the carbon–climate system. A new set of historical data based on the History of the Global Environment database (HYDE), and multiple alternative scenarios of the future (2015–2100) from Integrated Assessment Model (IAM) teams, is required as input for these models. With most ESM simulations for CMIP6 now completed, it is important to document the land use patterns used by those simulations. Here we present&lt;span id=\"page5426\"/&gt; results from the Land-Use Harmonization 2 (LUH2) project, which smoothly connects updated historical reconstructions of land use with eight new future projections in the format required for ESMs. The harmonization strategy estimates the fractional land use patterns, underlying land use transitions, key agricultural management information, and resulting secondary lands annually, while minimizing the differences between the end of the historical reconstruction and IAM initial conditions and preserving changes depicted by the IAMs in the future. The new approach builds on a similar effort from CMIP5 and is now provided at higher resolution (&lt;span class=\"inline-formula\"&gt;&lt;math xmlns=\"http://www.w3.org/1998/Math/MathML\" id=\"M1\" display=\"inline\" overflow=\"scroll\" dspmath=\"mathml\"&gt;&lt;mrow&gt;&lt;mn mathvariant=\"normal\"&gt;0.25&lt;/mn&gt;&lt;msup&gt;&lt;mi/&gt;&lt;mo&gt;</w:instrText>
      </w:r>
      <w:r>
        <w:rPr>
          <w:rFonts w:ascii="Cambria Math" w:eastAsia="Times New Roman" w:hAnsi="Cambria Math" w:cs="Cambria Math"/>
          <w:color w:val="000000"/>
          <w:sz w:val="24"/>
          <w:szCs w:val="24"/>
        </w:rPr>
        <w:instrText>∘</w:instrText>
      </w:r>
      <w:r>
        <w:rPr>
          <w:rFonts w:ascii="Times New Roman" w:eastAsia="Times New Roman" w:hAnsi="Times New Roman" w:cs="Times New Roman"/>
          <w:color w:val="000000"/>
          <w:sz w:val="24"/>
          <w:szCs w:val="24"/>
        </w:rPr>
        <w:instrText>&lt;/mo&gt;&lt;/msup&gt;&lt;mo&gt;×&lt;/mo&gt;&lt;mn mathvariant=\"normal\"&gt;0.25&lt;/mn&gt;&lt;/mrow&gt;&lt;/math&gt;&lt;span&gt;&lt;svg:svg xmlns:svg=\"http://www.w3.org/2000/svg\" width=\"60pt\" height=\"11pt\" class=\"svg-formula\" dspmath=\"mathimg\" md5hash=\"bd96d133f473e8522ce91d93d4b3729f\"&gt;&lt;svg:image xmlns:xlink=\"http://www.w3.org/1999/xlink\" xlink:href=\"gmd-13-5425-2020-ie00001.svg\" width=\"60pt\" height=\"11pt\" src=\"gmd-13-5425-2020-ie00001.png\"/&gt;&lt;/svg:svg&gt;&lt;/span&gt;&lt;/span&gt;&lt;span class=\"inline-formula\"&gt;&lt;sup&gt;</w:instrText>
      </w:r>
      <w:r>
        <w:rPr>
          <w:rFonts w:ascii="Cambria Math" w:eastAsia="Times New Roman" w:hAnsi="Cambria Math" w:cs="Cambria Math"/>
          <w:color w:val="000000"/>
          <w:sz w:val="24"/>
          <w:szCs w:val="24"/>
        </w:rPr>
        <w:instrText>∘</w:instrText>
      </w:r>
      <w:r>
        <w:rPr>
          <w:rFonts w:ascii="Times New Roman" w:eastAsia="Times New Roman" w:hAnsi="Times New Roman" w:cs="Times New Roman"/>
          <w:color w:val="000000"/>
          <w:sz w:val="24"/>
          <w:szCs w:val="24"/>
        </w:rPr>
        <w:instrText xml:space="preserve">&lt;/sup&gt;&lt;/span&gt;) over a longer time domain (850–2100, with extensions to 2300) with more detail (including multiple crop and pasture types and associated management practices) using more input datasets (including Landsat remote sensing data) and updated algorithms (wood harvest and shifting cultivation); it is assessed via a new diagnostic package. The new LUH2 products contain &lt;span class=\"inline-formula\"&gt;&amp;gt;&lt;/span&gt;&amp;thinsp;50 times the information content of the datasets used in CMIP5 and are designed to enable new and improved estimates of the combined effects of land use on the global carbon–climate system.&lt;/p&gt;","container-title":"Geoscientific Model Development","DOI":"10.5194/gmd-13-5425-2020","ISSN":"1991-959X","issue":"11","language":"English","note":"publisher: Copernicus GmbH","page":"5425-5464","source":"gmd.copernicus.org","title":"Harmonization of global land use change and management for the period 850–2100 (LUH2) for CMIP6","volume":"13","author":[{"family":"Hurtt","given":"George C."},{"family":"Chini","given":"Louise"},{"family":"Sahajpal","given":"Ritvik"},{"family":"Frolking","given":"Steve"},{"family":"Bodirsky","given":"Benjamin L."},{"family":"Calvin","given":"Katherine"},{"family":"Doelman","given":"Jonathan C."},{"family":"Fisk","given":"Justin"},{"family":"Fujimori","given":"Shinichiro"},{"family":"Klein Goldewijk","given":"Kees"},{"family":"Hasegawa","given":"Tomoko"},{"family":"Havlik","given":"Peter"},{"family":"Heinimann","given":"Andreas"},{"family":"Humpenöder","given":"Florian"},{"family":"Jungclaus","given":"Johan"},{"family":"Kaplan","given":"Jed O."},{"family":"Kennedy","given":"Jennifer"},{"family":"Krisztin","given":"Tamás"},{"family":"Lawrence","given":"David"},{"family":"Lawrence","given":"Peter"},{"family":"Ma","given":"Lei"},{"family":"Mertz","given":"Ole"},{"family":"Pongratz","given":"Julia"},{"family":"Popp","given":"Alexander"},{"family":"Poulter","given":"Benjamin"},{"family":"Riahi","given":"Keywan"},{"family":"Shevliakova","given":"Elena"},{"family":"Stehfest","given":"Elke"},{"family":"Thornton","given":"Peter"},{"family":"Tubiello","given":"Francesco N."},{"family":"Vuuren","given":"Detlef P.","non-dropping-particle":"van"},{"family":"Zhang","given":"Xin"}],"issued":{"date-parts":[["2020",11,10]]}}}],"schema":"https://github.com/citation-style-language/schema/raw/master/csl-citation.json"}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F24D44">
        <w:rPr>
          <w:rFonts w:ascii="Times New Roman" w:hAnsi="Times New Roman" w:cs="Times New Roman"/>
          <w:sz w:val="24"/>
          <w:szCs w:val="24"/>
          <w:vertAlign w:val="superscript"/>
        </w:rPr>
        <w:t>45</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  except for a few grid cells in the Southwest, where our model indicated shrubs as the dominant PFT instead of </w:t>
      </w:r>
      <w:r>
        <w:rPr>
          <w:rFonts w:ascii="Times New Roman" w:eastAsia="Times New Roman" w:hAnsi="Times New Roman" w:cs="Times New Roman"/>
          <w:sz w:val="24"/>
          <w:szCs w:val="24"/>
        </w:rPr>
        <w:t>x</w:t>
      </w:r>
      <w:r>
        <w:rPr>
          <w:rFonts w:ascii="Times New Roman" w:eastAsia="Times New Roman" w:hAnsi="Times New Roman" w:cs="Times New Roman"/>
          <w:color w:val="000000"/>
          <w:sz w:val="24"/>
          <w:szCs w:val="24"/>
        </w:rPr>
        <w:t>eromorphic and woodland forests, which generally have low NPP because they grow in dry areas.</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ZOTERO_ITEM CSL_CITATION {"citationID":"Yfln7HHU","properties":{"formattedCitation":"\\super 50\\nosupersub{}","plainCitation":"50","noteIndex":0},"citationItems":[{"id":293,"uris":["http://zotero.org/users/8442981/items/N6WBGDKK"],"itemData":{"id":293,"type":"article-journal","abstract":"Future vegetation shifts under changing climate are uncertain for forests with infrequent stand-replacing disturbance regimes. These high-inertia forests may have long persistence even with climate change because disturbance-free periods can span centuries, broad-scale regeneration opportunities are fewer relative to frequent-fire systems, and mature tree species are long-lived with relatively high tolerance for sub-optimal growing conditions. Here, we used a combination of empirical and process-based modeling approaches to examine vegetation projections across high-inertia forests of Washington State, USA, under different climate and wildfire futures. We ran our models without forest management (to assess inherent system behavior/potential) and also with wildfire suppression. Projections suggested relatively stable mid-elevation forests through the end of the century despite anticipated increases in wildfire. The largest changes were projected at the lowest and uppermost forest boundaries, with upward expansion of the driest low-elevation forests and contraction of cold, high-elevation subalpine parklands. While forests were overall relatively stable in simulations, increases in early-seral conditions and decreases in late-seral conditions occurred as wildfire became more frequent. With partial fire suppression, projected changes were dampened or delayed, suggesting a potential tool to forestall change in some (but not all) high-inertia forests, especially since extending fire-free periods does little to alter overall fire regimes in these systems. Model projections also illustrated the importance of fire regime context and projection limitations; the time horizon over which disturbances will eventually allow the system to shift are so long that the prevailing climatic conditions under which many of those shifts will occur are beyond what most climate models can predict with any certainty. This will present a fundamental challenge to setting expectations and managing for long-term change in these systems.","container-title":"PLOS ONE","DOI":"10.1371/journal.pone.0209490","ISSN":"1932-6203","issue":"12","journalAbbreviation":"PLOS ONE","language":"en","note":"publisher: Public Library of Science","page":"e0209490","source":"PLoS Journals","title":"Climate change, wildfire, and vegetation shifts in a high-inertia forest landscape: Western Washington, U.S.A.","title-short":"Climate change, wildfire, and vegetation shifts in a high-inertia forest landscape","volume":"13","author":[{"family":"Halofsky","given":"Joshua S."},{"family":"Conklin","given":"David R."},{"family":"Donato","given":"Daniel C."},{"family":"Halofsky","given":"Jessica E."},{"family":"Kim","given":"John B."}],"issued":{"date-parts":[["2018",12,20]]}}}],"schema":"https://github.com/citation-style-language/schema/raw/master/csl-citation.json"} </w:instrText>
      </w:r>
      <w:r>
        <w:rPr>
          <w:rFonts w:ascii="Times New Roman" w:eastAsia="Times New Roman" w:hAnsi="Times New Roman" w:cs="Times New Roman"/>
          <w:color w:val="000000"/>
          <w:sz w:val="24"/>
          <w:szCs w:val="24"/>
        </w:rPr>
        <w:fldChar w:fldCharType="separate"/>
      </w:r>
      <w:r w:rsidRPr="00F24D44">
        <w:rPr>
          <w:rFonts w:ascii="Times New Roman" w:hAnsi="Times New Roman" w:cs="Times New Roman"/>
          <w:sz w:val="24"/>
          <w:szCs w:val="24"/>
          <w:vertAlign w:val="superscript"/>
        </w:rPr>
        <w:t>50</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 xml:space="preserve">NPP is a key factor driving the biogeography module during the historical period since the climate is favorable (not out of range) for most tree PFTs. The model, therefore, selects shrublands as the dominant PFTs as they are more productive in these grids than xeromorphic forests (Figure D4).  </w:t>
      </w:r>
    </w:p>
    <w:p w14:paraId="71CC0519" w14:textId="77777777" w:rsidR="009147D5" w:rsidRDefault="009147D5" w:rsidP="009147D5">
      <w:pPr>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source code of TEM, biogeography module, as well as the statistical analysis tools used in this study, are publicly available on GitHub (</w:t>
      </w:r>
      <w:hyperlink r:id="rId19">
        <w:r>
          <w:rPr>
            <w:rFonts w:ascii="Times New Roman" w:eastAsia="Times New Roman" w:hAnsi="Times New Roman" w:cs="Times New Roman"/>
            <w:color w:val="0070C0"/>
            <w:sz w:val="24"/>
            <w:szCs w:val="24"/>
            <w:u w:val="single"/>
          </w:rPr>
          <w:t>link</w:t>
        </w:r>
      </w:hyperlink>
      <w:r>
        <w:rPr>
          <w:rFonts w:ascii="Times New Roman" w:eastAsia="Times New Roman" w:hAnsi="Times New Roman" w:cs="Times New Roman"/>
          <w:sz w:val="24"/>
          <w:szCs w:val="24"/>
        </w:rPr>
        <w:t xml:space="preserve">) under the repository name </w:t>
      </w:r>
      <w:proofErr w:type="spellStart"/>
      <w:r>
        <w:rPr>
          <w:rFonts w:ascii="Times New Roman" w:eastAsia="Times New Roman" w:hAnsi="Times New Roman" w:cs="Times New Roman"/>
          <w:sz w:val="24"/>
          <w:szCs w:val="24"/>
        </w:rPr>
        <w:t>TEM_Biogeography</w:t>
      </w:r>
      <w:proofErr w:type="spellEnd"/>
      <w:r>
        <w:rPr>
          <w:rFonts w:ascii="Times New Roman" w:eastAsia="Times New Roman" w:hAnsi="Times New Roman" w:cs="Times New Roman"/>
          <w:sz w:val="24"/>
          <w:szCs w:val="24"/>
        </w:rPr>
        <w:t xml:space="preserve">. </w:t>
      </w:r>
    </w:p>
    <w:p w14:paraId="3AEC7B4E" w14:textId="77777777" w:rsidR="009147D5" w:rsidRDefault="009147D5" w:rsidP="009147D5">
      <w:pPr>
        <w:jc w:val="center"/>
        <w:rPr>
          <w:rFonts w:ascii="Times New Roman" w:eastAsia="Times New Roman" w:hAnsi="Times New Roman" w:cs="Times New Roman"/>
          <w:sz w:val="24"/>
          <w:szCs w:val="24"/>
        </w:rPr>
      </w:pPr>
    </w:p>
    <w:p w14:paraId="1D43367B" w14:textId="77777777" w:rsidR="009147D5" w:rsidRDefault="009147D5" w:rsidP="009147D5"/>
    <w:p w14:paraId="368DC9AD" w14:textId="77777777" w:rsidR="009147D5" w:rsidRDefault="009147D5" w:rsidP="009147D5">
      <w:pPr>
        <w:jc w:val="center"/>
      </w:pPr>
      <w:r>
        <w:rPr>
          <w:noProof/>
        </w:rPr>
        <w:drawing>
          <wp:inline distT="0" distB="0" distL="0" distR="0" wp14:anchorId="3ABE82BB" wp14:editId="39AA1C8C">
            <wp:extent cx="5356578" cy="3251200"/>
            <wp:effectExtent l="0" t="0" r="0" b="6350"/>
            <wp:docPr id="735951689" name="Picture 735951689"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graphical user interface&#10;&#10;Description automatically generated"/>
                    <pic:cNvPicPr preferRelativeResize="0"/>
                  </pic:nvPicPr>
                  <pic:blipFill>
                    <a:blip r:embed="rId20"/>
                    <a:srcRect/>
                    <a:stretch>
                      <a:fillRect/>
                    </a:stretch>
                  </pic:blipFill>
                  <pic:spPr>
                    <a:xfrm>
                      <a:off x="0" y="0"/>
                      <a:ext cx="5361854" cy="3254403"/>
                    </a:xfrm>
                    <a:prstGeom prst="rect">
                      <a:avLst/>
                    </a:prstGeom>
                    <a:ln/>
                  </pic:spPr>
                </pic:pic>
              </a:graphicData>
            </a:graphic>
          </wp:inline>
        </w:drawing>
      </w:r>
    </w:p>
    <w:p w14:paraId="787EC624" w14:textId="77777777" w:rsidR="009147D5" w:rsidRDefault="009147D5" w:rsidP="009147D5">
      <w:pPr>
        <w:jc w:val="center"/>
      </w:pPr>
    </w:p>
    <w:p w14:paraId="32843A2E"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Figure D4 (a) </w:t>
      </w:r>
      <w:r>
        <w:rPr>
          <w:rFonts w:ascii="Times New Roman" w:eastAsia="Times New Roman" w:hAnsi="Times New Roman" w:cs="Times New Roman"/>
          <w:sz w:val="24"/>
          <w:szCs w:val="24"/>
        </w:rPr>
        <w:t>Current western U.S. dominant tree PFT distribution</w:t>
      </w: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ADDIN ZOTERO_ITEM CSL_CITATION {"citationID":"GRFkVRQW","properties":{"formattedCitation":"\\super 45\\nosupersub{}","plainCitation":"45","noteIndex":0},"citationItems":[{"id":547,"uris":["http://zotero.org/users/8442981/items/IX5F2I9K"],"itemData":{"id":547,"type":"article-journal","abstract":"&lt;p&gt;&lt;strong class=\"journal-contentHeaderColor\"&gt;Abstract.&lt;/strong&gt; Human land use activities have resulted in large changes to the biogeochemical and biophysical properties of the Earth's surface, with consequences for climate and other ecosystem services. In the future, land use activities are likely to expand and/or intensify further to meet growing demands for food, fiber, and energy. As part of the World Climate Research Program Coupled Model Intercomparison Project (CMIP6), the international community has developed the next generation of advanced Earth system models (ESMs) to estimate the combined effects of human activities (e.g., land use and fossil fuel emissions) on the carbon–climate system. A new set of historical data based on the History of the Global Environment database (HYDE), and multiple alternative scenarios of the future (2015–2100) from Integrated Assessment Model (IAM) teams, is required as input for these models. With most ESM simulations for CMIP6 now completed, it is important to document the land use patterns used by those simulations. Here we present&lt;span id=\"page5426\"/&gt; results from the Land-Use Harmonization 2 (LUH2) project, which smoothly connects updated historical reconstructions of land use with eight new future projections in the format required for ESMs. The harmonization strategy estimates the fractional land use patterns, underlying land use transitions, key agricultural management information, and resulting secondary lands annually, while minimizing the differences between the end of the historical reconstruction and IAM initial conditions and preserving changes depicted by the IAMs in the future. The new approach builds on a similar effort from CMIP5 and is now provided at higher resolution (&lt;span class=\"inline-formula\"&gt;&lt;math xmlns=\"http://www.w3.org/1998/Math/MathML\" id=\"M1\" display=\"inline\" overflow=\"scroll\" dspmath=\"mathml\"&gt;&lt;mrow&gt;&lt;mn mathvariant=\"normal\"&gt;0.25&lt;/mn&gt;&lt;msup&gt;&lt;mi/&gt;&lt;mo&gt;</w:instrText>
      </w:r>
      <w:r>
        <w:rPr>
          <w:rFonts w:ascii="Cambria Math" w:eastAsia="Times New Roman" w:hAnsi="Cambria Math" w:cs="Cambria Math"/>
          <w:sz w:val="24"/>
          <w:szCs w:val="24"/>
        </w:rPr>
        <w:instrText>∘</w:instrText>
      </w:r>
      <w:r>
        <w:rPr>
          <w:rFonts w:ascii="Times New Roman" w:eastAsia="Times New Roman" w:hAnsi="Times New Roman" w:cs="Times New Roman"/>
          <w:sz w:val="24"/>
          <w:szCs w:val="24"/>
        </w:rPr>
        <w:instrText>&lt;/mo&gt;&lt;/msup&gt;&lt;mo&gt;×&lt;/mo&gt;&lt;mn mathvariant=\"normal\"&gt;0.25&lt;/mn&gt;&lt;/mrow&gt;&lt;/math&gt;&lt;span&gt;&lt;svg:svg xmlns:svg=\"http://www.w3.org/2000/svg\" width=\"60pt\" height=\"11pt\" class=\"svg-formula\" dspmath=\"mathimg\" md5hash=\"bd96d133f473e8522ce91d93d4b3729f\"&gt;&lt;svg:image xmlns:xlink=\"http://www.w3.org/1999/xlink\" xlink:href=\"gmd-13-5425-2020-ie00001.svg\" width=\"60pt\" height=\"11pt\" src=\"gmd-13-5425-2020-ie00001.png\"/&gt;&lt;/svg:svg&gt;&lt;/span&gt;&lt;/span&gt;&lt;span class=\"inline-formula\"&gt;&lt;sup&gt;</w:instrText>
      </w:r>
      <w:r>
        <w:rPr>
          <w:rFonts w:ascii="Cambria Math" w:eastAsia="Times New Roman" w:hAnsi="Cambria Math" w:cs="Cambria Math"/>
          <w:sz w:val="24"/>
          <w:szCs w:val="24"/>
        </w:rPr>
        <w:instrText>∘</w:instrText>
      </w:r>
      <w:r>
        <w:rPr>
          <w:rFonts w:ascii="Times New Roman" w:eastAsia="Times New Roman" w:hAnsi="Times New Roman" w:cs="Times New Roman"/>
          <w:sz w:val="24"/>
          <w:szCs w:val="24"/>
        </w:rPr>
        <w:instrText xml:space="preserve">&lt;/sup&gt;&lt;/span&gt;) over a longer time domain (850–2100, with extensions to 2300) with more detail (including multiple crop and pasture types and associated management practices) using more input datasets (including Landsat remote sensing data) and updated algorithms (wood harvest and shifting cultivation); it is assessed via a new diagnostic package. The new LUH2 products contain &lt;span class=\"inline-formula\"&gt;&amp;gt;&lt;/span&gt;&amp;thinsp;50 times the information content of the datasets used in CMIP5 and are designed to enable new and improved estimates of the combined effects of land use on the global carbon–climate system.&lt;/p&gt;","container-title":"Geoscientific Model Development","DOI":"10.5194/gmd-13-5425-2020","ISSN":"1991-959X","issue":"11","language":"English","note":"publisher: Copernicus GmbH","page":"5425-5464","source":"gmd.copernicus.org","title":"Harmonization of global land use change and management for the period 850–2100 (LUH2) for CMIP6","volume":"13","author":[{"family":"Hurtt","given":"George C."},{"family":"Chini","given":"Louise"},{"family":"Sahajpal","given":"Ritvik"},{"family":"Frolking","given":"Steve"},{"family":"Bodirsky","given":"Benjamin L."},{"family":"Calvin","given":"Katherine"},{"family":"Doelman","given":"Jonathan C."},{"family":"Fisk","given":"Justin"},{"family":"Fujimori","given":"Shinichiro"},{"family":"Klein Goldewijk","given":"Kees"},{"family":"Hasegawa","given":"Tomoko"},{"family":"Havlik","given":"Peter"},{"family":"Heinimann","given":"Andreas"},{"family":"Humpenöder","given":"Florian"},{"family":"Jungclaus","given":"Johan"},{"family":"Kaplan","given":"Jed O."},{"family":"Kennedy","given":"Jennifer"},{"family":"Krisztin","given":"Tamás"},{"family":"Lawrence","given":"David"},{"family":"Lawrence","given":"Peter"},{"family":"Ma","given":"Lei"},{"family":"Mertz","given":"Ole"},{"family":"Pongratz","given":"Julia"},{"family":"Popp","given":"Alexander"},{"family":"Poulter","given":"Benjamin"},{"family":"Riahi","given":"Keywan"},{"family":"Shevliakova","given":"Elena"},{"family":"Stehfest","given":"Elke"},{"family":"Thornton","given":"Peter"},{"family":"Tubiello","given":"Francesco N."},{"family":"Vuuren","given":"Detlef P.","non-dropping-particle":"van"},{"family":"Zhang","given":"Xin"}],"issued":{"date-parts":[["2020",11,10]]}}}],"schema":"https://github.com/citation-style-language/schema/raw/master/csl-citation.json"} </w:instrText>
      </w:r>
      <w:r>
        <w:rPr>
          <w:rFonts w:ascii="Times New Roman" w:eastAsia="Times New Roman" w:hAnsi="Times New Roman" w:cs="Times New Roman"/>
          <w:sz w:val="24"/>
          <w:szCs w:val="24"/>
        </w:rPr>
        <w:fldChar w:fldCharType="separate"/>
      </w:r>
      <w:r w:rsidRPr="00F24D44">
        <w:rPr>
          <w:rFonts w:ascii="Times New Roman" w:hAnsi="Times New Roman" w:cs="Times New Roman"/>
          <w:sz w:val="24"/>
          <w:szCs w:val="24"/>
          <w:vertAlign w:val="superscript"/>
        </w:rPr>
        <w:t>45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 xml:space="preserve"> Resulting vegetation distribution for the period (1984 – 2014) after applying biogeography module to the historical run (1750 – 2014). The biogeography module successfully reproduced current dominant PFTs in 89% of the grid cells modeled. </w:t>
      </w:r>
    </w:p>
    <w:p w14:paraId="15B8CE28" w14:textId="77777777" w:rsidR="009147D5" w:rsidRDefault="009147D5" w:rsidP="009147D5">
      <w:pPr>
        <w:jc w:val="both"/>
        <w:rPr>
          <w:rFonts w:ascii="Times New Roman" w:eastAsia="Times New Roman" w:hAnsi="Times New Roman" w:cs="Times New Roman"/>
          <w:sz w:val="24"/>
          <w:szCs w:val="24"/>
        </w:rPr>
      </w:pPr>
    </w:p>
    <w:p w14:paraId="6DC98708" w14:textId="77777777" w:rsidR="009147D5" w:rsidRDefault="009147D5" w:rsidP="009147D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An important caveat is that our model cannot distinguish between different species. Therefore, further research is needed to investigate how individual key species within the remaining forests respond to climatic changes. In addition, our model uses a simple fire model to predict wildfires. Future studies could incorporate a more comprehensive fire model, considering ignition sources, spread, topography, and other fire determinants. Furthermore, we used fixed bioclimatic thresholds primarily informed by literature to determine changes in dominant PFTs. Thus, it would be valuable to explore how thresholds based on real-world observations compare to those we employed. Finally, it would be interesting to investigate whether true competition based on PFT physiology and environmental non-climatic factors—such as soil, topography, light, water, and nutrients—would more accurately represent vegetation dynamics compared to the current approach. Further studies in these areas would help refine our understanding of how climatic changes impact forest ecosystems.</w:t>
      </w:r>
    </w:p>
    <w:p w14:paraId="1E37D14F" w14:textId="77777777" w:rsidR="00762DD1" w:rsidRDefault="00762DD1"/>
    <w:sectPr w:rsidR="00762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3sDAxsjAyNDY1MDZR0lEKTi0uzszPAykwrAUA9cWNsywAAAA="/>
  </w:docVars>
  <w:rsids>
    <w:rsidRoot w:val="009147D5"/>
    <w:rsid w:val="00762DD1"/>
    <w:rsid w:val="00914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05801"/>
  <w15:chartTrackingRefBased/>
  <w15:docId w15:val="{6F159DB8-30DA-44AB-91B7-2869996D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7D5"/>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9.sv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sv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svg"/><Relationship Id="rId15" Type="http://schemas.openxmlformats.org/officeDocument/2006/relationships/image" Target="media/image12.png"/><Relationship Id="rId10" Type="http://schemas.openxmlformats.org/officeDocument/2006/relationships/image" Target="media/image7.svg"/><Relationship Id="rId19" Type="http://schemas.openxmlformats.org/officeDocument/2006/relationships/hyperlink" Target="https://github.com/Lehigh-TEM-Felzer-Lab"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sv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7176</Words>
  <Characters>40904</Characters>
  <Application>Microsoft Office Word</Application>
  <DocSecurity>0</DocSecurity>
  <Lines>340</Lines>
  <Paragraphs>95</Paragraphs>
  <ScaleCrop>false</ScaleCrop>
  <Company/>
  <LinksUpToDate>false</LinksUpToDate>
  <CharactersWithSpaces>47985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Kodero</dc:creator>
  <cp:keywords/>
  <dc:description/>
  <cp:lastModifiedBy>Jared Kodero</cp:lastModifiedBy>
  <cp:revision>1</cp:revision>
  <dcterms:created xsi:type="dcterms:W3CDTF">2023-07-24T21:40:00Z</dcterms:created>
  <dcterms:modified xsi:type="dcterms:W3CDTF">2023-07-24T21:41:00Z</dcterms:modified>
</cp:coreProperties>
</file>