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2639A" w:rsidR="002512FC" w:rsidP="4454154E" w:rsidRDefault="002512FC" w14:paraId="74C7714B" w14:textId="3AA2065C">
      <w:pPr>
        <w:pStyle w:val="Normaali"/>
        <w:spacing w:line="259" w:lineRule="auto"/>
        <w:jc w:val="left"/>
        <w:rPr>
          <w:lang w:val="en-US"/>
        </w:rPr>
      </w:pPr>
      <w:r w:rsidRPr="4454154E" w:rsidR="002512FC">
        <w:rPr>
          <w:rFonts w:ascii="Arial" w:hAnsi="Arial" w:eastAsia="Calibri" w:cs="Arial"/>
          <w:sz w:val="22"/>
          <w:szCs w:val="22"/>
          <w:lang w:val="en-US"/>
        </w:rPr>
        <w:t>A</w:t>
      </w:r>
      <w:r w:rsidRPr="4454154E" w:rsidR="002512FC">
        <w:rPr>
          <w:rFonts w:ascii="Arial" w:hAnsi="Arial" w:eastAsia="Calibri" w:cs="Arial"/>
          <w:sz w:val="22"/>
          <w:szCs w:val="22"/>
          <w:lang w:val="en-US"/>
        </w:rPr>
        <w:t>dditional</w:t>
      </w:r>
      <w:r w:rsidRPr="4454154E" w:rsidR="002512FC">
        <w:rPr>
          <w:rFonts w:ascii="Arial" w:hAnsi="Arial" w:eastAsia="Calibri" w:cs="Arial"/>
          <w:sz w:val="22"/>
          <w:szCs w:val="22"/>
          <w:lang w:val="en-US"/>
        </w:rPr>
        <w:t xml:space="preserve"> file</w:t>
      </w:r>
      <w:r w:rsidRPr="4454154E" w:rsidR="002512FC">
        <w:rPr>
          <w:rFonts w:ascii="Arial" w:hAnsi="Arial" w:eastAsia="Calibri" w:cs="Arial"/>
          <w:sz w:val="22"/>
          <w:szCs w:val="22"/>
          <w:lang w:val="en-US"/>
        </w:rPr>
        <w:t xml:space="preserve"> 3</w:t>
      </w:r>
      <w:r w:rsidRPr="4454154E" w:rsidR="002512FC">
        <w:rPr>
          <w:rFonts w:ascii="Arial" w:hAnsi="Arial" w:eastAsia="Calibri" w:cs="Arial"/>
          <w:sz w:val="22"/>
          <w:szCs w:val="22"/>
          <w:lang w:val="en-US"/>
        </w:rPr>
        <w:t xml:space="preserve">. </w:t>
      </w:r>
      <w:r w:rsidRPr="4454154E" w:rsidR="42EC4326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Comprehensiveness of the </w:t>
      </w:r>
      <w:r w:rsidRPr="4454154E" w:rsidR="42EC4326">
        <w:rPr>
          <w:rFonts w:ascii="Arial" w:hAnsi="Arial" w:eastAsia="Arial" w:cs="Arial"/>
          <w:noProof w:val="0"/>
          <w:sz w:val="22"/>
          <w:szCs w:val="22"/>
          <w:lang w:val="en-US"/>
        </w:rPr>
        <w:t>unit-based</w:t>
      </w:r>
      <w:r w:rsidRPr="4454154E" w:rsidR="42EC4326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safe MMU </w:t>
      </w:r>
      <w:r w:rsidRPr="4454154E" w:rsidR="42EC4326">
        <w:rPr>
          <w:rFonts w:ascii="Arial" w:hAnsi="Arial" w:eastAsia="Arial" w:cs="Arial"/>
          <w:noProof w:val="0"/>
          <w:sz w:val="22"/>
          <w:szCs w:val="22"/>
          <w:lang w:val="en-US"/>
        </w:rPr>
        <w:t>Protocol</w:t>
      </w:r>
      <w:r w:rsidRPr="4454154E" w:rsidR="42EC4326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4454154E" w:rsidR="42EC4326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for </w:t>
      </w:r>
      <w:r w:rsidRPr="4454154E" w:rsidR="42EC4326">
        <w:rPr>
          <w:rFonts w:ascii="Arial" w:hAnsi="Arial" w:eastAsia="Arial" w:cs="Arial"/>
          <w:noProof w:val="0"/>
          <w:sz w:val="22"/>
          <w:szCs w:val="22"/>
          <w:lang w:val="en-US"/>
        </w:rPr>
        <w:t>Medication</w:t>
      </w:r>
      <w:r w:rsidRPr="4454154E" w:rsidR="42EC4326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4454154E" w:rsidR="42EC4326">
        <w:rPr>
          <w:rFonts w:ascii="Arial" w:hAnsi="Arial" w:eastAsia="Arial" w:cs="Arial"/>
          <w:noProof w:val="0"/>
          <w:sz w:val="22"/>
          <w:szCs w:val="22"/>
          <w:lang w:val="en-US"/>
        </w:rPr>
        <w:t>Safety</w:t>
      </w:r>
      <w:r w:rsidRPr="4454154E" w:rsidR="42EC4326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4454154E" w:rsidR="42EC4326">
        <w:rPr>
          <w:rFonts w:ascii="Arial" w:hAnsi="Arial" w:eastAsia="Arial" w:cs="Arial"/>
          <w:noProof w:val="0"/>
          <w:sz w:val="22"/>
          <w:szCs w:val="22"/>
          <w:lang w:val="en-US"/>
        </w:rPr>
        <w:t>Practices</w:t>
      </w:r>
      <w:r w:rsidRPr="4454154E" w:rsidR="42EC4326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r w:rsidRPr="4454154E" w:rsidR="42EC4326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by </w:t>
      </w:r>
      <w:r w:rsidRPr="4454154E" w:rsidR="42EC4326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the </w:t>
      </w:r>
      <w:r w:rsidRPr="4454154E" w:rsidR="42EC4326">
        <w:rPr>
          <w:rFonts w:ascii="Arial" w:hAnsi="Arial" w:eastAsia="Arial" w:cs="Arial"/>
          <w:noProof w:val="0"/>
          <w:sz w:val="22"/>
          <w:szCs w:val="22"/>
          <w:lang w:val="en-US"/>
        </w:rPr>
        <w:t>work environment</w:t>
      </w:r>
      <w:r w:rsidRPr="4454154E" w:rsidR="42EC4326">
        <w:rPr>
          <w:rFonts w:ascii="Arial" w:hAnsi="Arial" w:eastAsia="Arial" w:cs="Arial"/>
          <w:noProof w:val="0"/>
          <w:sz w:val="22"/>
          <w:szCs w:val="22"/>
          <w:lang w:val="en-US"/>
        </w:rPr>
        <w:t>.</w:t>
      </w:r>
    </w:p>
    <w:tbl>
      <w:tblPr>
        <w:tblStyle w:val="Yksinkertainentaulukko11"/>
        <w:tblW w:w="10919" w:type="dxa"/>
        <w:tblLook w:val="04A0" w:firstRow="1" w:lastRow="0" w:firstColumn="1" w:lastColumn="0" w:noHBand="0" w:noVBand="1"/>
      </w:tblPr>
      <w:tblGrid>
        <w:gridCol w:w="3098"/>
        <w:gridCol w:w="1184"/>
        <w:gridCol w:w="1164"/>
        <w:gridCol w:w="1217"/>
        <w:gridCol w:w="1217"/>
        <w:gridCol w:w="994"/>
        <w:gridCol w:w="1295"/>
        <w:gridCol w:w="750"/>
      </w:tblGrid>
      <w:tr w:rsidRPr="0012639A" w:rsidR="002512FC" w:rsidTr="000B1E72" w14:paraId="1B43546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dxa"/>
            <w:noWrap/>
            <w:hideMark/>
          </w:tcPr>
          <w:p w:rsidRPr="0012639A" w:rsidR="002512FC" w:rsidP="000B1E72" w:rsidRDefault="002512FC" w14:paraId="22522F1A" w14:textId="77777777">
            <w:pPr>
              <w:spacing w:line="259" w:lineRule="auto"/>
              <w:jc w:val="left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Sum variables</w:t>
            </w:r>
          </w:p>
        </w:tc>
        <w:tc>
          <w:tcPr>
            <w:tcW w:w="1184" w:type="dxa"/>
            <w:hideMark/>
          </w:tcPr>
          <w:p w:rsidRPr="0012639A" w:rsidR="002512FC" w:rsidP="000B1E72" w:rsidRDefault="002512FC" w14:paraId="45E5BECE" w14:textId="77777777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University hospital</w:t>
            </w:r>
          </w:p>
        </w:tc>
        <w:tc>
          <w:tcPr>
            <w:tcW w:w="1164" w:type="dxa"/>
            <w:hideMark/>
          </w:tcPr>
          <w:p w:rsidRPr="0012639A" w:rsidR="002512FC" w:rsidP="000B1E72" w:rsidRDefault="002512FC" w14:paraId="19D5ADD2" w14:textId="77777777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Central hospital</w:t>
            </w:r>
          </w:p>
        </w:tc>
        <w:tc>
          <w:tcPr>
            <w:tcW w:w="1217" w:type="dxa"/>
            <w:hideMark/>
          </w:tcPr>
          <w:p w:rsidRPr="0012639A" w:rsidR="002512FC" w:rsidP="000B1E72" w:rsidRDefault="002512FC" w14:paraId="357A019E" w14:textId="77777777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Primary health care ward</w:t>
            </w:r>
          </w:p>
        </w:tc>
        <w:tc>
          <w:tcPr>
            <w:tcW w:w="1217" w:type="dxa"/>
            <w:hideMark/>
          </w:tcPr>
          <w:p w:rsidRPr="0012639A" w:rsidR="002512FC" w:rsidP="000B1E72" w:rsidRDefault="002512FC" w14:paraId="249CEA4F" w14:textId="77777777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Primary health care reception</w:t>
            </w:r>
          </w:p>
        </w:tc>
        <w:tc>
          <w:tcPr>
            <w:tcW w:w="994" w:type="dxa"/>
            <w:hideMark/>
          </w:tcPr>
          <w:p w:rsidRPr="0012639A" w:rsidR="002512FC" w:rsidP="000B1E72" w:rsidRDefault="002512FC" w14:paraId="32D59F5C" w14:textId="77777777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Social care housing service</w:t>
            </w:r>
          </w:p>
        </w:tc>
        <w:tc>
          <w:tcPr>
            <w:tcW w:w="1295" w:type="dxa"/>
            <w:hideMark/>
          </w:tcPr>
          <w:p w:rsidRPr="0012639A" w:rsidR="002512FC" w:rsidP="000B1E72" w:rsidRDefault="002512FC" w14:paraId="484F4AE9" w14:textId="77777777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Home care</w:t>
            </w:r>
          </w:p>
        </w:tc>
        <w:tc>
          <w:tcPr>
            <w:tcW w:w="750" w:type="dxa"/>
            <w:hideMark/>
          </w:tcPr>
          <w:p w:rsidRPr="0012639A" w:rsidR="002512FC" w:rsidP="000B1E72" w:rsidRDefault="002512FC" w14:paraId="24F9B938" w14:textId="77777777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Other</w:t>
            </w:r>
          </w:p>
        </w:tc>
      </w:tr>
      <w:tr w:rsidRPr="0012639A" w:rsidR="002512FC" w:rsidTr="000B1E72" w14:paraId="0AF32FF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dxa"/>
            <w:noWrap/>
            <w:hideMark/>
          </w:tcPr>
          <w:p w:rsidRPr="0012639A" w:rsidR="002512FC" w:rsidP="000B1E72" w:rsidRDefault="002512FC" w14:paraId="010938E7" w14:textId="77777777">
            <w:pPr>
              <w:spacing w:line="259" w:lineRule="auto"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184" w:type="dxa"/>
            <w:hideMark/>
          </w:tcPr>
          <w:p w:rsidRPr="0012639A" w:rsidR="002512FC" w:rsidP="000B1E72" w:rsidRDefault="002512FC" w14:paraId="59D8AEB6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mean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SD</w:t>
            </w:r>
          </w:p>
        </w:tc>
        <w:tc>
          <w:tcPr>
            <w:tcW w:w="1164" w:type="dxa"/>
            <w:hideMark/>
          </w:tcPr>
          <w:p w:rsidRPr="0012639A" w:rsidR="002512FC" w:rsidP="000B1E72" w:rsidRDefault="002512FC" w14:paraId="68B3702E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mean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SD</w:t>
            </w:r>
          </w:p>
        </w:tc>
        <w:tc>
          <w:tcPr>
            <w:tcW w:w="1217" w:type="dxa"/>
            <w:hideMark/>
          </w:tcPr>
          <w:p w:rsidRPr="0012639A" w:rsidR="002512FC" w:rsidP="000B1E72" w:rsidRDefault="002512FC" w14:paraId="46E387E0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mean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SD</w:t>
            </w:r>
          </w:p>
        </w:tc>
        <w:tc>
          <w:tcPr>
            <w:tcW w:w="1217" w:type="dxa"/>
            <w:hideMark/>
          </w:tcPr>
          <w:p w:rsidRPr="0012639A" w:rsidR="002512FC" w:rsidP="000B1E72" w:rsidRDefault="002512FC" w14:paraId="21E07D2F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mean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SD</w:t>
            </w:r>
          </w:p>
        </w:tc>
        <w:tc>
          <w:tcPr>
            <w:tcW w:w="994" w:type="dxa"/>
            <w:hideMark/>
          </w:tcPr>
          <w:p w:rsidRPr="0012639A" w:rsidR="002512FC" w:rsidP="000B1E72" w:rsidRDefault="002512FC" w14:paraId="3C2F41A0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mean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SD</w:t>
            </w:r>
          </w:p>
        </w:tc>
        <w:tc>
          <w:tcPr>
            <w:tcW w:w="1295" w:type="dxa"/>
            <w:hideMark/>
          </w:tcPr>
          <w:p w:rsidRPr="0012639A" w:rsidR="002512FC" w:rsidP="000B1E72" w:rsidRDefault="002512FC" w14:paraId="7BF570E3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mean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SD</w:t>
            </w:r>
          </w:p>
        </w:tc>
        <w:tc>
          <w:tcPr>
            <w:tcW w:w="750" w:type="dxa"/>
            <w:hideMark/>
          </w:tcPr>
          <w:p w:rsidRPr="0012639A" w:rsidR="002512FC" w:rsidP="000B1E72" w:rsidRDefault="002512FC" w14:paraId="11F8A589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mean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SD</w:t>
            </w:r>
          </w:p>
        </w:tc>
      </w:tr>
      <w:tr w:rsidRPr="0012639A" w:rsidR="002512FC" w:rsidTr="000B1E72" w14:paraId="07034736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dxa"/>
            <w:noWrap/>
            <w:hideMark/>
          </w:tcPr>
          <w:p w:rsidRPr="0012639A" w:rsidR="002512FC" w:rsidP="000B1E72" w:rsidRDefault="002512FC" w14:paraId="2E84F818" w14:textId="77777777">
            <w:pPr>
              <w:spacing w:line="259" w:lineRule="auto"/>
              <w:jc w:val="left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Total sum variable</w:t>
            </w:r>
            <w:r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*</w:t>
            </w:r>
          </w:p>
        </w:tc>
        <w:tc>
          <w:tcPr>
            <w:tcW w:w="1184" w:type="dxa"/>
            <w:noWrap/>
            <w:hideMark/>
          </w:tcPr>
          <w:p w:rsidRPr="0012639A" w:rsidR="002512FC" w:rsidP="000B1E72" w:rsidRDefault="002512FC" w14:paraId="3E2E7BDF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164" w:type="dxa"/>
            <w:noWrap/>
            <w:hideMark/>
          </w:tcPr>
          <w:p w:rsidRPr="0012639A" w:rsidR="002512FC" w:rsidP="000B1E72" w:rsidRDefault="002512FC" w14:paraId="1852FAF9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fi-FI"/>
              </w:rPr>
            </w:pPr>
          </w:p>
        </w:tc>
        <w:tc>
          <w:tcPr>
            <w:tcW w:w="1217" w:type="dxa"/>
            <w:noWrap/>
            <w:hideMark/>
          </w:tcPr>
          <w:p w:rsidRPr="0012639A" w:rsidR="002512FC" w:rsidP="000B1E72" w:rsidRDefault="002512FC" w14:paraId="4272D795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fi-FI"/>
              </w:rPr>
            </w:pPr>
          </w:p>
        </w:tc>
        <w:tc>
          <w:tcPr>
            <w:tcW w:w="1217" w:type="dxa"/>
            <w:noWrap/>
            <w:hideMark/>
          </w:tcPr>
          <w:p w:rsidRPr="0012639A" w:rsidR="002512FC" w:rsidP="000B1E72" w:rsidRDefault="002512FC" w14:paraId="4AC540A7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fi-FI"/>
              </w:rPr>
            </w:pPr>
          </w:p>
        </w:tc>
        <w:tc>
          <w:tcPr>
            <w:tcW w:w="994" w:type="dxa"/>
            <w:noWrap/>
            <w:hideMark/>
          </w:tcPr>
          <w:p w:rsidRPr="0012639A" w:rsidR="002512FC" w:rsidP="000B1E72" w:rsidRDefault="002512FC" w14:paraId="0C4E1220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fi-FI"/>
              </w:rPr>
            </w:pPr>
          </w:p>
        </w:tc>
        <w:tc>
          <w:tcPr>
            <w:tcW w:w="1295" w:type="dxa"/>
            <w:noWrap/>
            <w:hideMark/>
          </w:tcPr>
          <w:p w:rsidRPr="0012639A" w:rsidR="002512FC" w:rsidP="000B1E72" w:rsidRDefault="002512FC" w14:paraId="2A1A05BB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fi-FI"/>
              </w:rPr>
            </w:pPr>
          </w:p>
        </w:tc>
        <w:tc>
          <w:tcPr>
            <w:tcW w:w="750" w:type="dxa"/>
            <w:noWrap/>
            <w:hideMark/>
          </w:tcPr>
          <w:p w:rsidRPr="0012639A" w:rsidR="002512FC" w:rsidP="000B1E72" w:rsidRDefault="002512FC" w14:paraId="435AA1F0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fi-FI"/>
              </w:rPr>
            </w:pPr>
          </w:p>
        </w:tc>
      </w:tr>
      <w:tr w:rsidRPr="0012639A" w:rsidR="002512FC" w:rsidTr="000B1E72" w14:paraId="08E129B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dxa"/>
            <w:hideMark/>
          </w:tcPr>
          <w:p w:rsidRPr="0012639A" w:rsidR="002512FC" w:rsidP="000B1E72" w:rsidRDefault="002512FC" w14:paraId="23CF9FFC" w14:textId="77777777">
            <w:pPr>
              <w:spacing w:line="259" w:lineRule="auto"/>
              <w:jc w:val="left"/>
              <w:rPr>
                <w:rFonts w:ascii="Arial" w:hAnsi="Arial" w:eastAsia="Times New Roman" w:cs="Arial"/>
                <w:b w:val="0"/>
                <w:bCs w:val="0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b w:val="0"/>
                <w:bCs w:val="0"/>
                <w:color w:val="000000"/>
                <w:sz w:val="20"/>
                <w:szCs w:val="20"/>
                <w:lang w:eastAsia="fi-FI"/>
              </w:rPr>
              <w:t xml:space="preserve">Coverage of the content of the </w:t>
            </w:r>
            <w:proofErr w:type="gramStart"/>
            <w:r w:rsidRPr="0012639A">
              <w:rPr>
                <w:rFonts w:ascii="Arial" w:hAnsi="Arial" w:eastAsia="Times New Roman" w:cs="Arial"/>
                <w:b w:val="0"/>
                <w:bCs w:val="0"/>
                <w:color w:val="000000"/>
                <w:sz w:val="20"/>
                <w:szCs w:val="20"/>
                <w:lang w:eastAsia="fi-FI"/>
              </w:rPr>
              <w:t>unit-based</w:t>
            </w:r>
            <w:proofErr w:type="gramEnd"/>
            <w:r w:rsidRPr="0012639A">
              <w:rPr>
                <w:rFonts w:ascii="Arial" w:hAnsi="Arial" w:eastAsia="Times New Roman" w:cs="Arial"/>
                <w:b w:val="0"/>
                <w:bCs w:val="0"/>
                <w:color w:val="000000"/>
                <w:sz w:val="20"/>
                <w:szCs w:val="20"/>
                <w:lang w:eastAsia="fi-FI"/>
              </w:rPr>
              <w:t xml:space="preserve"> safe MMU protocol in terms of medication safety practices (n=356)</w:t>
            </w:r>
          </w:p>
        </w:tc>
        <w:tc>
          <w:tcPr>
            <w:tcW w:w="1184" w:type="dxa"/>
            <w:hideMark/>
          </w:tcPr>
          <w:p w:rsidRPr="0012639A" w:rsidR="002512FC" w:rsidP="000B1E72" w:rsidRDefault="002512FC" w14:paraId="6F395751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3.29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0.56</w:t>
            </w:r>
          </w:p>
        </w:tc>
        <w:tc>
          <w:tcPr>
            <w:tcW w:w="1164" w:type="dxa"/>
            <w:hideMark/>
          </w:tcPr>
          <w:p w:rsidRPr="0012639A" w:rsidR="002512FC" w:rsidP="000B1E72" w:rsidRDefault="002512FC" w14:paraId="05D7B74A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3.21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0.58</w:t>
            </w:r>
          </w:p>
        </w:tc>
        <w:tc>
          <w:tcPr>
            <w:tcW w:w="1217" w:type="dxa"/>
            <w:hideMark/>
          </w:tcPr>
          <w:p w:rsidRPr="0012639A" w:rsidR="002512FC" w:rsidP="000B1E72" w:rsidRDefault="002512FC" w14:paraId="3F9F44E9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3.52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0.36</w:t>
            </w:r>
          </w:p>
        </w:tc>
        <w:tc>
          <w:tcPr>
            <w:tcW w:w="1217" w:type="dxa"/>
            <w:hideMark/>
          </w:tcPr>
          <w:p w:rsidRPr="0012639A" w:rsidR="002512FC" w:rsidP="000B1E72" w:rsidRDefault="002512FC" w14:paraId="5C236CDE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3.25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0.65</w:t>
            </w:r>
          </w:p>
        </w:tc>
        <w:tc>
          <w:tcPr>
            <w:tcW w:w="994" w:type="dxa"/>
            <w:hideMark/>
          </w:tcPr>
          <w:p w:rsidRPr="0012639A" w:rsidR="002512FC" w:rsidP="000B1E72" w:rsidRDefault="002512FC" w14:paraId="561472C3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3.39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0.53</w:t>
            </w:r>
          </w:p>
        </w:tc>
        <w:tc>
          <w:tcPr>
            <w:tcW w:w="1295" w:type="dxa"/>
            <w:hideMark/>
          </w:tcPr>
          <w:p w:rsidRPr="0012639A" w:rsidR="002512FC" w:rsidP="000B1E72" w:rsidRDefault="002512FC" w14:paraId="6983952E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3.26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0.64</w:t>
            </w:r>
          </w:p>
        </w:tc>
        <w:tc>
          <w:tcPr>
            <w:tcW w:w="750" w:type="dxa"/>
            <w:hideMark/>
          </w:tcPr>
          <w:p w:rsidRPr="0012639A" w:rsidR="002512FC" w:rsidP="000B1E72" w:rsidRDefault="002512FC" w14:paraId="77FEE697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3.34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0.68</w:t>
            </w:r>
          </w:p>
        </w:tc>
      </w:tr>
      <w:tr w:rsidRPr="0012639A" w:rsidR="002512FC" w:rsidTr="000B1E72" w14:paraId="6276AF7E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dxa"/>
            <w:noWrap/>
            <w:hideMark/>
          </w:tcPr>
          <w:p w:rsidRPr="0012639A" w:rsidR="002512FC" w:rsidP="000B1E72" w:rsidRDefault="002512FC" w14:paraId="410B0D4E" w14:textId="77777777">
            <w:pPr>
              <w:spacing w:line="259" w:lineRule="auto"/>
              <w:jc w:val="left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Subtotal sum variable</w:t>
            </w:r>
            <w:r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*</w:t>
            </w:r>
          </w:p>
        </w:tc>
        <w:tc>
          <w:tcPr>
            <w:tcW w:w="1184" w:type="dxa"/>
            <w:noWrap/>
            <w:hideMark/>
          </w:tcPr>
          <w:p w:rsidRPr="0012639A" w:rsidR="002512FC" w:rsidP="000B1E72" w:rsidRDefault="002512FC" w14:paraId="600A346A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1164" w:type="dxa"/>
            <w:noWrap/>
            <w:hideMark/>
          </w:tcPr>
          <w:p w:rsidRPr="0012639A" w:rsidR="002512FC" w:rsidP="000B1E72" w:rsidRDefault="002512FC" w14:paraId="0289A080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fi-FI"/>
              </w:rPr>
            </w:pPr>
          </w:p>
        </w:tc>
        <w:tc>
          <w:tcPr>
            <w:tcW w:w="1217" w:type="dxa"/>
            <w:noWrap/>
            <w:hideMark/>
          </w:tcPr>
          <w:p w:rsidRPr="0012639A" w:rsidR="002512FC" w:rsidP="000B1E72" w:rsidRDefault="002512FC" w14:paraId="74DF07BE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fi-FI"/>
              </w:rPr>
            </w:pPr>
          </w:p>
        </w:tc>
        <w:tc>
          <w:tcPr>
            <w:tcW w:w="1217" w:type="dxa"/>
            <w:noWrap/>
            <w:hideMark/>
          </w:tcPr>
          <w:p w:rsidRPr="0012639A" w:rsidR="002512FC" w:rsidP="000B1E72" w:rsidRDefault="002512FC" w14:paraId="2B38FB8A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fi-FI"/>
              </w:rPr>
            </w:pPr>
          </w:p>
        </w:tc>
        <w:tc>
          <w:tcPr>
            <w:tcW w:w="994" w:type="dxa"/>
            <w:noWrap/>
            <w:hideMark/>
          </w:tcPr>
          <w:p w:rsidRPr="0012639A" w:rsidR="002512FC" w:rsidP="000B1E72" w:rsidRDefault="002512FC" w14:paraId="44169CBF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fi-FI"/>
              </w:rPr>
            </w:pPr>
          </w:p>
        </w:tc>
        <w:tc>
          <w:tcPr>
            <w:tcW w:w="1295" w:type="dxa"/>
            <w:noWrap/>
            <w:hideMark/>
          </w:tcPr>
          <w:p w:rsidRPr="0012639A" w:rsidR="002512FC" w:rsidP="000B1E72" w:rsidRDefault="002512FC" w14:paraId="32882D65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fi-FI"/>
              </w:rPr>
            </w:pPr>
          </w:p>
        </w:tc>
        <w:tc>
          <w:tcPr>
            <w:tcW w:w="750" w:type="dxa"/>
            <w:noWrap/>
            <w:hideMark/>
          </w:tcPr>
          <w:p w:rsidRPr="0012639A" w:rsidR="002512FC" w:rsidP="000B1E72" w:rsidRDefault="002512FC" w14:paraId="2D4245A6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fi-FI"/>
              </w:rPr>
            </w:pPr>
          </w:p>
        </w:tc>
      </w:tr>
      <w:tr w:rsidRPr="0012639A" w:rsidR="002512FC" w:rsidTr="000B1E72" w14:paraId="7B8750E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dxa"/>
            <w:noWrap/>
            <w:hideMark/>
          </w:tcPr>
          <w:p w:rsidRPr="0012639A" w:rsidR="002512FC" w:rsidP="000B1E72" w:rsidRDefault="002512FC" w14:paraId="7E376BD5" w14:textId="77777777">
            <w:pPr>
              <w:spacing w:line="259" w:lineRule="auto"/>
              <w:jc w:val="left"/>
              <w:rPr>
                <w:rFonts w:ascii="Arial" w:hAnsi="Arial" w:eastAsia="Times New Roman" w:cs="Arial"/>
                <w:b w:val="0"/>
                <w:bCs w:val="0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b w:val="0"/>
                <w:bCs w:val="0"/>
                <w:color w:val="000000"/>
                <w:sz w:val="20"/>
                <w:szCs w:val="20"/>
                <w:lang w:eastAsia="fi-FI"/>
              </w:rPr>
              <w:t>Competence, training, and orientation in pharmacotherapy (n=357)</w:t>
            </w:r>
          </w:p>
        </w:tc>
        <w:tc>
          <w:tcPr>
            <w:tcW w:w="1184" w:type="dxa"/>
            <w:hideMark/>
          </w:tcPr>
          <w:p w:rsidRPr="0012639A" w:rsidR="002512FC" w:rsidP="000B1E72" w:rsidRDefault="002512FC" w14:paraId="2F30BC45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3.29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0.59</w:t>
            </w:r>
          </w:p>
        </w:tc>
        <w:tc>
          <w:tcPr>
            <w:tcW w:w="1164" w:type="dxa"/>
            <w:hideMark/>
          </w:tcPr>
          <w:p w:rsidRPr="0012639A" w:rsidR="002512FC" w:rsidP="000B1E72" w:rsidRDefault="002512FC" w14:paraId="7BB38080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3.24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0.60</w:t>
            </w:r>
          </w:p>
        </w:tc>
        <w:tc>
          <w:tcPr>
            <w:tcW w:w="1217" w:type="dxa"/>
            <w:hideMark/>
          </w:tcPr>
          <w:p w:rsidRPr="0012639A" w:rsidR="002512FC" w:rsidP="000B1E72" w:rsidRDefault="002512FC" w14:paraId="30559BBF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3.39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0.58</w:t>
            </w:r>
          </w:p>
        </w:tc>
        <w:tc>
          <w:tcPr>
            <w:tcW w:w="1217" w:type="dxa"/>
            <w:hideMark/>
          </w:tcPr>
          <w:p w:rsidRPr="0012639A" w:rsidR="002512FC" w:rsidP="000B1E72" w:rsidRDefault="002512FC" w14:paraId="5F44C1EE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3.33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0.67</w:t>
            </w:r>
          </w:p>
        </w:tc>
        <w:tc>
          <w:tcPr>
            <w:tcW w:w="994" w:type="dxa"/>
            <w:hideMark/>
          </w:tcPr>
          <w:p w:rsidRPr="0012639A" w:rsidR="002512FC" w:rsidP="000B1E72" w:rsidRDefault="002512FC" w14:paraId="6BD0B59A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3.49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0.48</w:t>
            </w:r>
          </w:p>
        </w:tc>
        <w:tc>
          <w:tcPr>
            <w:tcW w:w="1295" w:type="dxa"/>
            <w:hideMark/>
          </w:tcPr>
          <w:p w:rsidRPr="0012639A" w:rsidR="002512FC" w:rsidP="000B1E72" w:rsidRDefault="002512FC" w14:paraId="40D3D599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3.48</w:t>
            </w:r>
            <w:r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)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0.54</w:t>
            </w:r>
          </w:p>
        </w:tc>
        <w:tc>
          <w:tcPr>
            <w:tcW w:w="750" w:type="dxa"/>
            <w:hideMark/>
          </w:tcPr>
          <w:p w:rsidRPr="0012639A" w:rsidR="002512FC" w:rsidP="000B1E72" w:rsidRDefault="002512FC" w14:paraId="19B623C7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3.38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0.61</w:t>
            </w:r>
          </w:p>
        </w:tc>
      </w:tr>
      <w:tr w:rsidRPr="0012639A" w:rsidR="002512FC" w:rsidTr="000B1E72" w14:paraId="3FBEEB91" w14:textId="77777777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dxa"/>
            <w:noWrap/>
            <w:hideMark/>
          </w:tcPr>
          <w:p w:rsidRPr="0012639A" w:rsidR="002512FC" w:rsidP="000B1E72" w:rsidRDefault="002512FC" w14:paraId="11386074" w14:textId="77777777">
            <w:pPr>
              <w:spacing w:line="259" w:lineRule="auto"/>
              <w:jc w:val="left"/>
              <w:rPr>
                <w:rFonts w:ascii="Arial" w:hAnsi="Arial" w:eastAsia="Times New Roman" w:cs="Arial"/>
                <w:b w:val="0"/>
                <w:bCs w:val="0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b w:val="0"/>
                <w:bCs w:val="0"/>
                <w:color w:val="000000"/>
                <w:sz w:val="20"/>
                <w:szCs w:val="20"/>
                <w:lang w:eastAsia="fi-FI"/>
              </w:rPr>
              <w:t>Risks associated with the pharmacotherapy process (n=357)</w:t>
            </w:r>
          </w:p>
        </w:tc>
        <w:tc>
          <w:tcPr>
            <w:tcW w:w="1184" w:type="dxa"/>
            <w:hideMark/>
          </w:tcPr>
          <w:p w:rsidRPr="0012639A" w:rsidR="002512FC" w:rsidP="000B1E72" w:rsidRDefault="002512FC" w14:paraId="3AD8F937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3.31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0.69</w:t>
            </w:r>
          </w:p>
        </w:tc>
        <w:tc>
          <w:tcPr>
            <w:tcW w:w="1164" w:type="dxa"/>
            <w:hideMark/>
          </w:tcPr>
          <w:p w:rsidRPr="0012639A" w:rsidR="002512FC" w:rsidP="000B1E72" w:rsidRDefault="002512FC" w14:paraId="30DD79DD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3.21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0.66</w:t>
            </w:r>
          </w:p>
        </w:tc>
        <w:tc>
          <w:tcPr>
            <w:tcW w:w="1217" w:type="dxa"/>
            <w:hideMark/>
          </w:tcPr>
          <w:p w:rsidRPr="0012639A" w:rsidR="002512FC" w:rsidP="000B1E72" w:rsidRDefault="002512FC" w14:paraId="3B98E6AE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3.49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0.51</w:t>
            </w:r>
          </w:p>
        </w:tc>
        <w:tc>
          <w:tcPr>
            <w:tcW w:w="1217" w:type="dxa"/>
            <w:hideMark/>
          </w:tcPr>
          <w:p w:rsidRPr="0012639A" w:rsidR="002512FC" w:rsidP="000B1E72" w:rsidRDefault="002512FC" w14:paraId="73D6816B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3.23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0.79</w:t>
            </w:r>
          </w:p>
        </w:tc>
        <w:tc>
          <w:tcPr>
            <w:tcW w:w="994" w:type="dxa"/>
            <w:hideMark/>
          </w:tcPr>
          <w:p w:rsidRPr="0012639A" w:rsidR="002512FC" w:rsidP="000B1E72" w:rsidRDefault="002512FC" w14:paraId="072FC868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3.36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0.63</w:t>
            </w:r>
          </w:p>
        </w:tc>
        <w:tc>
          <w:tcPr>
            <w:tcW w:w="1295" w:type="dxa"/>
            <w:hideMark/>
          </w:tcPr>
          <w:p w:rsidRPr="0012639A" w:rsidR="002512FC" w:rsidP="000B1E72" w:rsidRDefault="002512FC" w14:paraId="4F27EBDD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3.10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0.87</w:t>
            </w:r>
          </w:p>
        </w:tc>
        <w:tc>
          <w:tcPr>
            <w:tcW w:w="750" w:type="dxa"/>
            <w:hideMark/>
          </w:tcPr>
          <w:p w:rsidRPr="0012639A" w:rsidR="002512FC" w:rsidP="000B1E72" w:rsidRDefault="002512FC" w14:paraId="49904BF6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3.25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0.81</w:t>
            </w:r>
          </w:p>
        </w:tc>
      </w:tr>
      <w:tr w:rsidRPr="0012639A" w:rsidR="002512FC" w:rsidTr="000B1E72" w14:paraId="66741EE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dxa"/>
            <w:noWrap/>
            <w:hideMark/>
          </w:tcPr>
          <w:p w:rsidRPr="0012639A" w:rsidR="002512FC" w:rsidP="000B1E72" w:rsidRDefault="002512FC" w14:paraId="1A5FF34B" w14:textId="77777777">
            <w:pPr>
              <w:spacing w:line="259" w:lineRule="auto"/>
              <w:jc w:val="left"/>
              <w:rPr>
                <w:rFonts w:ascii="Arial" w:hAnsi="Arial" w:eastAsia="Times New Roman" w:cs="Arial"/>
                <w:b w:val="0"/>
                <w:bCs w:val="0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b w:val="0"/>
                <w:bCs w:val="0"/>
                <w:color w:val="000000"/>
                <w:sz w:val="20"/>
                <w:szCs w:val="20"/>
                <w:lang w:eastAsia="fi-FI"/>
              </w:rPr>
              <w:t>Prescribing, dispensing, and dosing practices (n=354)</w:t>
            </w:r>
          </w:p>
        </w:tc>
        <w:tc>
          <w:tcPr>
            <w:tcW w:w="1184" w:type="dxa"/>
            <w:hideMark/>
          </w:tcPr>
          <w:p w:rsidRPr="0012639A" w:rsidR="002512FC" w:rsidP="000B1E72" w:rsidRDefault="002512FC" w14:paraId="6E054103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3.50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0.61</w:t>
            </w:r>
          </w:p>
        </w:tc>
        <w:tc>
          <w:tcPr>
            <w:tcW w:w="1164" w:type="dxa"/>
            <w:hideMark/>
          </w:tcPr>
          <w:p w:rsidRPr="0012639A" w:rsidR="002512FC" w:rsidP="000B1E72" w:rsidRDefault="002512FC" w14:paraId="5A9BF5D7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3.43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0.63</w:t>
            </w:r>
          </w:p>
        </w:tc>
        <w:tc>
          <w:tcPr>
            <w:tcW w:w="1217" w:type="dxa"/>
            <w:hideMark/>
          </w:tcPr>
          <w:p w:rsidRPr="0012639A" w:rsidR="002512FC" w:rsidP="000B1E72" w:rsidRDefault="002512FC" w14:paraId="2C332CB9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3.71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0.34</w:t>
            </w:r>
          </w:p>
        </w:tc>
        <w:tc>
          <w:tcPr>
            <w:tcW w:w="1217" w:type="dxa"/>
            <w:hideMark/>
          </w:tcPr>
          <w:p w:rsidRPr="0012639A" w:rsidR="002512FC" w:rsidP="000B1E72" w:rsidRDefault="002512FC" w14:paraId="42477319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3.33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0.66</w:t>
            </w:r>
          </w:p>
        </w:tc>
        <w:tc>
          <w:tcPr>
            <w:tcW w:w="994" w:type="dxa"/>
            <w:hideMark/>
          </w:tcPr>
          <w:p w:rsidRPr="0012639A" w:rsidR="002512FC" w:rsidP="000B1E72" w:rsidRDefault="002512FC" w14:paraId="4A176145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3.56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0.57</w:t>
            </w:r>
          </w:p>
        </w:tc>
        <w:tc>
          <w:tcPr>
            <w:tcW w:w="1295" w:type="dxa"/>
            <w:hideMark/>
          </w:tcPr>
          <w:p w:rsidRPr="0012639A" w:rsidR="002512FC" w:rsidP="000B1E72" w:rsidRDefault="002512FC" w14:paraId="7DFB7013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3.29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0.69</w:t>
            </w:r>
          </w:p>
        </w:tc>
        <w:tc>
          <w:tcPr>
            <w:tcW w:w="750" w:type="dxa"/>
            <w:hideMark/>
          </w:tcPr>
          <w:p w:rsidRPr="0012639A" w:rsidR="002512FC" w:rsidP="000B1E72" w:rsidRDefault="002512FC" w14:paraId="32078B34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3.51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0.68</w:t>
            </w:r>
          </w:p>
        </w:tc>
      </w:tr>
      <w:tr w:rsidRPr="0012639A" w:rsidR="002512FC" w:rsidTr="000B1E72" w14:paraId="320187EE" w14:textId="77777777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dxa"/>
            <w:noWrap/>
            <w:hideMark/>
          </w:tcPr>
          <w:p w:rsidRPr="0012639A" w:rsidR="002512FC" w:rsidP="000B1E72" w:rsidRDefault="002512FC" w14:paraId="0FD396E3" w14:textId="77777777">
            <w:pPr>
              <w:spacing w:line="259" w:lineRule="auto"/>
              <w:jc w:val="left"/>
              <w:rPr>
                <w:rFonts w:ascii="Arial" w:hAnsi="Arial" w:eastAsia="Times New Roman" w:cs="Arial"/>
                <w:b w:val="0"/>
                <w:bCs w:val="0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b w:val="0"/>
                <w:bCs w:val="0"/>
                <w:color w:val="000000"/>
                <w:sz w:val="20"/>
                <w:szCs w:val="20"/>
                <w:lang w:eastAsia="fi-FI"/>
              </w:rPr>
              <w:t>Medication reconciliation and patient involvement (n=355)</w:t>
            </w:r>
          </w:p>
        </w:tc>
        <w:tc>
          <w:tcPr>
            <w:tcW w:w="1184" w:type="dxa"/>
            <w:hideMark/>
          </w:tcPr>
          <w:p w:rsidRPr="0012639A" w:rsidR="002512FC" w:rsidP="000B1E72" w:rsidRDefault="002512FC" w14:paraId="435030B2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3.04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0.84</w:t>
            </w:r>
          </w:p>
        </w:tc>
        <w:tc>
          <w:tcPr>
            <w:tcW w:w="1164" w:type="dxa"/>
            <w:hideMark/>
          </w:tcPr>
          <w:p w:rsidRPr="0012639A" w:rsidR="002512FC" w:rsidP="000B1E72" w:rsidRDefault="002512FC" w14:paraId="7668F946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2.92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0.87</w:t>
            </w:r>
          </w:p>
        </w:tc>
        <w:tc>
          <w:tcPr>
            <w:tcW w:w="1217" w:type="dxa"/>
            <w:hideMark/>
          </w:tcPr>
          <w:p w:rsidRPr="0012639A" w:rsidR="002512FC" w:rsidP="000B1E72" w:rsidRDefault="002512FC" w14:paraId="342FDFC0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3.45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0.47</w:t>
            </w:r>
          </w:p>
        </w:tc>
        <w:tc>
          <w:tcPr>
            <w:tcW w:w="1217" w:type="dxa"/>
            <w:hideMark/>
          </w:tcPr>
          <w:p w:rsidRPr="0012639A" w:rsidR="002512FC" w:rsidP="000B1E72" w:rsidRDefault="002512FC" w14:paraId="2BA7A331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3.13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0.92</w:t>
            </w:r>
          </w:p>
        </w:tc>
        <w:tc>
          <w:tcPr>
            <w:tcW w:w="994" w:type="dxa"/>
            <w:hideMark/>
          </w:tcPr>
          <w:p w:rsidRPr="0012639A" w:rsidR="002512FC" w:rsidP="000B1E72" w:rsidRDefault="002512FC" w14:paraId="592C4B7E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3.14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0.79</w:t>
            </w:r>
          </w:p>
        </w:tc>
        <w:tc>
          <w:tcPr>
            <w:tcW w:w="1295" w:type="dxa"/>
            <w:hideMark/>
          </w:tcPr>
          <w:p w:rsidRPr="0012639A" w:rsidR="002512FC" w:rsidP="000B1E72" w:rsidRDefault="002512FC" w14:paraId="1358FF90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3.26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0.74</w:t>
            </w:r>
          </w:p>
        </w:tc>
        <w:tc>
          <w:tcPr>
            <w:tcW w:w="750" w:type="dxa"/>
            <w:hideMark/>
          </w:tcPr>
          <w:p w:rsidRPr="0012639A" w:rsidR="002512FC" w:rsidP="000B1E72" w:rsidRDefault="002512FC" w14:paraId="5850E22C" w14:textId="77777777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3.21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0.87</w:t>
            </w:r>
          </w:p>
        </w:tc>
      </w:tr>
      <w:tr w:rsidRPr="0012639A" w:rsidR="002512FC" w:rsidTr="000B1E72" w14:paraId="11A51A2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dxa"/>
            <w:noWrap/>
            <w:hideMark/>
          </w:tcPr>
          <w:p w:rsidRPr="0012639A" w:rsidR="002512FC" w:rsidP="000B1E72" w:rsidRDefault="002512FC" w14:paraId="7FC8760C" w14:textId="77777777">
            <w:pPr>
              <w:spacing w:line="259" w:lineRule="auto"/>
              <w:jc w:val="left"/>
              <w:rPr>
                <w:rFonts w:ascii="Arial" w:hAnsi="Arial" w:eastAsia="Times New Roman" w:cs="Arial"/>
                <w:b w:val="0"/>
                <w:bCs w:val="0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b w:val="0"/>
                <w:bCs w:val="0"/>
                <w:color w:val="000000"/>
                <w:sz w:val="20"/>
                <w:szCs w:val="20"/>
                <w:lang w:eastAsia="fi-FI"/>
              </w:rPr>
              <w:t>Management of medication safety**(n=355)</w:t>
            </w:r>
          </w:p>
        </w:tc>
        <w:tc>
          <w:tcPr>
            <w:tcW w:w="1184" w:type="dxa"/>
            <w:hideMark/>
          </w:tcPr>
          <w:p w:rsidRPr="0012639A" w:rsidR="002512FC" w:rsidP="000B1E72" w:rsidRDefault="002512FC" w14:paraId="48659A3A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2.96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1.08</w:t>
            </w:r>
          </w:p>
        </w:tc>
        <w:tc>
          <w:tcPr>
            <w:tcW w:w="1164" w:type="dxa"/>
            <w:hideMark/>
          </w:tcPr>
          <w:p w:rsidRPr="0012639A" w:rsidR="002512FC" w:rsidP="000B1E72" w:rsidRDefault="002512FC" w14:paraId="7CDA8440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2.94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0.85</w:t>
            </w:r>
          </w:p>
        </w:tc>
        <w:tc>
          <w:tcPr>
            <w:tcW w:w="1217" w:type="dxa"/>
            <w:hideMark/>
          </w:tcPr>
          <w:p w:rsidRPr="0012639A" w:rsidR="002512FC" w:rsidP="000B1E72" w:rsidRDefault="002512FC" w14:paraId="66107BA4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3.33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0.75</w:t>
            </w:r>
          </w:p>
        </w:tc>
        <w:tc>
          <w:tcPr>
            <w:tcW w:w="1217" w:type="dxa"/>
            <w:hideMark/>
          </w:tcPr>
          <w:p w:rsidRPr="0012639A" w:rsidR="002512FC" w:rsidP="000B1E72" w:rsidRDefault="002512FC" w14:paraId="21642E1A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3.11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0.97</w:t>
            </w:r>
          </w:p>
        </w:tc>
        <w:tc>
          <w:tcPr>
            <w:tcW w:w="994" w:type="dxa"/>
            <w:hideMark/>
          </w:tcPr>
          <w:p w:rsidRPr="0012639A" w:rsidR="002512FC" w:rsidP="000B1E72" w:rsidRDefault="002512FC" w14:paraId="1B496806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3.19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0.91</w:t>
            </w:r>
          </w:p>
        </w:tc>
        <w:tc>
          <w:tcPr>
            <w:tcW w:w="1295" w:type="dxa"/>
            <w:hideMark/>
          </w:tcPr>
          <w:p w:rsidRPr="0012639A" w:rsidR="002512FC" w:rsidP="000B1E72" w:rsidRDefault="002512FC" w14:paraId="6A287A14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3.00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1.26</w:t>
            </w:r>
          </w:p>
        </w:tc>
        <w:tc>
          <w:tcPr>
            <w:tcW w:w="750" w:type="dxa"/>
            <w:hideMark/>
          </w:tcPr>
          <w:p w:rsidRPr="0012639A" w:rsidR="002512FC" w:rsidP="000B1E72" w:rsidRDefault="002512FC" w14:paraId="2DE0518B" w14:textId="77777777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</w:pP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3.18</w:t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br/>
            </w:r>
            <w:r w:rsidRPr="0012639A">
              <w:rPr>
                <w:rFonts w:ascii="Arial" w:hAnsi="Arial" w:eastAsia="Times New Roman" w:cs="Arial"/>
                <w:color w:val="000000"/>
                <w:sz w:val="20"/>
                <w:szCs w:val="20"/>
                <w:lang w:eastAsia="fi-FI"/>
              </w:rPr>
              <w:t>1.02</w:t>
            </w:r>
          </w:p>
        </w:tc>
      </w:tr>
      <w:tr w:rsidRPr="00716A5F" w:rsidR="002512FC" w:rsidTr="000B1E72" w14:paraId="06DEF10A" w14:textId="77777777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9" w:type="dxa"/>
            <w:gridSpan w:val="8"/>
            <w:noWrap/>
          </w:tcPr>
          <w:p w:rsidRPr="00AA0E8A" w:rsidR="002512FC" w:rsidP="000B1E72" w:rsidRDefault="002512FC" w14:paraId="05E885FD" w14:textId="77777777">
            <w:pPr>
              <w:spacing w:line="240" w:lineRule="auto"/>
              <w:rPr>
                <w:rFonts w:ascii="Arial" w:hAnsi="Arial" w:eastAsia="Times New Roman" w:cs="Arial"/>
                <w:b w:val="0"/>
                <w:bCs w:val="0"/>
                <w:color w:val="000000"/>
                <w:sz w:val="18"/>
                <w:szCs w:val="18"/>
                <w:lang w:eastAsia="fi-FI"/>
              </w:rPr>
            </w:pPr>
            <w:r w:rsidRPr="6444B5CD">
              <w:rPr>
                <w:rFonts w:ascii="Arial" w:hAnsi="Arial" w:eastAsia="Times New Roman" w:cs="Arial"/>
                <w:b w:val="0"/>
                <w:bCs w:val="0"/>
                <w:color w:val="000000" w:themeColor="text1"/>
                <w:sz w:val="18"/>
                <w:szCs w:val="18"/>
                <w:lang w:eastAsia="fi-FI"/>
              </w:rPr>
              <w:t>*</w:t>
            </w:r>
            <w:r w:rsidRPr="6444B5C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6444B5CD">
              <w:rPr>
                <w:rFonts w:ascii="Arial" w:hAnsi="Arial" w:eastAsia="Times New Roman" w:cs="Arial"/>
                <w:b w:val="0"/>
                <w:bCs w:val="0"/>
                <w:color w:val="000000" w:themeColor="text1"/>
                <w:sz w:val="18"/>
                <w:szCs w:val="18"/>
                <w:lang w:eastAsia="fi-FI"/>
              </w:rPr>
              <w:t xml:space="preserve">The sum variables were compiled for those respondents who had answered at least 70% of the statements in the respective sub-area (see Appendix </w:t>
            </w:r>
            <w:r>
              <w:rPr>
                <w:rFonts w:ascii="Arial" w:hAnsi="Arial" w:eastAsia="Times New Roman" w:cs="Arial"/>
                <w:b w:val="0"/>
                <w:bCs w:val="0"/>
                <w:color w:val="000000" w:themeColor="text1"/>
                <w:sz w:val="18"/>
                <w:szCs w:val="18"/>
                <w:lang w:eastAsia="fi-FI"/>
              </w:rPr>
              <w:t>2</w:t>
            </w:r>
            <w:r w:rsidRPr="6444B5CD">
              <w:rPr>
                <w:rFonts w:ascii="Arial" w:hAnsi="Arial" w:eastAsia="Times New Roman" w:cs="Arial"/>
                <w:b w:val="0"/>
                <w:bCs w:val="0"/>
                <w:color w:val="000000" w:themeColor="text1"/>
                <w:sz w:val="18"/>
                <w:szCs w:val="18"/>
                <w:lang w:eastAsia="fi-FI"/>
              </w:rPr>
              <w:t xml:space="preserve">, question </w:t>
            </w:r>
            <w:r>
              <w:rPr>
                <w:rFonts w:ascii="Arial" w:hAnsi="Arial" w:eastAsia="Times New Roman" w:cs="Arial"/>
                <w:b w:val="0"/>
                <w:bCs w:val="0"/>
                <w:color w:val="000000" w:themeColor="text1"/>
                <w:sz w:val="18"/>
                <w:szCs w:val="18"/>
                <w:lang w:eastAsia="fi-FI"/>
              </w:rPr>
              <w:t>19</w:t>
            </w:r>
            <w:r w:rsidRPr="6444B5CD">
              <w:rPr>
                <w:rFonts w:ascii="Arial" w:hAnsi="Arial" w:eastAsia="Times New Roman" w:cs="Arial"/>
                <w:b w:val="0"/>
                <w:bCs w:val="0"/>
                <w:color w:val="000000" w:themeColor="text1"/>
                <w:sz w:val="18"/>
                <w:szCs w:val="18"/>
                <w:lang w:eastAsia="fi-FI"/>
              </w:rPr>
              <w:t>)</w:t>
            </w:r>
          </w:p>
          <w:p w:rsidRPr="0012639A" w:rsidR="002512FC" w:rsidP="000B1E72" w:rsidRDefault="002512FC" w14:paraId="4468E326" w14:textId="77777777">
            <w:pPr>
              <w:spacing w:line="240" w:lineRule="auto"/>
              <w:jc w:val="left"/>
              <w:rPr>
                <w:rFonts w:ascii="Arial" w:hAnsi="Arial" w:eastAsia="Times New Roman" w:cs="Arial"/>
                <w:b w:val="0"/>
                <w:bCs w:val="0"/>
                <w:color w:val="000000"/>
                <w:sz w:val="18"/>
                <w:szCs w:val="18"/>
                <w:lang w:eastAsia="fi-FI"/>
              </w:rPr>
            </w:pPr>
            <w:r w:rsidRPr="1D0B1BF7">
              <w:rPr>
                <w:rFonts w:ascii="Arial" w:hAnsi="Arial" w:eastAsia="Times New Roman" w:cs="Arial"/>
                <w:b w:val="0"/>
                <w:bCs w:val="0"/>
                <w:color w:val="000000" w:themeColor="text1"/>
                <w:sz w:val="18"/>
                <w:szCs w:val="18"/>
                <w:lang w:eastAsia="fi-FI"/>
              </w:rPr>
              <w:t>**</w:t>
            </w:r>
            <w:r w:rsidRPr="1D0B1BF7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1D0B1BF7">
              <w:rPr>
                <w:rFonts w:ascii="Arial" w:hAnsi="Arial" w:eastAsia="Times New Roman" w:cs="Arial"/>
                <w:b w:val="0"/>
                <w:bCs w:val="0"/>
                <w:color w:val="000000" w:themeColor="text1"/>
                <w:sz w:val="18"/>
                <w:szCs w:val="18"/>
                <w:lang w:eastAsia="fi-FI"/>
              </w:rPr>
              <w:t>The average of the subtotal sum variable has been calculated based on the responses to only one statement (Monitoring the implementation of the unit's medication safety; see Appendix 2, question 19). In the present case, it is not possible to determine the value of Cronbach's alpha because it contains only one statement.</w:t>
            </w:r>
          </w:p>
        </w:tc>
      </w:tr>
    </w:tbl>
    <w:p w:rsidR="002512FC" w:rsidP="002512FC" w:rsidRDefault="002512FC" w14:paraId="31D1C402" w14:textId="77777777">
      <w:pPr>
        <w:spacing w:line="259" w:lineRule="auto"/>
        <w:jc w:val="left"/>
        <w:rPr>
          <w:rFonts w:ascii="Arial" w:hAnsi="Arial" w:eastAsia="Calibri" w:cs="Arial"/>
          <w:sz w:val="22"/>
          <w:lang w:val="en-US"/>
        </w:rPr>
      </w:pPr>
      <w:r>
        <w:rPr>
          <w:rFonts w:ascii="Arial" w:hAnsi="Arial" w:eastAsia="Calibri" w:cs="Arial"/>
          <w:sz w:val="22"/>
          <w:lang w:val="en-US"/>
        </w:rPr>
        <w:t>MMU=Medication management and use</w:t>
      </w:r>
    </w:p>
    <w:p w:rsidR="001A7A45" w:rsidP="002512FC" w:rsidRDefault="002512FC" w14:paraId="0D2B16AC" w14:textId="3B0928BF">
      <w:pPr>
        <w:spacing w:line="259" w:lineRule="auto"/>
        <w:jc w:val="left"/>
      </w:pPr>
      <w:r w:rsidRPr="0012639A">
        <w:rPr>
          <w:rFonts w:ascii="Arial" w:hAnsi="Arial" w:eastAsia="Calibri" w:cs="Arial"/>
          <w:sz w:val="22"/>
          <w:lang w:val="en-US"/>
        </w:rPr>
        <w:t>Kruskal-</w:t>
      </w:r>
      <w:proofErr w:type="gramStart"/>
      <w:r w:rsidRPr="0012639A">
        <w:rPr>
          <w:rFonts w:ascii="Arial" w:hAnsi="Arial" w:eastAsia="Calibri" w:cs="Arial"/>
          <w:sz w:val="22"/>
          <w:lang w:val="en-US"/>
        </w:rPr>
        <w:t>Wallis</w:t>
      </w:r>
      <w:proofErr w:type="gramEnd"/>
      <w:r w:rsidRPr="0012639A">
        <w:rPr>
          <w:rFonts w:ascii="Arial" w:hAnsi="Arial" w:eastAsia="Calibri" w:cs="Arial"/>
          <w:sz w:val="22"/>
          <w:lang w:val="en-US"/>
        </w:rPr>
        <w:t xml:space="preserve"> test was used for the evaluation of statistical significances. No statistically significant differences were obser</w:t>
      </w:r>
      <w:r>
        <w:rPr>
          <w:rFonts w:ascii="Arial" w:hAnsi="Arial" w:eastAsia="Calibri" w:cs="Arial"/>
          <w:sz w:val="22"/>
          <w:lang w:val="en-US"/>
        </w:rPr>
        <w:t>ved</w:t>
      </w:r>
      <w:r>
        <w:rPr>
          <w:rFonts w:ascii="Arial" w:hAnsi="Arial" w:eastAsia="Calibri" w:cs="Arial"/>
          <w:sz w:val="22"/>
          <w:lang w:val="en-US"/>
        </w:rPr>
        <w:t>.</w:t>
      </w:r>
    </w:p>
    <w:sectPr w:rsidR="001A7A45" w:rsidSect="002512FC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FC"/>
    <w:rsid w:val="001A7A45"/>
    <w:rsid w:val="002512FC"/>
    <w:rsid w:val="42EC4326"/>
    <w:rsid w:val="4454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539D1"/>
  <w15:chartTrackingRefBased/>
  <w15:docId w15:val="{11D351C2-E0DA-474B-B8AF-977E0704590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qFormat/>
    <w:rsid w:val="002512FC"/>
    <w:pPr>
      <w:spacing w:line="360" w:lineRule="auto"/>
      <w:jc w:val="both"/>
    </w:pPr>
    <w:rPr>
      <w:rFonts w:ascii="Times New Roman" w:hAnsi="Times New Roman"/>
      <w:kern w:val="0"/>
      <w:sz w:val="24"/>
      <w14:ligatures w14:val="none"/>
    </w:rPr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table" w:styleId="Yksinkertainentaulukko11" w:customStyle="1">
    <w:name w:val="Yksinkertainen taulukko 11"/>
    <w:basedOn w:val="Normaalitaulukko"/>
    <w:next w:val="Yksinkertainentaulukko1"/>
    <w:uiPriority w:val="41"/>
    <w:rsid w:val="002512FC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Yksinkertainentaulukko1">
    <w:name w:val="Plain Table 1"/>
    <w:basedOn w:val="Normaalitaulukko"/>
    <w:uiPriority w:val="41"/>
    <w:rsid w:val="002512FC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5C0EFC65EF684FB1B1F4EEE911E8D2" ma:contentTypeVersion="15" ma:contentTypeDescription="Create a new document." ma:contentTypeScope="" ma:versionID="b8336abc36ba5a9b3275fe0ed4cd4e55">
  <xsd:schema xmlns:xsd="http://www.w3.org/2001/XMLSchema" xmlns:xs="http://www.w3.org/2001/XMLSchema" xmlns:p="http://schemas.microsoft.com/office/2006/metadata/properties" xmlns:ns3="cb713d41-4c6e-4d94-9636-89b50753e451" xmlns:ns4="197441e1-b481-42ae-a518-82b26c0d7a68" targetNamespace="http://schemas.microsoft.com/office/2006/metadata/properties" ma:root="true" ma:fieldsID="564de683d039d3db20c090a2f39f252a" ns3:_="" ns4:_="">
    <xsd:import namespace="cb713d41-4c6e-4d94-9636-89b50753e451"/>
    <xsd:import namespace="197441e1-b481-42ae-a518-82b26c0d7a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13d41-4c6e-4d94-9636-89b50753e4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441e1-b481-42ae-a518-82b26c0d7a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b713d41-4c6e-4d94-9636-89b50753e451" xsi:nil="true"/>
  </documentManagement>
</p:properties>
</file>

<file path=customXml/itemProps1.xml><?xml version="1.0" encoding="utf-8"?>
<ds:datastoreItem xmlns:ds="http://schemas.openxmlformats.org/officeDocument/2006/customXml" ds:itemID="{13BF22AC-80EC-4D08-AA2B-CEAFEF753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13d41-4c6e-4d94-9636-89b50753e451"/>
    <ds:schemaRef ds:uri="197441e1-b481-42ae-a518-82b26c0d7a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74DBB9-781D-42E2-9BD4-9280712E22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2D530B-2DCA-4BF5-B245-DF7F2301A7F7}">
  <ds:schemaRefs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197441e1-b481-42ae-a518-82b26c0d7a68"/>
    <ds:schemaRef ds:uri="cb713d41-4c6e-4d94-9636-89b50753e451"/>
    <ds:schemaRef ds:uri="http://purl.org/dc/elements/1.1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Saavalainen, Anu E</dc:creator>
  <keywords/>
  <dc:description/>
  <lastModifiedBy>Saavalainen, Anu E</lastModifiedBy>
  <revision>2</revision>
  <dcterms:created xsi:type="dcterms:W3CDTF">2023-06-27T14:52:00.0000000Z</dcterms:created>
  <dcterms:modified xsi:type="dcterms:W3CDTF">2023-07-04T14:22:06.7130891Z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0x010100C05C0EFC65EF684FB1B1F4EEE911E8D2</vt:lpwstr>
  </property>
</Properties>
</file>