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40B37" w14:textId="5EB0B09A" w:rsidR="0026056C" w:rsidRDefault="00A65658">
      <w:pPr>
        <w:pStyle w:val="SupplementaryMaterial"/>
        <w:rPr>
          <w:b w:val="0"/>
        </w:rPr>
      </w:pPr>
      <w:r>
        <w:t>Additional file 1</w:t>
      </w:r>
    </w:p>
    <w:p w14:paraId="3FEB7D2F" w14:textId="6AC9185D" w:rsidR="0026056C" w:rsidRDefault="003870B6">
      <w:pPr>
        <w:jc w:val="both"/>
      </w:pPr>
      <w:r>
        <w:rPr>
          <w:rFonts w:cs="Times New Roman"/>
          <w:b/>
          <w:bCs/>
          <w:szCs w:val="24"/>
        </w:rPr>
        <w:t>Additional file</w:t>
      </w:r>
      <w:r w:rsidR="003E16B7">
        <w:rPr>
          <w:rFonts w:cs="Times New Roman"/>
          <w:b/>
          <w:bCs/>
          <w:szCs w:val="24"/>
        </w:rPr>
        <w:t xml:space="preserve"> </w:t>
      </w:r>
      <w:r w:rsidR="009F5EDE">
        <w:rPr>
          <w:rFonts w:cs="Times New Roman"/>
          <w:b/>
          <w:bCs/>
          <w:szCs w:val="24"/>
        </w:rPr>
        <w:t>1</w:t>
      </w:r>
      <w:r w:rsidR="003E16B7">
        <w:rPr>
          <w:rFonts w:cs="Times New Roman"/>
          <w:b/>
          <w:bCs/>
          <w:szCs w:val="24"/>
        </w:rPr>
        <w:t>.</w:t>
      </w:r>
      <w:r w:rsidR="003E16B7">
        <w:rPr>
          <w:rFonts w:cs="Times New Roman"/>
          <w:szCs w:val="24"/>
        </w:rPr>
        <w:t xml:space="preserve"> Original evidence for the depicted connections for “Immune Response – Inflammation”.</w:t>
      </w:r>
    </w:p>
    <w:tbl>
      <w:tblPr>
        <w:tblW w:w="9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276"/>
        <w:gridCol w:w="1417"/>
        <w:gridCol w:w="2835"/>
        <w:gridCol w:w="1276"/>
        <w:gridCol w:w="1701"/>
      </w:tblGrid>
      <w:tr w:rsidR="0026056C" w14:paraId="1B2F91D2" w14:textId="77777777">
        <w:trPr>
          <w:trHeight w:val="305"/>
        </w:trPr>
        <w:tc>
          <w:tcPr>
            <w:tcW w:w="140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E5674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  <w:lang w:val="en" w:eastAsia="de-DE"/>
              </w:rPr>
            </w:pPr>
            <w:r>
              <w:rPr>
                <w:rFonts w:cs="Arial"/>
                <w:b/>
                <w:szCs w:val="20"/>
                <w:lang w:val="en" w:eastAsia="de-DE"/>
              </w:rPr>
              <w:t>Source</w:t>
            </w:r>
          </w:p>
        </w:tc>
        <w:tc>
          <w:tcPr>
            <w:tcW w:w="127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78CF0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  <w:lang w:val="en" w:eastAsia="de-DE"/>
              </w:rPr>
            </w:pPr>
            <w:r>
              <w:rPr>
                <w:rFonts w:cs="Arial"/>
                <w:b/>
                <w:szCs w:val="20"/>
                <w:lang w:val="en" w:eastAsia="de-DE"/>
              </w:rPr>
              <w:t>Relation</w:t>
            </w:r>
          </w:p>
        </w:tc>
        <w:tc>
          <w:tcPr>
            <w:tcW w:w="141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6A324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  <w:lang w:val="en" w:eastAsia="de-DE"/>
              </w:rPr>
            </w:pPr>
            <w:r>
              <w:rPr>
                <w:rFonts w:cs="Arial"/>
                <w:b/>
                <w:szCs w:val="20"/>
                <w:lang w:val="en" w:eastAsia="de-DE"/>
              </w:rPr>
              <w:t>Target</w:t>
            </w:r>
          </w:p>
        </w:tc>
        <w:tc>
          <w:tcPr>
            <w:tcW w:w="28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D484A" w14:textId="77777777" w:rsidR="0026056C" w:rsidRDefault="003E16B7" w:rsidP="00E94B1A">
            <w:pPr>
              <w:widowControl w:val="0"/>
              <w:spacing w:before="0" w:after="0"/>
              <w:jc w:val="both"/>
              <w:rPr>
                <w:rFonts w:cs="Arial"/>
                <w:b/>
                <w:szCs w:val="20"/>
                <w:lang w:val="en" w:eastAsia="de-DE"/>
              </w:rPr>
            </w:pPr>
            <w:r>
              <w:rPr>
                <w:rFonts w:cs="Arial"/>
                <w:b/>
                <w:szCs w:val="20"/>
                <w:lang w:val="en" w:eastAsia="de-DE"/>
              </w:rPr>
              <w:t>Original evidence</w:t>
            </w:r>
          </w:p>
        </w:tc>
        <w:tc>
          <w:tcPr>
            <w:tcW w:w="127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F8CE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  <w:lang w:val="en" w:eastAsia="de-DE"/>
              </w:rPr>
            </w:pPr>
            <w:r>
              <w:rPr>
                <w:rFonts w:cs="Arial"/>
                <w:b/>
                <w:szCs w:val="20"/>
                <w:lang w:val="en" w:eastAsia="de-DE"/>
              </w:rPr>
              <w:t>PMID</w:t>
            </w:r>
          </w:p>
        </w:tc>
        <w:tc>
          <w:tcPr>
            <w:tcW w:w="170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7C57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b/>
                <w:szCs w:val="20"/>
                <w:lang w:val="en" w:eastAsia="de-DE"/>
              </w:rPr>
            </w:pPr>
            <w:r>
              <w:rPr>
                <w:rFonts w:cs="Arial"/>
                <w:b/>
                <w:szCs w:val="20"/>
                <w:lang w:val="en" w:eastAsia="de-DE"/>
              </w:rPr>
              <w:t>Resource</w:t>
            </w:r>
          </w:p>
        </w:tc>
      </w:tr>
      <w:tr w:rsidR="0026056C" w14:paraId="54F0C3C5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9D71F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E6BB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7592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IL-1β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4B2F8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When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COVID-19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infects the upper and lower respiratory tract it can cause mild or highly acute respiratory syndrome with consequent release of pro-inflammatory cytokines, including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 xml:space="preserve">interleukin (IL)-1β 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>and IL-6.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2A0BE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32171193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9241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 KG</w:t>
            </w:r>
          </w:p>
        </w:tc>
      </w:tr>
      <w:tr w:rsidR="0026056C" w14:paraId="2B8B96C7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33595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B66E0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67FB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IL-1β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F1966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Heme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activates macrophages inducing the production of TNF, KC (</w:t>
            </w:r>
            <w:proofErr w:type="spellStart"/>
            <w:r>
              <w:rPr>
                <w:rFonts w:cs="Arial"/>
                <w:szCs w:val="20"/>
                <w:highlight w:val="white"/>
                <w:lang w:val="en" w:eastAsia="de-DE"/>
              </w:rPr>
              <w:t>Figueiredo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et al., 2007),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IL-1β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(unpublished), and LTB4.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508B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24904418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D350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</w:p>
        </w:tc>
      </w:tr>
      <w:tr w:rsidR="0026056C" w14:paraId="2FB78713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42DB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B25D0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69651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IL-6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A812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When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COVID-19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infects the upper and lower respiratory tract it can cause mild or highly acute respiratory syndrome with consequent release of pro-inflammatory cytokines, including interleukin (IL)-1β and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IL-6.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9A41D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32171193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9C3C1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 KG</w:t>
            </w:r>
          </w:p>
        </w:tc>
      </w:tr>
      <w:tr w:rsidR="0026056C" w14:paraId="5D8E1BF3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5B414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A2460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712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IL-6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BF627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Likewise,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heme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and </w:t>
            </w:r>
            <w:proofErr w:type="spellStart"/>
            <w:r>
              <w:rPr>
                <w:rFonts w:cs="Arial"/>
                <w:szCs w:val="20"/>
                <w:highlight w:val="white"/>
                <w:lang w:val="en" w:eastAsia="de-DE"/>
              </w:rPr>
              <w:t>FeNTA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treatment causes the induction of the M1 markers MHC II, CD86, CD14, TNFα,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IL-6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, and IL1β and a decrease in the M2 markers CD206, IL-10, and Arginase-1 (the last with </w:t>
            </w:r>
            <w:proofErr w:type="spellStart"/>
            <w:r>
              <w:rPr>
                <w:rFonts w:cs="Arial"/>
                <w:szCs w:val="20"/>
                <w:highlight w:val="white"/>
                <w:lang w:val="en" w:eastAsia="de-DE"/>
              </w:rPr>
              <w:t>FeNTA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only) in M0 BMDMs (Figure 3A; supplemental Figures 5, 6A, and 7).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F2236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26675351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6EFA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</w:p>
        </w:tc>
      </w:tr>
      <w:tr w:rsidR="0026056C" w14:paraId="190D23F3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31CC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lastRenderedPageBreak/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406E3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91154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TNF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α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A7557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Initial plasma IL1B, IL1RA, IL7, IL8, IL9, IL10, basic FGF, GCSF, GMCSF, </w:t>
            </w:r>
            <w:proofErr w:type="spellStart"/>
            <w:r>
              <w:rPr>
                <w:rFonts w:cs="Arial"/>
                <w:szCs w:val="20"/>
                <w:highlight w:val="white"/>
                <w:lang w:val="en" w:eastAsia="de-DE"/>
              </w:rPr>
              <w:t>IFNγ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, IP10, MCP1, MIP1A, MIP1B, PDGF,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TNFα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>, and VEGF concentrations were higher in both ICU patients and non-ICU patients than in healthy adults (appendix pp 6–7).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482CB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31986264</w:t>
            </w:r>
          </w:p>
          <w:p w14:paraId="3DBA66B6" w14:textId="77777777" w:rsidR="0026056C" w:rsidRDefault="0026056C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31A1A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 KG</w:t>
            </w:r>
          </w:p>
        </w:tc>
      </w:tr>
      <w:tr w:rsidR="0026056C" w14:paraId="5CC539E3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E637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483A7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B75EF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TNF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α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82A9D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On the other hand,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TNF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secretion induced by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heme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is essential for the activation of the programmed necrotic cell death pathway, which is denominated necroptosis.</w:t>
            </w:r>
          </w:p>
          <w:p w14:paraId="7047AC3D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Likewise,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heme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and </w:t>
            </w:r>
            <w:proofErr w:type="spellStart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FeNTA</w:t>
            </w:r>
            <w:proofErr w:type="spellEnd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treatment causes the induction of the M1 markers MHC-II, CD86, CD14,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TNFα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, IL-6, and IL1β and a decrease in the M2 markers CD206, IL-10, and Arginase-1 (the last with </w:t>
            </w:r>
            <w:proofErr w:type="spellStart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FeNTA</w:t>
            </w:r>
            <w:proofErr w:type="spellEnd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only) in M0 BMDMs (Figure 3A; supplemental Figures 5, 6A, and 7).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78CE3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24904418</w:t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</w:p>
          <w:p w14:paraId="1ED48329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26675351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87331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</w:p>
          <w:p w14:paraId="1427FA97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</w:p>
        </w:tc>
      </w:tr>
      <w:tr w:rsidR="0026056C" w14:paraId="1B6BDA76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A9ACD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TN</w:t>
            </w: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F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α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15C13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6282F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TLR4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06066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Heme also induces </w:t>
            </w:r>
            <w:proofErr w:type="spellStart"/>
            <w:r>
              <w:rPr>
                <w:rFonts w:cs="Arial"/>
                <w:szCs w:val="20"/>
                <w:highlight w:val="white"/>
                <w:lang w:val="en" w:eastAsia="de-DE"/>
              </w:rPr>
              <w:t>tumour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necrosis factor (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TNF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) secretion in monocyte/macrophages through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TLR4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and the adaptor molecule, MYD88/.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F1446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25307023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9BEDD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</w:p>
        </w:tc>
      </w:tr>
      <w:tr w:rsidR="0026056C" w14:paraId="0C181E61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8A0DC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FD00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D11B6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TLR4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D332E" w14:textId="77777777" w:rsidR="0026056C" w:rsidRDefault="003E16B7" w:rsidP="00E94B1A">
            <w:pPr>
              <w:spacing w:before="0" w:after="0"/>
              <w:jc w:val="both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Heme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also induces </w:t>
            </w:r>
            <w:proofErr w:type="spellStart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tumour</w:t>
            </w:r>
            <w:proofErr w:type="spellEnd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necrosis factor (TNF) secretion in monocyte/macrophages through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TLR4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and the adaptor molecule, MYD88/.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1512A" w14:textId="77777777" w:rsidR="0026056C" w:rsidRDefault="003E16B7" w:rsidP="00E94B1A">
            <w:pPr>
              <w:spacing w:before="0" w:after="0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25307023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39000" w14:textId="77777777" w:rsidR="0026056C" w:rsidRDefault="003E16B7" w:rsidP="00E94B1A">
            <w:pPr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Heme KG</w:t>
            </w:r>
          </w:p>
        </w:tc>
      </w:tr>
      <w:tr w:rsidR="0026056C" w14:paraId="4AF69BCF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22291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lastRenderedPageBreak/>
              <w:t>TLR4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4D86A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F15C8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MyD88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340C6" w14:textId="77777777" w:rsidR="0026056C" w:rsidRDefault="003E16B7" w:rsidP="00E94B1A">
            <w:pPr>
              <w:spacing w:before="0" w:after="0"/>
              <w:jc w:val="both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The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TLR4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activates two distinct pathways: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MyD88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and TRIF. In macrophages, heme induces a biased MyD88 activation and the secretion of the pro-inflammatory </w:t>
            </w:r>
            <w:proofErr w:type="gramStart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cytokines</w:t>
            </w:r>
            <w:proofErr w:type="gramEnd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TNF and KC.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985E" w14:textId="77777777" w:rsidR="0026056C" w:rsidRDefault="003E16B7" w:rsidP="00E94B1A">
            <w:pPr>
              <w:spacing w:before="0" w:after="0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24904418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9F69B" w14:textId="77777777" w:rsidR="0026056C" w:rsidRDefault="003E16B7" w:rsidP="00E94B1A">
            <w:pPr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Heme KG</w:t>
            </w:r>
          </w:p>
        </w:tc>
      </w:tr>
      <w:tr w:rsidR="0026056C" w14:paraId="44C344A9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425A5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MyD88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515C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1C11F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NF-</w:t>
            </w:r>
            <w:proofErr w:type="spellStart"/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κB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A9AD4" w14:textId="77777777" w:rsidR="0026056C" w:rsidRDefault="003E16B7" w:rsidP="00E94B1A">
            <w:pPr>
              <w:spacing w:before="0" w:after="0"/>
              <w:jc w:val="both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Only under protein-free conditions did we observe a limited heme-induced TNF-alpha response in cultured macrophages, which was triggered via signaling of the classical TLR4–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MyD88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–TRIF pathway of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NF-kB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activation.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8551" w14:textId="77777777" w:rsidR="0026056C" w:rsidRDefault="003E16B7" w:rsidP="00E94B1A">
            <w:pPr>
              <w:spacing w:before="0" w:after="0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29610666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14725" w14:textId="77777777" w:rsidR="0026056C" w:rsidRDefault="003E16B7" w:rsidP="00E94B1A">
            <w:pPr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Heme KG</w:t>
            </w:r>
          </w:p>
        </w:tc>
      </w:tr>
      <w:tr w:rsidR="0026056C" w14:paraId="2195D68E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DE8B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NF-</w:t>
            </w:r>
            <w:proofErr w:type="spellStart"/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κB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FF8A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90E0D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color w:val="000000"/>
                <w:szCs w:val="20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IL-6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CD60C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The MyD88-dependent pathway leads to the activation of mitogen-activated protein kinases (MAPKs) and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NF-</w:t>
            </w:r>
            <w:proofErr w:type="spellStart"/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κB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(nuclear factor kappa-light-chain-enhancer of activated B cells) transcription factors inducing the expression of inflammatory cytokines such as TNF,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IL-6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>, IL-1β, and KC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C7594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24904418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7AC31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</w:p>
        </w:tc>
      </w:tr>
      <w:tr w:rsidR="0026056C" w14:paraId="74509806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4B7B7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8AED0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73868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IL-8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BB543" w14:textId="77777777" w:rsidR="0026056C" w:rsidRDefault="003E16B7" w:rsidP="00E94B1A">
            <w:pPr>
              <w:spacing w:before="0" w:after="0"/>
              <w:jc w:val="both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Initial plasma IL1B, IL1RA, IL7,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IL8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, IL9, IL10, basic FGF, GCSF, GMCSF, </w:t>
            </w:r>
            <w:proofErr w:type="spellStart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IFNγ</w:t>
            </w:r>
            <w:proofErr w:type="spellEnd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, IP10, MCP1, MIP1A, MIP1B, PDGF, TNFα, and VEGF concentrations were higher in both ICU patients and non-ICU patients than in healthy adults (appendix pp 6–7).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5B01D" w14:textId="77777777" w:rsidR="0026056C" w:rsidRDefault="003E16B7" w:rsidP="00E94B1A">
            <w:pPr>
              <w:spacing w:before="0" w:after="0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31986264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25480" w14:textId="77777777" w:rsidR="0026056C" w:rsidRDefault="003E16B7" w:rsidP="00E94B1A">
            <w:pPr>
              <w:spacing w:before="0" w:after="0"/>
              <w:rPr>
                <w:rFonts w:cs="Arial"/>
                <w:color w:val="FF0000"/>
                <w:szCs w:val="20"/>
                <w:lang w:val="en" w:eastAsia="de-DE"/>
              </w:rPr>
            </w:pPr>
            <w:r>
              <w:rPr>
                <w:rFonts w:cs="Arial"/>
                <w:color w:val="000000"/>
                <w:szCs w:val="20"/>
                <w:lang w:val="en" w:eastAsia="de-DE"/>
              </w:rPr>
              <w:t>COVID-19 KG</w:t>
            </w:r>
          </w:p>
        </w:tc>
      </w:tr>
      <w:tr w:rsidR="0026056C" w14:paraId="28B46F5C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5231A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07F47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F90AC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IL-8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DF412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Incubation of neutrophils with 4 mM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hemin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resulted in a 2-fold increase in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lastRenderedPageBreak/>
              <w:t>CXCL8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mRNA expression and in a significant increase in released and cell-associated levels of IL-8 protein compared with the untreated controls or A1AT-treated cells (Fig. 7A–C).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92B5B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lastRenderedPageBreak/>
              <w:t>28716864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3393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</w:p>
        </w:tc>
      </w:tr>
      <w:tr w:rsidR="0026056C" w14:paraId="44B90830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0F7E9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3772A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7814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CD14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E475E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Although patients had higher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sCD14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levels than healthy people, there were no significant differences between the severe and mild groups (Fig. 1b).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4D283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32203186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CE4F8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 KG</w:t>
            </w:r>
          </w:p>
        </w:tc>
      </w:tr>
      <w:tr w:rsidR="0026056C" w14:paraId="065321BE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BEA4A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7CBFB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957BD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CD14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7DBBB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Likewise,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heme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and </w:t>
            </w:r>
            <w:proofErr w:type="spellStart"/>
            <w:r>
              <w:rPr>
                <w:rFonts w:cs="Arial"/>
                <w:szCs w:val="20"/>
                <w:highlight w:val="white"/>
                <w:lang w:val="en" w:eastAsia="de-DE"/>
              </w:rPr>
              <w:t>FeNTA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treatment causes the induction of the M1 markers MHC-II, CD86,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CD14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, TNFα, IL-6, and IL1β and a decrease in the M2 markers CD206, IL-10, and Arginase-1 (the last with </w:t>
            </w:r>
            <w:proofErr w:type="spellStart"/>
            <w:r>
              <w:rPr>
                <w:rFonts w:cs="Arial"/>
                <w:szCs w:val="20"/>
                <w:highlight w:val="white"/>
                <w:lang w:val="en" w:eastAsia="de-DE"/>
              </w:rPr>
              <w:t>FeNTA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only) in M0 BMDMs (Figure 3A; supplemental Figures 5, 6A, and 7).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56854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>26675351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03EBA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</w:p>
        </w:tc>
      </w:tr>
      <w:tr w:rsidR="0026056C" w14:paraId="4629B067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22408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D0E9E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6705C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IL-10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12C4D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Significantly high blood levels of cytokines and chemokines were noted in patients with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COVID-19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 infection that included IL1-β, IL1RA, IL7, IL8, IL9,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IL10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, basic FGF2, GCSF, GMCSF, </w:t>
            </w:r>
            <w:proofErr w:type="spellStart"/>
            <w:r>
              <w:rPr>
                <w:rFonts w:cs="Arial"/>
                <w:szCs w:val="20"/>
                <w:highlight w:val="white"/>
                <w:lang w:val="en" w:eastAsia="de-DE"/>
              </w:rPr>
              <w:t>IFNγ</w:t>
            </w:r>
            <w:proofErr w:type="spellEnd"/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, IP10, MCP1, MIP1α, MIP1β, PDGFB, TNFα, and VEGFA. Some of the severe cases that were admitted to the intensive care unit showed high levels of pro-inflammatory cytokines including IL2, IL7, </w:t>
            </w:r>
            <w:r>
              <w:rPr>
                <w:rFonts w:cs="Arial"/>
                <w:b/>
                <w:bCs/>
                <w:szCs w:val="20"/>
                <w:highlight w:val="white"/>
                <w:lang w:val="en" w:eastAsia="de-DE"/>
              </w:rPr>
              <w:t>IL10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t xml:space="preserve">, GCSF, IP10, MCP1, MIP1α, and TNFα 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lastRenderedPageBreak/>
              <w:t>that are reasoned to promote disease severity.</w:t>
            </w:r>
          </w:p>
          <w:p w14:paraId="1F2D4643" w14:textId="77777777" w:rsidR="0026056C" w:rsidRDefault="003E16B7" w:rsidP="00E94B1A">
            <w:pPr>
              <w:spacing w:before="0" w:after="0"/>
              <w:jc w:val="both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Initial plasma IL1B, IL1RA, IL7, IL8, IL9,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 xml:space="preserve"> IL10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, basic FGF, GCSF, GMCSF, </w:t>
            </w:r>
            <w:proofErr w:type="spellStart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IFNγ</w:t>
            </w:r>
            <w:proofErr w:type="spellEnd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, IP10, MCP1, MIP1A, MIP1B, PDGF, TNFα, and VEGF concentrations were higher in both ICU patients and non-ICU patients than in healthy adults (appendix pp 6–7).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D4C56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szCs w:val="20"/>
                <w:highlight w:val="white"/>
                <w:lang w:val="en" w:eastAsia="de-DE"/>
              </w:rPr>
              <w:lastRenderedPageBreak/>
              <w:t>32113704</w:t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br/>
            </w:r>
            <w:r>
              <w:rPr>
                <w:rFonts w:cs="Arial"/>
                <w:szCs w:val="20"/>
                <w:highlight w:val="white"/>
                <w:lang w:val="en" w:eastAsia="de-DE"/>
              </w:rPr>
              <w:lastRenderedPageBreak/>
              <w:br/>
            </w:r>
          </w:p>
          <w:p w14:paraId="789655F8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31986264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01AB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lastRenderedPageBreak/>
              <w:t>COVID-19 KG</w:t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br/>
            </w:r>
            <w:r>
              <w:rPr>
                <w:rFonts w:cs="Arial"/>
                <w:szCs w:val="20"/>
                <w:lang w:val="en" w:eastAsia="de-DE"/>
              </w:rPr>
              <w:lastRenderedPageBreak/>
              <w:br/>
            </w:r>
          </w:p>
          <w:p w14:paraId="02E5D504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COVID-19 KG</w:t>
            </w:r>
          </w:p>
        </w:tc>
      </w:tr>
      <w:tr w:rsidR="0026056C" w14:paraId="0CAF6AAC" w14:textId="77777777">
        <w:tc>
          <w:tcPr>
            <w:tcW w:w="14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130DE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C9023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Increases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2603D" w14:textId="77777777" w:rsidR="0026056C" w:rsidRDefault="003E16B7" w:rsidP="00E94B1A">
            <w:pPr>
              <w:widowControl w:val="0"/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IL-10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CF9D" w14:textId="77777777" w:rsidR="0026056C" w:rsidRDefault="003E16B7" w:rsidP="00E94B1A">
            <w:pPr>
              <w:spacing w:before="0" w:after="0"/>
              <w:rPr>
                <w:rFonts w:cs="Arial"/>
              </w:rPr>
            </w:pP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Interestingly,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heme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 (10–30 </w:t>
            </w:r>
            <w:proofErr w:type="spellStart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μM</w:t>
            </w:r>
            <w:proofErr w:type="spellEnd"/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 xml:space="preserve">) was also able to induce the secretion of </w:t>
            </w:r>
            <w:r>
              <w:rPr>
                <w:rFonts w:cs="Arial"/>
                <w:b/>
                <w:bCs/>
                <w:color w:val="000000" w:themeColor="text1"/>
                <w:szCs w:val="20"/>
                <w:highlight w:val="white"/>
                <w:lang w:val="en" w:eastAsia="de-DE"/>
              </w:rPr>
              <w:t>IL-10</w:t>
            </w:r>
            <w:r>
              <w:rPr>
                <w:rFonts w:cs="Arial"/>
                <w:color w:val="000000" w:themeColor="text1"/>
                <w:szCs w:val="20"/>
                <w:highlight w:val="white"/>
                <w:lang w:val="en" w:eastAsia="de-DE"/>
              </w:rPr>
              <w:t>, an anti-inflammatory cytokine.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39080" w14:textId="77777777" w:rsidR="0026056C" w:rsidRDefault="003E16B7" w:rsidP="00E94B1A">
            <w:pPr>
              <w:spacing w:before="0" w:after="0"/>
              <w:rPr>
                <w:rFonts w:cs="Arial"/>
                <w:color w:val="000000"/>
                <w:szCs w:val="20"/>
                <w:highlight w:val="white"/>
                <w:lang w:val="en" w:eastAsia="de-DE"/>
              </w:rPr>
            </w:pPr>
            <w:r>
              <w:rPr>
                <w:rFonts w:cs="Arial"/>
                <w:color w:val="000000" w:themeColor="text1"/>
                <w:szCs w:val="20"/>
                <w:lang w:val="en" w:eastAsia="de-DE"/>
              </w:rPr>
              <w:t>23690673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B6FDE" w14:textId="77777777" w:rsidR="0026056C" w:rsidRDefault="003E16B7" w:rsidP="00E94B1A">
            <w:pPr>
              <w:spacing w:before="0" w:after="0"/>
              <w:rPr>
                <w:rFonts w:cs="Arial"/>
                <w:szCs w:val="20"/>
                <w:lang w:val="en" w:eastAsia="de-DE"/>
              </w:rPr>
            </w:pPr>
            <w:r>
              <w:rPr>
                <w:rFonts w:cs="Arial"/>
                <w:szCs w:val="20"/>
                <w:lang w:val="en" w:eastAsia="de-DE"/>
              </w:rPr>
              <w:t>Heme KG</w:t>
            </w:r>
          </w:p>
        </w:tc>
      </w:tr>
    </w:tbl>
    <w:p w14:paraId="409C05DA" w14:textId="77777777" w:rsidR="0026056C" w:rsidRDefault="0026056C">
      <w:pPr>
        <w:spacing w:before="0" w:after="200" w:line="276" w:lineRule="auto"/>
        <w:rPr>
          <w:rFonts w:cs="Times New Roman"/>
          <w:b/>
          <w:bCs/>
          <w:szCs w:val="24"/>
        </w:rPr>
      </w:pPr>
    </w:p>
    <w:sectPr w:rsidR="0026056C"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44467" w14:textId="77777777" w:rsidR="00B51E21" w:rsidRDefault="00B51E21">
      <w:pPr>
        <w:spacing w:before="0" w:after="0"/>
      </w:pPr>
      <w:r>
        <w:separator/>
      </w:r>
    </w:p>
  </w:endnote>
  <w:endnote w:type="continuationSeparator" w:id="0">
    <w:p w14:paraId="1DAD9DAC" w14:textId="77777777" w:rsidR="00B51E21" w:rsidRDefault="00B51E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34CFB" w14:textId="77777777" w:rsidR="0026056C" w:rsidRDefault="003E16B7"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CFBD3" wp14:editId="18958A5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2BC1E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23CFBD3" id="Text Box 1" o:spid="_x0000_s1026" style="position:absolute;margin-left:67.6pt;margin-top:0;width:118.8pt;height:39.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" filled="f" stroked="f" strokeweight=".5pt">
              <v:textbox style="mso-fit-shape-to-text:t">
                <w:txbxContent>
                  <w:p w14:paraId="592BC1E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C0089" w14:textId="77777777" w:rsidR="0026056C" w:rsidRDefault="003E16B7"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BE930C1" wp14:editId="7C002D5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6159D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E930C1" id="Text Box 56" o:spid="_x0000_s1027" style="position:absolute;margin-left:67.6pt;margin-top:0;width:118.8pt;height:39.5pt;z-index:251646976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" filled="f" stroked="f" strokeweight=".5pt">
              <v:textbox style="mso-fit-shape-to-text:t">
                <w:txbxContent>
                  <w:p w14:paraId="6E6159D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13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6D53B" w14:textId="77777777" w:rsidR="00B51E21" w:rsidRDefault="00B51E21">
      <w:pPr>
        <w:spacing w:before="0" w:after="0"/>
      </w:pPr>
      <w:r>
        <w:separator/>
      </w:r>
    </w:p>
  </w:footnote>
  <w:footnote w:type="continuationSeparator" w:id="0">
    <w:p w14:paraId="52F4C22B" w14:textId="77777777" w:rsidR="00B51E21" w:rsidRDefault="00B51E2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85061" w14:textId="009EA8CE" w:rsidR="0026056C" w:rsidRDefault="003E16B7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10D2C"/>
    <w:multiLevelType w:val="hybridMultilevel"/>
    <w:tmpl w:val="E4786BD8"/>
    <w:lvl w:ilvl="0" w:tplc="AFD070E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BDF4D3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142C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E830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F84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6E50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E3F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2E06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ACA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7315CF5"/>
    <w:multiLevelType w:val="multilevel"/>
    <w:tmpl w:val="C728E9FC"/>
    <w:lvl w:ilvl="0">
      <w:start w:val="1"/>
      <w:numFmt w:val="decimal"/>
      <w:pStyle w:val="berschrift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4ECF2816"/>
    <w:multiLevelType w:val="hybridMultilevel"/>
    <w:tmpl w:val="408A72DA"/>
    <w:lvl w:ilvl="0" w:tplc="8C9A78BC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C67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1AB5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F289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CC8EC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D0ADF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12C2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1A7BD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D08E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C"/>
    <w:rsid w:val="000018CA"/>
    <w:rsid w:val="00007A5E"/>
    <w:rsid w:val="00010D9E"/>
    <w:rsid w:val="00014E60"/>
    <w:rsid w:val="0003224A"/>
    <w:rsid w:val="0003453D"/>
    <w:rsid w:val="00037ADC"/>
    <w:rsid w:val="0005061C"/>
    <w:rsid w:val="00057017"/>
    <w:rsid w:val="000752DE"/>
    <w:rsid w:val="00080198"/>
    <w:rsid w:val="000838C8"/>
    <w:rsid w:val="00094DE4"/>
    <w:rsid w:val="000A561A"/>
    <w:rsid w:val="000A5944"/>
    <w:rsid w:val="000C1336"/>
    <w:rsid w:val="000C5B4C"/>
    <w:rsid w:val="000D0EE5"/>
    <w:rsid w:val="000D1568"/>
    <w:rsid w:val="000D2022"/>
    <w:rsid w:val="000D322A"/>
    <w:rsid w:val="000D7AEC"/>
    <w:rsid w:val="000E0E46"/>
    <w:rsid w:val="000F0397"/>
    <w:rsid w:val="000F498F"/>
    <w:rsid w:val="000F52F9"/>
    <w:rsid w:val="0010318E"/>
    <w:rsid w:val="00113607"/>
    <w:rsid w:val="00117FA0"/>
    <w:rsid w:val="001215F1"/>
    <w:rsid w:val="00122AA2"/>
    <w:rsid w:val="001311FD"/>
    <w:rsid w:val="001320E1"/>
    <w:rsid w:val="001348BB"/>
    <w:rsid w:val="001378B6"/>
    <w:rsid w:val="0014424D"/>
    <w:rsid w:val="0016195B"/>
    <w:rsid w:val="001626DB"/>
    <w:rsid w:val="00173FD9"/>
    <w:rsid w:val="0018796D"/>
    <w:rsid w:val="00190DF4"/>
    <w:rsid w:val="00197919"/>
    <w:rsid w:val="001A1D3F"/>
    <w:rsid w:val="001A34C5"/>
    <w:rsid w:val="001A4EC8"/>
    <w:rsid w:val="001A4EDC"/>
    <w:rsid w:val="001A6F35"/>
    <w:rsid w:val="001B2F04"/>
    <w:rsid w:val="001B319F"/>
    <w:rsid w:val="001B3A69"/>
    <w:rsid w:val="001C3995"/>
    <w:rsid w:val="001D05F9"/>
    <w:rsid w:val="001E0D76"/>
    <w:rsid w:val="001E30FB"/>
    <w:rsid w:val="001E4FC7"/>
    <w:rsid w:val="001F3662"/>
    <w:rsid w:val="00200157"/>
    <w:rsid w:val="0021066B"/>
    <w:rsid w:val="00222137"/>
    <w:rsid w:val="0022594C"/>
    <w:rsid w:val="00231669"/>
    <w:rsid w:val="0025517A"/>
    <w:rsid w:val="00256AB2"/>
    <w:rsid w:val="0026056C"/>
    <w:rsid w:val="00270B1B"/>
    <w:rsid w:val="002738E2"/>
    <w:rsid w:val="00280112"/>
    <w:rsid w:val="002827FE"/>
    <w:rsid w:val="00284782"/>
    <w:rsid w:val="00291C57"/>
    <w:rsid w:val="0029273F"/>
    <w:rsid w:val="00296080"/>
    <w:rsid w:val="002A32E9"/>
    <w:rsid w:val="002C1345"/>
    <w:rsid w:val="002C14C7"/>
    <w:rsid w:val="002C67B3"/>
    <w:rsid w:val="002D24D9"/>
    <w:rsid w:val="002D43BD"/>
    <w:rsid w:val="002D5D3A"/>
    <w:rsid w:val="002E0197"/>
    <w:rsid w:val="002E42B4"/>
    <w:rsid w:val="003033AB"/>
    <w:rsid w:val="003070EA"/>
    <w:rsid w:val="00317DEF"/>
    <w:rsid w:val="00320F81"/>
    <w:rsid w:val="00327F84"/>
    <w:rsid w:val="00335C51"/>
    <w:rsid w:val="003361BB"/>
    <w:rsid w:val="00336FD6"/>
    <w:rsid w:val="00346375"/>
    <w:rsid w:val="00357BA6"/>
    <w:rsid w:val="00357D91"/>
    <w:rsid w:val="003618B9"/>
    <w:rsid w:val="00365053"/>
    <w:rsid w:val="003721AD"/>
    <w:rsid w:val="0038511D"/>
    <w:rsid w:val="003870B6"/>
    <w:rsid w:val="003875B1"/>
    <w:rsid w:val="0039278F"/>
    <w:rsid w:val="0039321C"/>
    <w:rsid w:val="00393B0B"/>
    <w:rsid w:val="00396B29"/>
    <w:rsid w:val="003A4228"/>
    <w:rsid w:val="003B22FF"/>
    <w:rsid w:val="003C1DBC"/>
    <w:rsid w:val="003C2940"/>
    <w:rsid w:val="003D0A76"/>
    <w:rsid w:val="003D2CBB"/>
    <w:rsid w:val="003E16B7"/>
    <w:rsid w:val="003E3B86"/>
    <w:rsid w:val="003E571C"/>
    <w:rsid w:val="003F04F4"/>
    <w:rsid w:val="00400F6A"/>
    <w:rsid w:val="00417265"/>
    <w:rsid w:val="0042604D"/>
    <w:rsid w:val="00427BB9"/>
    <w:rsid w:val="00431368"/>
    <w:rsid w:val="004314FC"/>
    <w:rsid w:val="004353CD"/>
    <w:rsid w:val="0043681F"/>
    <w:rsid w:val="00442D62"/>
    <w:rsid w:val="004444A3"/>
    <w:rsid w:val="004500A4"/>
    <w:rsid w:val="00451CF7"/>
    <w:rsid w:val="00460125"/>
    <w:rsid w:val="00475467"/>
    <w:rsid w:val="0048339A"/>
    <w:rsid w:val="00493281"/>
    <w:rsid w:val="004A12A3"/>
    <w:rsid w:val="004A72F5"/>
    <w:rsid w:val="004B02BB"/>
    <w:rsid w:val="004B07B9"/>
    <w:rsid w:val="004B6B6D"/>
    <w:rsid w:val="004C0CE0"/>
    <w:rsid w:val="004C1135"/>
    <w:rsid w:val="004C3805"/>
    <w:rsid w:val="004C6BB2"/>
    <w:rsid w:val="004D2E02"/>
    <w:rsid w:val="004E075C"/>
    <w:rsid w:val="004E1773"/>
    <w:rsid w:val="004E2D91"/>
    <w:rsid w:val="004E38B2"/>
    <w:rsid w:val="004F51EA"/>
    <w:rsid w:val="00500A61"/>
    <w:rsid w:val="00512891"/>
    <w:rsid w:val="00513380"/>
    <w:rsid w:val="00523E2F"/>
    <w:rsid w:val="005260E9"/>
    <w:rsid w:val="005279B4"/>
    <w:rsid w:val="005354D4"/>
    <w:rsid w:val="005366B3"/>
    <w:rsid w:val="00537675"/>
    <w:rsid w:val="00540832"/>
    <w:rsid w:val="0054190C"/>
    <w:rsid w:val="00541F58"/>
    <w:rsid w:val="00545DA3"/>
    <w:rsid w:val="00576EF3"/>
    <w:rsid w:val="00577F8C"/>
    <w:rsid w:val="0058570F"/>
    <w:rsid w:val="00586D6F"/>
    <w:rsid w:val="00591804"/>
    <w:rsid w:val="00592C2A"/>
    <w:rsid w:val="00593C0F"/>
    <w:rsid w:val="005A277A"/>
    <w:rsid w:val="005A4305"/>
    <w:rsid w:val="005A4FBA"/>
    <w:rsid w:val="005B0A1B"/>
    <w:rsid w:val="005B388B"/>
    <w:rsid w:val="005B4699"/>
    <w:rsid w:val="005B588B"/>
    <w:rsid w:val="005C5B3E"/>
    <w:rsid w:val="005D7697"/>
    <w:rsid w:val="005D7880"/>
    <w:rsid w:val="005D794A"/>
    <w:rsid w:val="005E25AD"/>
    <w:rsid w:val="005E73E3"/>
    <w:rsid w:val="005F1B9A"/>
    <w:rsid w:val="005F7C91"/>
    <w:rsid w:val="006055E7"/>
    <w:rsid w:val="00606EC8"/>
    <w:rsid w:val="0061023B"/>
    <w:rsid w:val="00611B9E"/>
    <w:rsid w:val="00620377"/>
    <w:rsid w:val="00620DB3"/>
    <w:rsid w:val="0062164A"/>
    <w:rsid w:val="0063182B"/>
    <w:rsid w:val="00632D49"/>
    <w:rsid w:val="0063592D"/>
    <w:rsid w:val="00635B87"/>
    <w:rsid w:val="0064116A"/>
    <w:rsid w:val="00651DC3"/>
    <w:rsid w:val="00653909"/>
    <w:rsid w:val="006553D3"/>
    <w:rsid w:val="0065599D"/>
    <w:rsid w:val="00662964"/>
    <w:rsid w:val="00665549"/>
    <w:rsid w:val="00665E37"/>
    <w:rsid w:val="00665F1D"/>
    <w:rsid w:val="006753A1"/>
    <w:rsid w:val="0067564B"/>
    <w:rsid w:val="00675B1D"/>
    <w:rsid w:val="00686397"/>
    <w:rsid w:val="006913EC"/>
    <w:rsid w:val="006A2E4E"/>
    <w:rsid w:val="006A5B5B"/>
    <w:rsid w:val="006B1E60"/>
    <w:rsid w:val="006B3ECB"/>
    <w:rsid w:val="006B58C5"/>
    <w:rsid w:val="006B6024"/>
    <w:rsid w:val="006C1884"/>
    <w:rsid w:val="006C698E"/>
    <w:rsid w:val="006D2EE8"/>
    <w:rsid w:val="006E0988"/>
    <w:rsid w:val="006E13F9"/>
    <w:rsid w:val="006E4699"/>
    <w:rsid w:val="006E73FD"/>
    <w:rsid w:val="00701B83"/>
    <w:rsid w:val="00702981"/>
    <w:rsid w:val="00713574"/>
    <w:rsid w:val="00713A1A"/>
    <w:rsid w:val="007154B7"/>
    <w:rsid w:val="00722403"/>
    <w:rsid w:val="00730F14"/>
    <w:rsid w:val="00733AC3"/>
    <w:rsid w:val="00734C33"/>
    <w:rsid w:val="00735C4E"/>
    <w:rsid w:val="007454E9"/>
    <w:rsid w:val="00752477"/>
    <w:rsid w:val="00756266"/>
    <w:rsid w:val="00760567"/>
    <w:rsid w:val="007616FB"/>
    <w:rsid w:val="00762F76"/>
    <w:rsid w:val="00765090"/>
    <w:rsid w:val="00771709"/>
    <w:rsid w:val="00775AA0"/>
    <w:rsid w:val="00780E96"/>
    <w:rsid w:val="0078113D"/>
    <w:rsid w:val="007821DF"/>
    <w:rsid w:val="0078485E"/>
    <w:rsid w:val="0079465C"/>
    <w:rsid w:val="007A2E76"/>
    <w:rsid w:val="007A3D0E"/>
    <w:rsid w:val="007A4C9C"/>
    <w:rsid w:val="007B190D"/>
    <w:rsid w:val="007C2F71"/>
    <w:rsid w:val="007C464C"/>
    <w:rsid w:val="007C6926"/>
    <w:rsid w:val="007D1F93"/>
    <w:rsid w:val="007E0B51"/>
    <w:rsid w:val="007F1216"/>
    <w:rsid w:val="007F46D5"/>
    <w:rsid w:val="00803755"/>
    <w:rsid w:val="008051F7"/>
    <w:rsid w:val="00806FAB"/>
    <w:rsid w:val="00814A86"/>
    <w:rsid w:val="008161C6"/>
    <w:rsid w:val="008204B4"/>
    <w:rsid w:val="00822B39"/>
    <w:rsid w:val="008263FA"/>
    <w:rsid w:val="008345DB"/>
    <w:rsid w:val="00836A33"/>
    <w:rsid w:val="00837B05"/>
    <w:rsid w:val="00840333"/>
    <w:rsid w:val="0085455D"/>
    <w:rsid w:val="00854DDE"/>
    <w:rsid w:val="0085581F"/>
    <w:rsid w:val="00857F91"/>
    <w:rsid w:val="00862FF9"/>
    <w:rsid w:val="0087383E"/>
    <w:rsid w:val="00874389"/>
    <w:rsid w:val="0087731E"/>
    <w:rsid w:val="00877B10"/>
    <w:rsid w:val="00880E01"/>
    <w:rsid w:val="0088427C"/>
    <w:rsid w:val="00886857"/>
    <w:rsid w:val="0089459E"/>
    <w:rsid w:val="00894BF0"/>
    <w:rsid w:val="0089588C"/>
    <w:rsid w:val="008A0AD9"/>
    <w:rsid w:val="008A353D"/>
    <w:rsid w:val="008A4F0F"/>
    <w:rsid w:val="008A55D0"/>
    <w:rsid w:val="008B1C4C"/>
    <w:rsid w:val="008B24E3"/>
    <w:rsid w:val="008B5297"/>
    <w:rsid w:val="008D0260"/>
    <w:rsid w:val="008D54F8"/>
    <w:rsid w:val="008D7797"/>
    <w:rsid w:val="008E03E3"/>
    <w:rsid w:val="008E5CC3"/>
    <w:rsid w:val="008F6263"/>
    <w:rsid w:val="00904CE1"/>
    <w:rsid w:val="00904CE7"/>
    <w:rsid w:val="00905DB1"/>
    <w:rsid w:val="00905E14"/>
    <w:rsid w:val="00915068"/>
    <w:rsid w:val="00915520"/>
    <w:rsid w:val="009156E1"/>
    <w:rsid w:val="00916D6D"/>
    <w:rsid w:val="00931EB6"/>
    <w:rsid w:val="00947071"/>
    <w:rsid w:val="00947CC2"/>
    <w:rsid w:val="00956996"/>
    <w:rsid w:val="00971EBF"/>
    <w:rsid w:val="009A1A1D"/>
    <w:rsid w:val="009A6F5A"/>
    <w:rsid w:val="009A723C"/>
    <w:rsid w:val="009B012A"/>
    <w:rsid w:val="009B2691"/>
    <w:rsid w:val="009B7C9C"/>
    <w:rsid w:val="009C5E08"/>
    <w:rsid w:val="009C7B72"/>
    <w:rsid w:val="009C7F85"/>
    <w:rsid w:val="009E3234"/>
    <w:rsid w:val="009F5EDE"/>
    <w:rsid w:val="009F7983"/>
    <w:rsid w:val="00A01830"/>
    <w:rsid w:val="00A17D67"/>
    <w:rsid w:val="00A24C3F"/>
    <w:rsid w:val="00A2611D"/>
    <w:rsid w:val="00A30E30"/>
    <w:rsid w:val="00A32211"/>
    <w:rsid w:val="00A36910"/>
    <w:rsid w:val="00A44E9A"/>
    <w:rsid w:val="00A45D89"/>
    <w:rsid w:val="00A46C14"/>
    <w:rsid w:val="00A53D08"/>
    <w:rsid w:val="00A611DE"/>
    <w:rsid w:val="00A65658"/>
    <w:rsid w:val="00A71439"/>
    <w:rsid w:val="00A84D27"/>
    <w:rsid w:val="00A90F92"/>
    <w:rsid w:val="00A95F7A"/>
    <w:rsid w:val="00AA7709"/>
    <w:rsid w:val="00AB1AB2"/>
    <w:rsid w:val="00AC0490"/>
    <w:rsid w:val="00AC29AE"/>
    <w:rsid w:val="00AD1BCE"/>
    <w:rsid w:val="00AD2076"/>
    <w:rsid w:val="00AF4346"/>
    <w:rsid w:val="00AF7F43"/>
    <w:rsid w:val="00B0577E"/>
    <w:rsid w:val="00B346D7"/>
    <w:rsid w:val="00B4110F"/>
    <w:rsid w:val="00B51E21"/>
    <w:rsid w:val="00B56017"/>
    <w:rsid w:val="00B56B74"/>
    <w:rsid w:val="00B60DDA"/>
    <w:rsid w:val="00B62DE5"/>
    <w:rsid w:val="00B636B5"/>
    <w:rsid w:val="00B7235C"/>
    <w:rsid w:val="00B73458"/>
    <w:rsid w:val="00B92707"/>
    <w:rsid w:val="00B932D8"/>
    <w:rsid w:val="00B974F9"/>
    <w:rsid w:val="00B97C60"/>
    <w:rsid w:val="00BA0E54"/>
    <w:rsid w:val="00BD1BD1"/>
    <w:rsid w:val="00BE2207"/>
    <w:rsid w:val="00BE2EAE"/>
    <w:rsid w:val="00BF05DC"/>
    <w:rsid w:val="00BF14CB"/>
    <w:rsid w:val="00BF1A56"/>
    <w:rsid w:val="00BF41AB"/>
    <w:rsid w:val="00C013C8"/>
    <w:rsid w:val="00C0356A"/>
    <w:rsid w:val="00C07E5E"/>
    <w:rsid w:val="00C12310"/>
    <w:rsid w:val="00C14637"/>
    <w:rsid w:val="00C2042D"/>
    <w:rsid w:val="00C22804"/>
    <w:rsid w:val="00C24D7D"/>
    <w:rsid w:val="00C2748A"/>
    <w:rsid w:val="00C33240"/>
    <w:rsid w:val="00C467A0"/>
    <w:rsid w:val="00C56232"/>
    <w:rsid w:val="00C667FE"/>
    <w:rsid w:val="00C66F76"/>
    <w:rsid w:val="00C84802"/>
    <w:rsid w:val="00C84979"/>
    <w:rsid w:val="00CA2E0C"/>
    <w:rsid w:val="00CB03CC"/>
    <w:rsid w:val="00CB1086"/>
    <w:rsid w:val="00CB3F37"/>
    <w:rsid w:val="00CB6B25"/>
    <w:rsid w:val="00CC0256"/>
    <w:rsid w:val="00CC41D7"/>
    <w:rsid w:val="00CC6AA5"/>
    <w:rsid w:val="00CD10B0"/>
    <w:rsid w:val="00CD7DE1"/>
    <w:rsid w:val="00CD7EED"/>
    <w:rsid w:val="00CE15A4"/>
    <w:rsid w:val="00CE223E"/>
    <w:rsid w:val="00CE3A24"/>
    <w:rsid w:val="00CE4627"/>
    <w:rsid w:val="00CF38B0"/>
    <w:rsid w:val="00CF6BFB"/>
    <w:rsid w:val="00D102CE"/>
    <w:rsid w:val="00D12D80"/>
    <w:rsid w:val="00D26806"/>
    <w:rsid w:val="00D30F97"/>
    <w:rsid w:val="00D31743"/>
    <w:rsid w:val="00D32731"/>
    <w:rsid w:val="00D41354"/>
    <w:rsid w:val="00D41D31"/>
    <w:rsid w:val="00D43826"/>
    <w:rsid w:val="00D6341E"/>
    <w:rsid w:val="00D63AB8"/>
    <w:rsid w:val="00D64704"/>
    <w:rsid w:val="00D6633E"/>
    <w:rsid w:val="00D70E02"/>
    <w:rsid w:val="00D771E1"/>
    <w:rsid w:val="00D80636"/>
    <w:rsid w:val="00D817BA"/>
    <w:rsid w:val="00D81F9A"/>
    <w:rsid w:val="00DA7C0A"/>
    <w:rsid w:val="00DB107D"/>
    <w:rsid w:val="00DC17EA"/>
    <w:rsid w:val="00DC1ADB"/>
    <w:rsid w:val="00DC247C"/>
    <w:rsid w:val="00DD1C67"/>
    <w:rsid w:val="00DD2221"/>
    <w:rsid w:val="00DD5C93"/>
    <w:rsid w:val="00DD63DB"/>
    <w:rsid w:val="00DD7DEA"/>
    <w:rsid w:val="00DE0981"/>
    <w:rsid w:val="00DF0A27"/>
    <w:rsid w:val="00DF29CF"/>
    <w:rsid w:val="00DF427E"/>
    <w:rsid w:val="00DF4C0D"/>
    <w:rsid w:val="00E057FC"/>
    <w:rsid w:val="00E11F14"/>
    <w:rsid w:val="00E14188"/>
    <w:rsid w:val="00E14AB2"/>
    <w:rsid w:val="00E14B08"/>
    <w:rsid w:val="00E162D8"/>
    <w:rsid w:val="00E21396"/>
    <w:rsid w:val="00E23BB7"/>
    <w:rsid w:val="00E25085"/>
    <w:rsid w:val="00E31265"/>
    <w:rsid w:val="00E36E48"/>
    <w:rsid w:val="00E419ED"/>
    <w:rsid w:val="00E621E9"/>
    <w:rsid w:val="00E67F9E"/>
    <w:rsid w:val="00E70DB5"/>
    <w:rsid w:val="00E71867"/>
    <w:rsid w:val="00E726B3"/>
    <w:rsid w:val="00E83665"/>
    <w:rsid w:val="00E863ED"/>
    <w:rsid w:val="00E87FC8"/>
    <w:rsid w:val="00E92089"/>
    <w:rsid w:val="00E94B1A"/>
    <w:rsid w:val="00E958C2"/>
    <w:rsid w:val="00E97AA6"/>
    <w:rsid w:val="00EA29A4"/>
    <w:rsid w:val="00EA5635"/>
    <w:rsid w:val="00EA64B5"/>
    <w:rsid w:val="00EB194F"/>
    <w:rsid w:val="00ED06E3"/>
    <w:rsid w:val="00ED6DBB"/>
    <w:rsid w:val="00EE0359"/>
    <w:rsid w:val="00EF3A55"/>
    <w:rsid w:val="00EF71BB"/>
    <w:rsid w:val="00F04844"/>
    <w:rsid w:val="00F12651"/>
    <w:rsid w:val="00F153E9"/>
    <w:rsid w:val="00F350EA"/>
    <w:rsid w:val="00F41BA0"/>
    <w:rsid w:val="00F4308D"/>
    <w:rsid w:val="00F477F4"/>
    <w:rsid w:val="00F5590A"/>
    <w:rsid w:val="00F65711"/>
    <w:rsid w:val="00F74313"/>
    <w:rsid w:val="00F80327"/>
    <w:rsid w:val="00F80B80"/>
    <w:rsid w:val="00F80CB8"/>
    <w:rsid w:val="00F8237C"/>
    <w:rsid w:val="00F827A1"/>
    <w:rsid w:val="00F82DB7"/>
    <w:rsid w:val="00F835A2"/>
    <w:rsid w:val="00F90E0B"/>
    <w:rsid w:val="00F91564"/>
    <w:rsid w:val="00FA5B97"/>
    <w:rsid w:val="00FB326A"/>
    <w:rsid w:val="00FB42E1"/>
    <w:rsid w:val="00FB7044"/>
    <w:rsid w:val="00FC233D"/>
    <w:rsid w:val="00FC3EB0"/>
    <w:rsid w:val="00FC41ED"/>
    <w:rsid w:val="00FC7F76"/>
    <w:rsid w:val="00FD0BE7"/>
    <w:rsid w:val="00FD2259"/>
    <w:rsid w:val="00FE0EC7"/>
    <w:rsid w:val="00FE7057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6C8F6"/>
  <w15:docId w15:val="{7C0A2946-2A09-469B-86A1-3B2A22DE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240"/>
    </w:pPr>
    <w:rPr>
      <w:rFonts w:eastAsia="Calibri" w:cs="Calibri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="Cambria" w:cs="Cambria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Pr>
      <w:rFonts w:eastAsia="Calibri" w:cs="Calibri"/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Funotentext">
    <w:name w:val="footnote text"/>
    <w:basedOn w:val="Standard"/>
    <w:link w:val="FunotentextZchn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HTMLVorformatiert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Titel">
    <w:name w:val="Title"/>
    <w:basedOn w:val="Standard"/>
    <w:next w:val="Standard"/>
    <w:link w:val="TitelZchn"/>
    <w:qFormat/>
    <w:pPr>
      <w:spacing w:before="240" w:after="360"/>
      <w:jc w:val="center"/>
    </w:pPr>
    <w:rPr>
      <w:rFonts w:cs="Times New Roman"/>
      <w:b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qFormat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qFormat/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table" w:styleId="Tabellenraster">
    <w:name w:val="Table Grid"/>
    <w:basedOn w:val="NormaleTabelle"/>
    <w:uiPriority w:val="59"/>
    <w:qFormat/>
    <w:rPr>
      <w:rFonts w:ascii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Untertitel"/>
    <w:next w:val="Standard"/>
    <w:uiPriority w:val="1"/>
    <w:qFormat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okTitle1">
    <w:name w:val="Book Title1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Times New Roman" w:hAnsi="Times New Roman"/>
      <w:b/>
      <w:sz w:val="24"/>
    </w:rPr>
  </w:style>
  <w:style w:type="character" w:customStyle="1" w:styleId="IntenseEmphasis1">
    <w:name w:val="Intense Emphasis1"/>
    <w:basedOn w:val="Absatz-Standardschriftart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IntenseReference1">
    <w:name w:val="Intense Reference1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="Cambria" w:hAnsi="Times New Roman" w:cs="Cambria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SubtleEmphasis1">
    <w:name w:val="Subtle Emphasis1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TitelZchn">
    <w:name w:val="Titel Zchn"/>
    <w:basedOn w:val="Absatz-Standardschriftart"/>
    <w:link w:val="Titel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  <w:style w:type="paragraph" w:styleId="berarbeitung">
    <w:name w:val="Revision"/>
    <w:hidden/>
    <w:uiPriority w:val="99"/>
    <w:semiHidden/>
    <w:rPr>
      <w:rFonts w:eastAsia="Calibri" w:cs="Calibri"/>
      <w:sz w:val="24"/>
    </w:rPr>
  </w:style>
  <w:style w:type="paragraph" w:styleId="Aufzhlungszeichen">
    <w:name w:val="List Bullet"/>
    <w:basedOn w:val="Standard"/>
    <w:semiHidden/>
    <w:pPr>
      <w:numPr>
        <w:numId w:val="3"/>
      </w:numPr>
      <w:spacing w:before="0" w:after="0" w:line="480" w:lineRule="auto"/>
      <w:contextualSpacing/>
    </w:pPr>
    <w:rPr>
      <w:rFonts w:ascii="Arial" w:eastAsia="Times New Roman" w:hAnsi="Arial" w:cs="Times New Roman"/>
      <w:sz w:val="20"/>
    </w:rPr>
  </w:style>
  <w:style w:type="paragraph" w:customStyle="1" w:styleId="SMHeading">
    <w:name w:val="SM Heading"/>
    <w:basedOn w:val="berschrift1"/>
    <w:qFormat/>
    <w:pPr>
      <w:keepNext/>
      <w:numPr>
        <w:numId w:val="0"/>
      </w:numPr>
      <w:tabs>
        <w:tab w:val="clear" w:pos="567"/>
      </w:tabs>
      <w:spacing w:after="60" w:line="480" w:lineRule="auto"/>
    </w:pPr>
    <w:rPr>
      <w:rFonts w:ascii="Arial" w:eastAsia="Times New Roman" w:hAnsi="Arial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9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C195A-DD1F-A645-B986-A54D0F92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791</Words>
  <Characters>4282</Characters>
  <Application>Microsoft Office Word</Application>
  <DocSecurity>0</DocSecurity>
  <Lines>42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Marie</cp:lastModifiedBy>
  <cp:revision>8</cp:revision>
  <dcterms:created xsi:type="dcterms:W3CDTF">2021-02-24T21:59:00Z</dcterms:created>
  <dcterms:modified xsi:type="dcterms:W3CDTF">2021-03-07T19:57:00Z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https://csl.mendeley.com/styles/496823111/AnalyticalChemistryMH2</vt:lpwstr>
  </property>
  <property fmtid="{D5CDD505-2E9C-101B-9397-08002B2CF9AE}" pid="3" name="Mendeley Recent Style Name 0_1">
    <vt:lpwstr>American Chemical Society - Marie Hopp</vt:lpwstr>
  </property>
  <property fmtid="{D5CDD505-2E9C-101B-9397-08002B2CF9AE}" pid="4" name="Mendeley Recent Style Id 1_1">
    <vt:lpwstr>http://csl.mendeley.com/styles/614551191/DissMH-2</vt:lpwstr>
  </property>
  <property fmtid="{D5CDD505-2E9C-101B-9397-08002B2CF9AE}" pid="5" name="Mendeley Recent Style Name 1_1">
    <vt:lpwstr>American Chemical Society - Marie-Thérèse Hopp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http://www.zotero.org/styles/analytical-chemistry</vt:lpwstr>
  </property>
  <property fmtid="{D5CDD505-2E9C-101B-9397-08002B2CF9AE}" pid="9" name="Mendeley Recent Style Name 3_1">
    <vt:lpwstr>Analytical Chemistry</vt:lpwstr>
  </property>
  <property fmtid="{D5CDD505-2E9C-101B-9397-08002B2CF9AE}" pid="10" name="Mendeley Recent Style Id 4_1">
    <vt:lpwstr>http://www.zotero.org/styles/antioxidants-and-redox-signaling</vt:lpwstr>
  </property>
  <property fmtid="{D5CDD505-2E9C-101B-9397-08002B2CF9AE}" pid="11" name="Mendeley Recent Style Name 4_1">
    <vt:lpwstr>Antioxidants &amp; Redox Signaling</vt:lpwstr>
  </property>
  <property fmtid="{D5CDD505-2E9C-101B-9397-08002B2CF9AE}" pid="12" name="Mendeley Recent Style Id 5_1">
    <vt:lpwstr>http://www.zotero.org/styles/bioinformatics</vt:lpwstr>
  </property>
  <property fmtid="{D5CDD505-2E9C-101B-9397-08002B2CF9AE}" pid="13" name="Mendeley Recent Style Name 5_1">
    <vt:lpwstr>Bioinformatics</vt:lpwstr>
  </property>
  <property fmtid="{D5CDD505-2E9C-101B-9397-08002B2CF9AE}" pid="14" name="Mendeley Recent Style Id 6_1">
    <vt:lpwstr>http://www.zotero.org/styles/biomolecules</vt:lpwstr>
  </property>
  <property fmtid="{D5CDD505-2E9C-101B-9397-08002B2CF9AE}" pid="15" name="Mendeley Recent Style Name 6_1">
    <vt:lpwstr>Biomolecules</vt:lpwstr>
  </property>
  <property fmtid="{D5CDD505-2E9C-101B-9397-08002B2CF9AE}" pid="16" name="Mendeley Recent Style Id 7_1">
    <vt:lpwstr>http://csl.mendeley.com/styles/496823111/BLOOD-AMA</vt:lpwstr>
  </property>
  <property fmtid="{D5CDD505-2E9C-101B-9397-08002B2CF9AE}" pid="17" name="Mendeley Recent Style Name 7_1">
    <vt:lpwstr>Blood AMA</vt:lpwstr>
  </property>
  <property fmtid="{D5CDD505-2E9C-101B-9397-08002B2CF9AE}" pid="18" name="Mendeley Recent Style Id 8_1">
    <vt:lpwstr>http://www.zotero.org/styles/frontiers-in-molecular-biosciences</vt:lpwstr>
  </property>
  <property fmtid="{D5CDD505-2E9C-101B-9397-08002B2CF9AE}" pid="19" name="Mendeley Recent Style Name 8_1">
    <vt:lpwstr>Frontiers in Molecular Biosciences</vt:lpwstr>
  </property>
  <property fmtid="{D5CDD505-2E9C-101B-9397-08002B2CF9AE}" pid="20" name="Mendeley Recent Style Id 9_1">
    <vt:lpwstr>http://www.zotero.org/styles/journal-of-clinical-medicine</vt:lpwstr>
  </property>
  <property fmtid="{D5CDD505-2E9C-101B-9397-08002B2CF9AE}" pid="21" name="Mendeley Recent Style Name 9_1">
    <vt:lpwstr>Journal of Clinical Medicine</vt:lpwstr>
  </property>
  <property fmtid="{D5CDD505-2E9C-101B-9397-08002B2CF9AE}" pid="22" name="Mendeley Citation Style_1">
    <vt:lpwstr>http://www.zotero.org/styles/bioinformatics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005fdc8f-b585-303a-b37f-5d8cbe871864</vt:lpwstr>
  </property>
</Properties>
</file>