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40B37" w14:textId="20709CD0" w:rsidR="0026056C" w:rsidRDefault="008A0459">
      <w:pPr>
        <w:pStyle w:val="SupplementaryMaterial"/>
        <w:rPr>
          <w:b w:val="0"/>
        </w:rPr>
      </w:pPr>
      <w:r>
        <w:t>Additional file 4</w:t>
      </w:r>
    </w:p>
    <w:p w14:paraId="68E0247F" w14:textId="77777777" w:rsidR="008A0459" w:rsidRDefault="008A0459">
      <w:pPr>
        <w:jc w:val="both"/>
        <w:rPr>
          <w:rFonts w:cs="Times New Roman"/>
          <w:b/>
          <w:bCs/>
          <w:szCs w:val="24"/>
        </w:rPr>
      </w:pPr>
    </w:p>
    <w:p w14:paraId="2CE34791" w14:textId="468C5E17" w:rsidR="0026056C" w:rsidRDefault="008A0459">
      <w:pPr>
        <w:jc w:val="both"/>
      </w:pPr>
      <w:r>
        <w:rPr>
          <w:rFonts w:cs="Times New Roman"/>
          <w:b/>
          <w:bCs/>
          <w:szCs w:val="24"/>
        </w:rPr>
        <w:t>Additional file</w:t>
      </w:r>
      <w:r w:rsidR="003E16B7">
        <w:rPr>
          <w:rFonts w:cs="Times New Roman"/>
          <w:b/>
          <w:bCs/>
          <w:szCs w:val="24"/>
        </w:rPr>
        <w:t xml:space="preserve"> </w:t>
      </w:r>
      <w:r w:rsidR="009F5EDE">
        <w:rPr>
          <w:rFonts w:cs="Times New Roman"/>
          <w:b/>
          <w:bCs/>
          <w:szCs w:val="24"/>
        </w:rPr>
        <w:t>4</w:t>
      </w:r>
      <w:r w:rsidR="003E16B7">
        <w:rPr>
          <w:rFonts w:cs="Times New Roman"/>
          <w:b/>
          <w:bCs/>
          <w:szCs w:val="24"/>
        </w:rPr>
        <w:t>.</w:t>
      </w:r>
      <w:r w:rsidR="003E16B7">
        <w:rPr>
          <w:rFonts w:cs="Times New Roman"/>
          <w:szCs w:val="24"/>
        </w:rPr>
        <w:t xml:space="preserve"> Original evidence for the depicted connections for “Organ-specific diagnostic markers”.</w:t>
      </w:r>
    </w:p>
    <w:tbl>
      <w:tblPr>
        <w:tblW w:w="99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1276"/>
        <w:gridCol w:w="1417"/>
        <w:gridCol w:w="2835"/>
        <w:gridCol w:w="1276"/>
        <w:gridCol w:w="1701"/>
      </w:tblGrid>
      <w:tr w:rsidR="0026056C" w14:paraId="12244995" w14:textId="77777777">
        <w:tc>
          <w:tcPr>
            <w:tcW w:w="1408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D613D" w14:textId="77777777" w:rsidR="0026056C" w:rsidRDefault="003E16B7" w:rsidP="00E94B1A">
            <w:pPr>
              <w:widowControl w:val="0"/>
              <w:spacing w:before="0" w:after="0"/>
              <w:rPr>
                <w:b/>
                <w:szCs w:val="20"/>
              </w:rPr>
            </w:pPr>
            <w:r>
              <w:rPr>
                <w:b/>
                <w:szCs w:val="20"/>
              </w:rPr>
              <w:t>Source</w:t>
            </w:r>
          </w:p>
        </w:tc>
        <w:tc>
          <w:tcPr>
            <w:tcW w:w="1276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839A7" w14:textId="77777777" w:rsidR="0026056C" w:rsidRDefault="003E16B7" w:rsidP="00E94B1A">
            <w:pPr>
              <w:widowControl w:val="0"/>
              <w:spacing w:before="0" w:after="0"/>
              <w:rPr>
                <w:b/>
                <w:szCs w:val="20"/>
              </w:rPr>
            </w:pPr>
            <w:r>
              <w:rPr>
                <w:b/>
                <w:szCs w:val="20"/>
              </w:rPr>
              <w:t>Relation</w:t>
            </w:r>
          </w:p>
        </w:tc>
        <w:tc>
          <w:tcPr>
            <w:tcW w:w="1417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882FF" w14:textId="77777777" w:rsidR="0026056C" w:rsidRDefault="003E16B7" w:rsidP="00E94B1A">
            <w:pPr>
              <w:widowControl w:val="0"/>
              <w:spacing w:before="0" w:after="0"/>
              <w:rPr>
                <w:b/>
                <w:szCs w:val="20"/>
              </w:rPr>
            </w:pPr>
            <w:r>
              <w:rPr>
                <w:b/>
                <w:szCs w:val="20"/>
              </w:rPr>
              <w:t>Target</w:t>
            </w:r>
          </w:p>
        </w:tc>
        <w:tc>
          <w:tcPr>
            <w:tcW w:w="283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66DD8" w14:textId="77777777" w:rsidR="0026056C" w:rsidRDefault="003E16B7" w:rsidP="00E94B1A">
            <w:pPr>
              <w:widowControl w:val="0"/>
              <w:spacing w:before="0" w:after="0"/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Original Evidence</w:t>
            </w:r>
          </w:p>
        </w:tc>
        <w:tc>
          <w:tcPr>
            <w:tcW w:w="1276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0BF07" w14:textId="77777777" w:rsidR="0026056C" w:rsidRDefault="003E16B7" w:rsidP="00E94B1A">
            <w:pPr>
              <w:widowControl w:val="0"/>
              <w:spacing w:before="0" w:after="0"/>
              <w:rPr>
                <w:b/>
                <w:szCs w:val="20"/>
              </w:rPr>
            </w:pPr>
            <w:r>
              <w:rPr>
                <w:b/>
                <w:szCs w:val="20"/>
              </w:rPr>
              <w:t>PMID</w:t>
            </w:r>
          </w:p>
        </w:tc>
        <w:tc>
          <w:tcPr>
            <w:tcW w:w="1701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D34ED" w14:textId="77777777" w:rsidR="0026056C" w:rsidRDefault="003E16B7" w:rsidP="00E94B1A">
            <w:pPr>
              <w:widowControl w:val="0"/>
              <w:spacing w:before="0" w:after="0"/>
              <w:rPr>
                <w:b/>
                <w:szCs w:val="20"/>
              </w:rPr>
            </w:pPr>
            <w:r>
              <w:rPr>
                <w:b/>
                <w:szCs w:val="20"/>
              </w:rPr>
              <w:t>Resource</w:t>
            </w:r>
          </w:p>
        </w:tc>
      </w:tr>
      <w:tr w:rsidR="0026056C" w14:paraId="45C7F624" w14:textId="77777777"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798AC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Hemolysis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8B329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Increases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DF9F8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Heme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B8345" w14:textId="77777777" w:rsidR="0026056C" w:rsidRDefault="003E16B7" w:rsidP="00E94B1A">
            <w:pPr>
              <w:spacing w:before="0" w:after="0"/>
              <w:jc w:val="both"/>
              <w:rPr>
                <w:szCs w:val="20"/>
              </w:rPr>
            </w:pPr>
            <w:r>
              <w:rPr>
                <w:szCs w:val="20"/>
                <w:highlight w:val="white"/>
              </w:rPr>
              <w:t xml:space="preserve">Free </w:t>
            </w:r>
            <w:r>
              <w:rPr>
                <w:b/>
                <w:bCs/>
                <w:szCs w:val="20"/>
                <w:highlight w:val="white"/>
              </w:rPr>
              <w:t>heme</w:t>
            </w:r>
            <w:r>
              <w:rPr>
                <w:szCs w:val="20"/>
                <w:highlight w:val="white"/>
              </w:rPr>
              <w:t xml:space="preserve"> is generated by intra- and extravascular </w:t>
            </w:r>
            <w:r>
              <w:rPr>
                <w:b/>
                <w:bCs/>
                <w:szCs w:val="20"/>
                <w:highlight w:val="white"/>
              </w:rPr>
              <w:t>hemolysis</w:t>
            </w:r>
            <w:r>
              <w:rPr>
                <w:szCs w:val="20"/>
                <w:highlight w:val="white"/>
              </w:rPr>
              <w:t xml:space="preserve"> or extensive cell damage.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7E8B9" w14:textId="77777777" w:rsidR="0026056C" w:rsidRDefault="003E16B7" w:rsidP="00E94B1A">
            <w:pPr>
              <w:spacing w:before="0" w:after="0"/>
              <w:rPr>
                <w:szCs w:val="20"/>
              </w:rPr>
            </w:pPr>
            <w:r>
              <w:rPr>
                <w:szCs w:val="20"/>
              </w:rPr>
              <w:t>24464629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7E84E" w14:textId="77777777" w:rsidR="0026056C" w:rsidRDefault="003E16B7" w:rsidP="00E94B1A">
            <w:pPr>
              <w:spacing w:before="0" w:after="0"/>
              <w:rPr>
                <w:szCs w:val="20"/>
              </w:rPr>
            </w:pPr>
            <w:r>
              <w:rPr>
                <w:szCs w:val="20"/>
              </w:rPr>
              <w:t>Heme KG</w:t>
            </w:r>
          </w:p>
        </w:tc>
      </w:tr>
      <w:tr w:rsidR="0026056C" w14:paraId="41296058" w14:textId="77777777"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A9C05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Hemolysis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03699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Increases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B49B3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Bilirubin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721C3" w14:textId="77777777" w:rsidR="0026056C" w:rsidRDefault="003E16B7" w:rsidP="00E94B1A">
            <w:pPr>
              <w:spacing w:before="0" w:after="0"/>
              <w:jc w:val="both"/>
              <w:rPr>
                <w:szCs w:val="20"/>
              </w:rPr>
            </w:pPr>
            <w:r>
              <w:rPr>
                <w:szCs w:val="20"/>
                <w:highlight w:val="white"/>
              </w:rPr>
              <w:t xml:space="preserve">LDH was strongly associated with markers normally elevated in either </w:t>
            </w:r>
            <w:r>
              <w:rPr>
                <w:b/>
                <w:bCs/>
                <w:szCs w:val="20"/>
                <w:highlight w:val="white"/>
              </w:rPr>
              <w:t>hemolysis</w:t>
            </w:r>
            <w:r>
              <w:rPr>
                <w:szCs w:val="20"/>
                <w:highlight w:val="white"/>
              </w:rPr>
              <w:t xml:space="preserve"> or liver disease, including aspartate aminotransferase (AST) and direct and indirect </w:t>
            </w:r>
            <w:r>
              <w:rPr>
                <w:b/>
                <w:bCs/>
                <w:szCs w:val="20"/>
                <w:highlight w:val="white"/>
              </w:rPr>
              <w:t>bilirubin</w:t>
            </w:r>
            <w:r>
              <w:rPr>
                <w:szCs w:val="20"/>
                <w:highlight w:val="white"/>
              </w:rPr>
              <w:t>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6DF20" w14:textId="77777777" w:rsidR="0026056C" w:rsidRDefault="003E16B7" w:rsidP="00E94B1A">
            <w:pPr>
              <w:spacing w:before="0" w:after="0"/>
              <w:rPr>
                <w:szCs w:val="20"/>
              </w:rPr>
            </w:pPr>
            <w:r>
              <w:rPr>
                <w:szCs w:val="20"/>
              </w:rPr>
              <w:t>16291595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AABAF" w14:textId="77777777" w:rsidR="0026056C" w:rsidRDefault="003E16B7" w:rsidP="00E94B1A">
            <w:pPr>
              <w:spacing w:before="0" w:after="0"/>
              <w:rPr>
                <w:szCs w:val="20"/>
              </w:rPr>
            </w:pPr>
            <w:r>
              <w:rPr>
                <w:szCs w:val="20"/>
              </w:rPr>
              <w:t>Heme KG</w:t>
            </w:r>
          </w:p>
        </w:tc>
      </w:tr>
      <w:tr w:rsidR="0026056C" w14:paraId="6F95B0F8" w14:textId="77777777"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1EEE7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COVID-19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6F314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Increases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8141E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Bilirubin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8922C" w14:textId="77777777" w:rsidR="0026056C" w:rsidRDefault="003E16B7" w:rsidP="00E94B1A">
            <w:pPr>
              <w:spacing w:before="0" w:after="0"/>
              <w:jc w:val="both"/>
              <w:rPr>
                <w:szCs w:val="20"/>
                <w:highlight w:val="white"/>
              </w:rPr>
            </w:pPr>
            <w:r>
              <w:rPr>
                <w:szCs w:val="20"/>
              </w:rPr>
              <w:t xml:space="preserve">Concentrations of alanine aminotransferase, aspartate aminotransferase, total </w:t>
            </w:r>
            <w:r>
              <w:rPr>
                <w:b/>
                <w:bCs/>
                <w:szCs w:val="20"/>
              </w:rPr>
              <w:t>bilirubin</w:t>
            </w:r>
            <w:r>
              <w:rPr>
                <w:szCs w:val="20"/>
              </w:rPr>
              <w:t>, alkaline phosphatase, and γ-glutamyl transpeptidase were markedly higher in deceased patients than in recovered patients.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C8291" w14:textId="77777777" w:rsidR="0026056C" w:rsidRDefault="003E16B7" w:rsidP="00E94B1A">
            <w:pPr>
              <w:spacing w:before="0" w:after="0"/>
              <w:rPr>
                <w:szCs w:val="20"/>
              </w:rPr>
            </w:pPr>
            <w:r>
              <w:rPr>
                <w:szCs w:val="20"/>
              </w:rPr>
              <w:t>32217556</w:t>
            </w:r>
          </w:p>
          <w:p w14:paraId="6A29D3AF" w14:textId="77777777" w:rsidR="0026056C" w:rsidRDefault="0026056C" w:rsidP="00E94B1A">
            <w:pPr>
              <w:spacing w:before="0" w:after="0"/>
              <w:rPr>
                <w:szCs w:val="20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AC6B3" w14:textId="77777777" w:rsidR="0026056C" w:rsidRDefault="003E16B7" w:rsidP="00E94B1A">
            <w:pPr>
              <w:spacing w:before="0" w:after="0"/>
              <w:rPr>
                <w:szCs w:val="20"/>
              </w:rPr>
            </w:pPr>
            <w:r>
              <w:rPr>
                <w:szCs w:val="20"/>
              </w:rPr>
              <w:t>COVID-19 KG</w:t>
            </w:r>
          </w:p>
        </w:tc>
      </w:tr>
      <w:tr w:rsidR="0026056C" w14:paraId="7076EAD6" w14:textId="77777777"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3022B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Heme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710FF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 xml:space="preserve">Increases 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3FDA0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Bilirubin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5A7B0" w14:textId="77777777" w:rsidR="0026056C" w:rsidRDefault="003E16B7" w:rsidP="00E94B1A">
            <w:pPr>
              <w:spacing w:before="0" w:after="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The present findings demonstrate that the enzymatic mechanism catalyzing the conversion of </w:t>
            </w:r>
            <w:r>
              <w:rPr>
                <w:b/>
                <w:bCs/>
                <w:szCs w:val="20"/>
              </w:rPr>
              <w:t>heme</w:t>
            </w:r>
            <w:r>
              <w:rPr>
                <w:szCs w:val="20"/>
              </w:rPr>
              <w:t xml:space="preserve"> to </w:t>
            </w:r>
            <w:r>
              <w:rPr>
                <w:b/>
                <w:bCs/>
                <w:szCs w:val="20"/>
              </w:rPr>
              <w:t>bilirubin</w:t>
            </w:r>
            <w:r>
              <w:rPr>
                <w:szCs w:val="20"/>
              </w:rPr>
              <w:t xml:space="preserve"> in the liver is under hormonal control.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EC622" w14:textId="77777777" w:rsidR="0026056C" w:rsidRDefault="005E54C0" w:rsidP="00E94B1A">
            <w:pPr>
              <w:spacing w:before="0" w:after="0"/>
              <w:rPr>
                <w:szCs w:val="20"/>
              </w:rPr>
            </w:pPr>
            <w:hyperlink r:id="rId8" w:tooltip="https://www.ncbi.nlm.nih.gov/pubmed/4334719" w:history="1">
              <w:r w:rsidR="003E16B7">
                <w:rPr>
                  <w:szCs w:val="20"/>
                </w:rPr>
                <w:t>4334719</w:t>
              </w:r>
            </w:hyperlink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3CCDC" w14:textId="77777777" w:rsidR="0026056C" w:rsidRDefault="003E16B7" w:rsidP="00E94B1A">
            <w:pPr>
              <w:spacing w:before="0" w:after="0"/>
              <w:rPr>
                <w:szCs w:val="20"/>
              </w:rPr>
            </w:pPr>
            <w:r>
              <w:rPr>
                <w:szCs w:val="20"/>
              </w:rPr>
              <w:t>Heme KG</w:t>
            </w:r>
          </w:p>
        </w:tc>
      </w:tr>
      <w:tr w:rsidR="0026056C" w14:paraId="3C93C662" w14:textId="77777777"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C088F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Hemolysis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11051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Increases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BE060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LDH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B7A66" w14:textId="77777777" w:rsidR="0026056C" w:rsidRDefault="003E16B7" w:rsidP="00E94B1A">
            <w:pPr>
              <w:spacing w:before="0" w:after="0"/>
              <w:jc w:val="both"/>
              <w:rPr>
                <w:szCs w:val="20"/>
              </w:rPr>
            </w:pPr>
            <w:r>
              <w:rPr>
                <w:b/>
                <w:bCs/>
                <w:szCs w:val="20"/>
                <w:highlight w:val="white"/>
              </w:rPr>
              <w:t>LDH</w:t>
            </w:r>
            <w:r>
              <w:rPr>
                <w:szCs w:val="20"/>
                <w:highlight w:val="white"/>
              </w:rPr>
              <w:t xml:space="preserve"> was strongly associated with markers normally elevated in either </w:t>
            </w:r>
            <w:r>
              <w:rPr>
                <w:b/>
                <w:bCs/>
                <w:szCs w:val="20"/>
                <w:highlight w:val="white"/>
              </w:rPr>
              <w:t>hemolysis</w:t>
            </w:r>
            <w:r>
              <w:rPr>
                <w:szCs w:val="20"/>
                <w:highlight w:val="white"/>
              </w:rPr>
              <w:t xml:space="preserve"> or liver disease, including aspartate aminotransferase (AST) </w:t>
            </w:r>
            <w:r>
              <w:rPr>
                <w:szCs w:val="20"/>
                <w:highlight w:val="white"/>
              </w:rPr>
              <w:lastRenderedPageBreak/>
              <w:t>and direct and indirect bilirubin.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36562" w14:textId="77777777" w:rsidR="0026056C" w:rsidRDefault="003E16B7" w:rsidP="00E94B1A">
            <w:pPr>
              <w:spacing w:before="0" w:after="0"/>
              <w:rPr>
                <w:szCs w:val="20"/>
              </w:rPr>
            </w:pPr>
            <w:r>
              <w:rPr>
                <w:szCs w:val="20"/>
              </w:rPr>
              <w:lastRenderedPageBreak/>
              <w:t>16291595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541A1" w14:textId="77777777" w:rsidR="0026056C" w:rsidRDefault="003E16B7" w:rsidP="00E94B1A">
            <w:pPr>
              <w:spacing w:before="0" w:after="0"/>
              <w:rPr>
                <w:szCs w:val="20"/>
              </w:rPr>
            </w:pPr>
            <w:r>
              <w:rPr>
                <w:szCs w:val="20"/>
              </w:rPr>
              <w:t>Heme KG</w:t>
            </w:r>
          </w:p>
        </w:tc>
      </w:tr>
      <w:tr w:rsidR="0026056C" w14:paraId="20063FA9" w14:textId="77777777"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E720D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COVID-19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A0508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Increases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FF979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LDH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24A49" w14:textId="77777777" w:rsidR="0026056C" w:rsidRDefault="003E16B7" w:rsidP="00E94B1A">
            <w:pPr>
              <w:spacing w:before="0" w:after="0"/>
              <w:jc w:val="both"/>
              <w:rPr>
                <w:szCs w:val="20"/>
              </w:rPr>
            </w:pPr>
            <w:r>
              <w:rPr>
                <w:szCs w:val="20"/>
                <w:highlight w:val="white"/>
              </w:rPr>
              <w:t>Levels of lactate dehydrogenase (</w:t>
            </w:r>
            <w:r>
              <w:rPr>
                <w:b/>
                <w:bCs/>
                <w:szCs w:val="20"/>
                <w:highlight w:val="white"/>
              </w:rPr>
              <w:t>LDH</w:t>
            </w:r>
            <w:r>
              <w:rPr>
                <w:szCs w:val="20"/>
                <w:highlight w:val="white"/>
              </w:rPr>
              <w:t>), concentrations of serum high-sensitivity C-reactive protein (</w:t>
            </w:r>
            <w:proofErr w:type="spellStart"/>
            <w:r>
              <w:rPr>
                <w:szCs w:val="20"/>
                <w:highlight w:val="white"/>
              </w:rPr>
              <w:t>hsCRP</w:t>
            </w:r>
            <w:proofErr w:type="spellEnd"/>
            <w:r>
              <w:rPr>
                <w:szCs w:val="20"/>
                <w:highlight w:val="white"/>
              </w:rPr>
              <w:t>), ferritin and D-dimer levels were markedly higher in severe cases than moderate cases.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89642" w14:textId="77777777" w:rsidR="0026056C" w:rsidRDefault="003E16B7" w:rsidP="00E94B1A">
            <w:pPr>
              <w:spacing w:before="0" w:after="0"/>
              <w:rPr>
                <w:szCs w:val="20"/>
              </w:rPr>
            </w:pPr>
            <w:r>
              <w:rPr>
                <w:szCs w:val="20"/>
              </w:rPr>
              <w:t>32217835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93440" w14:textId="77777777" w:rsidR="0026056C" w:rsidRDefault="003E16B7" w:rsidP="00E94B1A">
            <w:pPr>
              <w:spacing w:before="0" w:after="0"/>
              <w:rPr>
                <w:szCs w:val="20"/>
              </w:rPr>
            </w:pPr>
            <w:r>
              <w:rPr>
                <w:szCs w:val="20"/>
              </w:rPr>
              <w:t>COVID-19 KG</w:t>
            </w:r>
          </w:p>
        </w:tc>
      </w:tr>
    </w:tbl>
    <w:p w14:paraId="27710A05" w14:textId="77777777" w:rsidR="009F5EDE" w:rsidRDefault="009F5EDE">
      <w:pPr>
        <w:jc w:val="both"/>
        <w:rPr>
          <w:rFonts w:cs="Times New Roman"/>
          <w:b/>
          <w:bCs/>
          <w:szCs w:val="24"/>
        </w:rPr>
      </w:pPr>
    </w:p>
    <w:sectPr w:rsidR="009F5EDE">
      <w:footerReference w:type="even" r:id="rId9"/>
      <w:footerReference w:type="default" r:id="rId10"/>
      <w:headerReference w:type="first" r:id="rId11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13E9B8" w14:textId="77777777" w:rsidR="005E54C0" w:rsidRDefault="005E54C0">
      <w:pPr>
        <w:spacing w:before="0" w:after="0"/>
      </w:pPr>
      <w:r>
        <w:separator/>
      </w:r>
    </w:p>
  </w:endnote>
  <w:endnote w:type="continuationSeparator" w:id="0">
    <w:p w14:paraId="1B00FE33" w14:textId="77777777" w:rsidR="005E54C0" w:rsidRDefault="005E54C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D34CFB" w14:textId="77777777" w:rsidR="0026056C" w:rsidRDefault="003E16B7">
    <w:pPr>
      <w:rPr>
        <w:color w:val="C00000"/>
        <w:szCs w:val="24"/>
      </w:rPr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3CFBD3" wp14:editId="18958A59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50165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08759" cy="501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2BC1EB" w14:textId="77777777" w:rsidR="0026056C" w:rsidRDefault="003E16B7">
                          <w:pPr>
                            <w:jc w:val="right"/>
                            <w:rPr>
                              <w:color w:val="000000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6D2EE8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23CFBD3" id="Text Box 1" o:spid="_x0000_s1026" style="position:absolute;margin-left:67.6pt;margin-top:0;width:118.8pt;height:39.5pt;z-index:251659264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" filled="f" stroked="f" strokeweight=".5pt">
              <v:textbox style="mso-fit-shape-to-text:t">
                <w:txbxContent>
                  <w:p w14:paraId="592BC1EB" w14:textId="77777777" w:rsidR="0026056C" w:rsidRDefault="003E16B7">
                    <w:pPr>
                      <w:jc w:val="right"/>
                      <w:rPr>
                        <w:color w:val="000000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6D2EE8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7C0089" w14:textId="77777777" w:rsidR="0026056C" w:rsidRDefault="003E16B7">
    <w:pPr>
      <w:rPr>
        <w:b/>
        <w:sz w:val="20"/>
        <w:szCs w:val="24"/>
      </w:rPr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BE930C1" wp14:editId="7C002D55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501650"/>
              <wp:effectExtent l="0" t="0" r="0" b="0"/>
              <wp:wrapNone/>
              <wp:docPr id="2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08759" cy="501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6159DB" w14:textId="77777777" w:rsidR="0026056C" w:rsidRDefault="003E16B7">
                          <w:pPr>
                            <w:jc w:val="right"/>
                            <w:rPr>
                              <w:color w:val="000000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6D2EE8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13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BE930C1" id="Text Box 56" o:spid="_x0000_s1027" style="position:absolute;margin-left:67.6pt;margin-top:0;width:118.8pt;height:39.5pt;z-index:251646976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" filled="f" stroked="f" strokeweight=".5pt">
              <v:textbox style="mso-fit-shape-to-text:t">
                <w:txbxContent>
                  <w:p w14:paraId="6E6159DB" w14:textId="77777777" w:rsidR="0026056C" w:rsidRDefault="003E16B7">
                    <w:pPr>
                      <w:jc w:val="right"/>
                      <w:rPr>
                        <w:color w:val="000000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6D2EE8">
                      <w:rPr>
                        <w:noProof/>
                        <w:color w:val="000000" w:themeColor="text1"/>
                        <w:szCs w:val="40"/>
                      </w:rPr>
                      <w:t>13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8EA780" w14:textId="77777777" w:rsidR="005E54C0" w:rsidRDefault="005E54C0">
      <w:pPr>
        <w:spacing w:before="0" w:after="0"/>
      </w:pPr>
      <w:r>
        <w:separator/>
      </w:r>
    </w:p>
  </w:footnote>
  <w:footnote w:type="continuationSeparator" w:id="0">
    <w:p w14:paraId="52DD3D6F" w14:textId="77777777" w:rsidR="005E54C0" w:rsidRDefault="005E54C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B85061" w14:textId="009EA8CE" w:rsidR="0026056C" w:rsidRDefault="003E16B7"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710D2C"/>
    <w:multiLevelType w:val="hybridMultilevel"/>
    <w:tmpl w:val="E4786BD8"/>
    <w:lvl w:ilvl="0" w:tplc="AFD070E0">
      <w:start w:val="1"/>
      <w:numFmt w:val="bullet"/>
      <w:pStyle w:val="Aufzhlungszeichen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 w:tplc="BDF4D3B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6142C5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CE8300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8F84AB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16E50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60E3FC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A2E067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9ACA7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7315CF5"/>
    <w:multiLevelType w:val="multilevel"/>
    <w:tmpl w:val="C728E9FC"/>
    <w:lvl w:ilvl="0">
      <w:start w:val="1"/>
      <w:numFmt w:val="decimal"/>
      <w:pStyle w:val="berschrift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2" w15:restartNumberingAfterBreak="0">
    <w:nsid w:val="4ECF2816"/>
    <w:multiLevelType w:val="hybridMultilevel"/>
    <w:tmpl w:val="408A72DA"/>
    <w:lvl w:ilvl="0" w:tplc="8C9A78BC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C67C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51AB5D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BF2897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ECC8EC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D0ADFD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A12C24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11A7BD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8D08E2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56C"/>
    <w:rsid w:val="000018CA"/>
    <w:rsid w:val="00007A5E"/>
    <w:rsid w:val="00010D9E"/>
    <w:rsid w:val="00014E60"/>
    <w:rsid w:val="0003224A"/>
    <w:rsid w:val="0003453D"/>
    <w:rsid w:val="00037ADC"/>
    <w:rsid w:val="0005061C"/>
    <w:rsid w:val="00057017"/>
    <w:rsid w:val="000752DE"/>
    <w:rsid w:val="00080198"/>
    <w:rsid w:val="000838C8"/>
    <w:rsid w:val="00094DE4"/>
    <w:rsid w:val="000A561A"/>
    <w:rsid w:val="000A5944"/>
    <w:rsid w:val="000C1336"/>
    <w:rsid w:val="000C5B4C"/>
    <w:rsid w:val="000D0EE5"/>
    <w:rsid w:val="000D1568"/>
    <w:rsid w:val="000D2022"/>
    <w:rsid w:val="000D322A"/>
    <w:rsid w:val="000D7AEC"/>
    <w:rsid w:val="000E0E46"/>
    <w:rsid w:val="000F0397"/>
    <w:rsid w:val="000F498F"/>
    <w:rsid w:val="000F52F9"/>
    <w:rsid w:val="0010318E"/>
    <w:rsid w:val="00113607"/>
    <w:rsid w:val="00117FA0"/>
    <w:rsid w:val="001215F1"/>
    <w:rsid w:val="00122AA2"/>
    <w:rsid w:val="001311FD"/>
    <w:rsid w:val="001320E1"/>
    <w:rsid w:val="001348BB"/>
    <w:rsid w:val="001378B6"/>
    <w:rsid w:val="0014424D"/>
    <w:rsid w:val="001626DB"/>
    <w:rsid w:val="00173FD9"/>
    <w:rsid w:val="0018796D"/>
    <w:rsid w:val="00190DF4"/>
    <w:rsid w:val="00197919"/>
    <w:rsid w:val="001A1D3F"/>
    <w:rsid w:val="001A34C5"/>
    <w:rsid w:val="001A4EC8"/>
    <w:rsid w:val="001A4EDC"/>
    <w:rsid w:val="001A6F35"/>
    <w:rsid w:val="001B2F04"/>
    <w:rsid w:val="001B319F"/>
    <w:rsid w:val="001B3A69"/>
    <w:rsid w:val="001C3995"/>
    <w:rsid w:val="001D05F9"/>
    <w:rsid w:val="001E0D76"/>
    <w:rsid w:val="001E30FB"/>
    <w:rsid w:val="001E4FC7"/>
    <w:rsid w:val="001F3662"/>
    <w:rsid w:val="00200157"/>
    <w:rsid w:val="0021066B"/>
    <w:rsid w:val="00222137"/>
    <w:rsid w:val="0022594C"/>
    <w:rsid w:val="00231669"/>
    <w:rsid w:val="0024748E"/>
    <w:rsid w:val="0025517A"/>
    <w:rsid w:val="00256AB2"/>
    <w:rsid w:val="0026056C"/>
    <w:rsid w:val="00270B1B"/>
    <w:rsid w:val="002738E2"/>
    <w:rsid w:val="00280112"/>
    <w:rsid w:val="002827FE"/>
    <w:rsid w:val="00284782"/>
    <w:rsid w:val="00291C57"/>
    <w:rsid w:val="0029273F"/>
    <w:rsid w:val="00296080"/>
    <w:rsid w:val="002A32E9"/>
    <w:rsid w:val="002C1345"/>
    <w:rsid w:val="002C14C7"/>
    <w:rsid w:val="002C67B3"/>
    <w:rsid w:val="002D24D9"/>
    <w:rsid w:val="002D43BD"/>
    <w:rsid w:val="002D5D3A"/>
    <w:rsid w:val="002E0197"/>
    <w:rsid w:val="002E42B4"/>
    <w:rsid w:val="003033AB"/>
    <w:rsid w:val="003070EA"/>
    <w:rsid w:val="00317DEF"/>
    <w:rsid w:val="00320F81"/>
    <w:rsid w:val="00327F84"/>
    <w:rsid w:val="00335C51"/>
    <w:rsid w:val="003361BB"/>
    <w:rsid w:val="00336FD6"/>
    <w:rsid w:val="00346375"/>
    <w:rsid w:val="00357BA6"/>
    <w:rsid w:val="00357D91"/>
    <w:rsid w:val="003618B9"/>
    <w:rsid w:val="00365053"/>
    <w:rsid w:val="003721AD"/>
    <w:rsid w:val="0038511D"/>
    <w:rsid w:val="003875B1"/>
    <w:rsid w:val="0039278F"/>
    <w:rsid w:val="0039321C"/>
    <w:rsid w:val="00393B0B"/>
    <w:rsid w:val="00396B29"/>
    <w:rsid w:val="003A4228"/>
    <w:rsid w:val="003B22FF"/>
    <w:rsid w:val="003C1DBC"/>
    <w:rsid w:val="003C2940"/>
    <w:rsid w:val="003D0A76"/>
    <w:rsid w:val="003D2CBB"/>
    <w:rsid w:val="003E16B7"/>
    <w:rsid w:val="003E3B86"/>
    <w:rsid w:val="003E571C"/>
    <w:rsid w:val="003F04F4"/>
    <w:rsid w:val="00400F6A"/>
    <w:rsid w:val="00417265"/>
    <w:rsid w:val="0042604D"/>
    <w:rsid w:val="00427BB9"/>
    <w:rsid w:val="00431368"/>
    <w:rsid w:val="004314FC"/>
    <w:rsid w:val="004353CD"/>
    <w:rsid w:val="0043681F"/>
    <w:rsid w:val="00442D62"/>
    <w:rsid w:val="004444A3"/>
    <w:rsid w:val="004500A4"/>
    <w:rsid w:val="00451CF7"/>
    <w:rsid w:val="00460125"/>
    <w:rsid w:val="00475467"/>
    <w:rsid w:val="0048339A"/>
    <w:rsid w:val="00493281"/>
    <w:rsid w:val="004A12A3"/>
    <w:rsid w:val="004A72F5"/>
    <w:rsid w:val="004B02BB"/>
    <w:rsid w:val="004B07B9"/>
    <w:rsid w:val="004B6B6D"/>
    <w:rsid w:val="004C0CE0"/>
    <w:rsid w:val="004C1135"/>
    <w:rsid w:val="004C3805"/>
    <w:rsid w:val="004C6BB2"/>
    <w:rsid w:val="004D2E02"/>
    <w:rsid w:val="004E075C"/>
    <w:rsid w:val="004E1773"/>
    <w:rsid w:val="004E2D91"/>
    <w:rsid w:val="004E38B2"/>
    <w:rsid w:val="004F51EA"/>
    <w:rsid w:val="00500A61"/>
    <w:rsid w:val="00512891"/>
    <w:rsid w:val="00513380"/>
    <w:rsid w:val="00523E2F"/>
    <w:rsid w:val="005260E9"/>
    <w:rsid w:val="005279B4"/>
    <w:rsid w:val="005354D4"/>
    <w:rsid w:val="005366B3"/>
    <w:rsid w:val="00537675"/>
    <w:rsid w:val="00540832"/>
    <w:rsid w:val="0054190C"/>
    <w:rsid w:val="00541F58"/>
    <w:rsid w:val="00545DA3"/>
    <w:rsid w:val="00576EF3"/>
    <w:rsid w:val="00577F8C"/>
    <w:rsid w:val="0058570F"/>
    <w:rsid w:val="00586D6F"/>
    <w:rsid w:val="00591804"/>
    <w:rsid w:val="00592C2A"/>
    <w:rsid w:val="00593C0F"/>
    <w:rsid w:val="005A277A"/>
    <w:rsid w:val="005A4305"/>
    <w:rsid w:val="005A4FBA"/>
    <w:rsid w:val="005B0A1B"/>
    <w:rsid w:val="005B388B"/>
    <w:rsid w:val="005B4699"/>
    <w:rsid w:val="005B588B"/>
    <w:rsid w:val="005C5B3E"/>
    <w:rsid w:val="005D7697"/>
    <w:rsid w:val="005D7880"/>
    <w:rsid w:val="005D794A"/>
    <w:rsid w:val="005E25AD"/>
    <w:rsid w:val="005E54C0"/>
    <w:rsid w:val="005E73E3"/>
    <w:rsid w:val="005F1B9A"/>
    <w:rsid w:val="005F7C91"/>
    <w:rsid w:val="006055E7"/>
    <w:rsid w:val="00606EC8"/>
    <w:rsid w:val="0061023B"/>
    <w:rsid w:val="00611B9E"/>
    <w:rsid w:val="00620377"/>
    <w:rsid w:val="00620DB3"/>
    <w:rsid w:val="0062164A"/>
    <w:rsid w:val="0063182B"/>
    <w:rsid w:val="00632D49"/>
    <w:rsid w:val="0063592D"/>
    <w:rsid w:val="00635B87"/>
    <w:rsid w:val="0064116A"/>
    <w:rsid w:val="00651DC3"/>
    <w:rsid w:val="00653909"/>
    <w:rsid w:val="006553D3"/>
    <w:rsid w:val="0065599D"/>
    <w:rsid w:val="00662964"/>
    <w:rsid w:val="00665549"/>
    <w:rsid w:val="00665E37"/>
    <w:rsid w:val="00665F1D"/>
    <w:rsid w:val="006753A1"/>
    <w:rsid w:val="0067564B"/>
    <w:rsid w:val="00675B1D"/>
    <w:rsid w:val="00686397"/>
    <w:rsid w:val="006913EC"/>
    <w:rsid w:val="006A2E4E"/>
    <w:rsid w:val="006A5B5B"/>
    <w:rsid w:val="006B1E60"/>
    <w:rsid w:val="006B3ECB"/>
    <w:rsid w:val="006B58C5"/>
    <w:rsid w:val="006B6024"/>
    <w:rsid w:val="006C1884"/>
    <w:rsid w:val="006C698E"/>
    <w:rsid w:val="006D2EE8"/>
    <w:rsid w:val="006E0988"/>
    <w:rsid w:val="006E13F9"/>
    <w:rsid w:val="006E4699"/>
    <w:rsid w:val="006E73FD"/>
    <w:rsid w:val="00701B83"/>
    <w:rsid w:val="00702981"/>
    <w:rsid w:val="00713574"/>
    <w:rsid w:val="00713A1A"/>
    <w:rsid w:val="007154B7"/>
    <w:rsid w:val="00722403"/>
    <w:rsid w:val="00730F14"/>
    <w:rsid w:val="00733AC3"/>
    <w:rsid w:val="00734C33"/>
    <w:rsid w:val="00735C4E"/>
    <w:rsid w:val="007454E9"/>
    <w:rsid w:val="00752477"/>
    <w:rsid w:val="00756266"/>
    <w:rsid w:val="00760567"/>
    <w:rsid w:val="007616FB"/>
    <w:rsid w:val="00762F76"/>
    <w:rsid w:val="00765090"/>
    <w:rsid w:val="00771709"/>
    <w:rsid w:val="00775AA0"/>
    <w:rsid w:val="00780E96"/>
    <w:rsid w:val="0078113D"/>
    <w:rsid w:val="007821DF"/>
    <w:rsid w:val="0079465C"/>
    <w:rsid w:val="007A2E76"/>
    <w:rsid w:val="007A3D0E"/>
    <w:rsid w:val="007A4C9C"/>
    <w:rsid w:val="007B190D"/>
    <w:rsid w:val="007C2F71"/>
    <w:rsid w:val="007C464C"/>
    <w:rsid w:val="007C6926"/>
    <w:rsid w:val="007D1F93"/>
    <w:rsid w:val="007E0B51"/>
    <w:rsid w:val="007F1216"/>
    <w:rsid w:val="007F46D5"/>
    <w:rsid w:val="00803755"/>
    <w:rsid w:val="008051F7"/>
    <w:rsid w:val="00806FAB"/>
    <w:rsid w:val="00814A86"/>
    <w:rsid w:val="008161C6"/>
    <w:rsid w:val="008204B4"/>
    <w:rsid w:val="00822B39"/>
    <w:rsid w:val="008263FA"/>
    <w:rsid w:val="008345DB"/>
    <w:rsid w:val="00836A33"/>
    <w:rsid w:val="00837B05"/>
    <w:rsid w:val="00840333"/>
    <w:rsid w:val="0085455D"/>
    <w:rsid w:val="00854DDE"/>
    <w:rsid w:val="0085581F"/>
    <w:rsid w:val="00857F91"/>
    <w:rsid w:val="00862FF9"/>
    <w:rsid w:val="0087383E"/>
    <w:rsid w:val="00874389"/>
    <w:rsid w:val="0087731E"/>
    <w:rsid w:val="00877B10"/>
    <w:rsid w:val="00880E01"/>
    <w:rsid w:val="0088427C"/>
    <w:rsid w:val="00886857"/>
    <w:rsid w:val="0089459E"/>
    <w:rsid w:val="00894BF0"/>
    <w:rsid w:val="0089588C"/>
    <w:rsid w:val="008A0459"/>
    <w:rsid w:val="008A0AD9"/>
    <w:rsid w:val="008A353D"/>
    <w:rsid w:val="008A4F0F"/>
    <w:rsid w:val="008A55D0"/>
    <w:rsid w:val="008B1C4C"/>
    <w:rsid w:val="008B24E3"/>
    <w:rsid w:val="008B5297"/>
    <w:rsid w:val="008D0260"/>
    <w:rsid w:val="008D54F8"/>
    <w:rsid w:val="008D7797"/>
    <w:rsid w:val="008E03E3"/>
    <w:rsid w:val="008E5CC3"/>
    <w:rsid w:val="008F6263"/>
    <w:rsid w:val="00904CE1"/>
    <w:rsid w:val="00904CE7"/>
    <w:rsid w:val="00905DB1"/>
    <w:rsid w:val="00905E14"/>
    <w:rsid w:val="00915068"/>
    <w:rsid w:val="00915520"/>
    <w:rsid w:val="009156E1"/>
    <w:rsid w:val="00916D6D"/>
    <w:rsid w:val="00931EB6"/>
    <w:rsid w:val="00947071"/>
    <w:rsid w:val="00947CC2"/>
    <w:rsid w:val="00956996"/>
    <w:rsid w:val="00971EBF"/>
    <w:rsid w:val="009A1A1D"/>
    <w:rsid w:val="009A6F5A"/>
    <w:rsid w:val="009A723C"/>
    <w:rsid w:val="009B012A"/>
    <w:rsid w:val="009B2691"/>
    <w:rsid w:val="009B7C9C"/>
    <w:rsid w:val="009C5E08"/>
    <w:rsid w:val="009C7B72"/>
    <w:rsid w:val="009C7F85"/>
    <w:rsid w:val="009E3234"/>
    <w:rsid w:val="009F5EDE"/>
    <w:rsid w:val="009F7983"/>
    <w:rsid w:val="00A01830"/>
    <w:rsid w:val="00A17D67"/>
    <w:rsid w:val="00A24C3F"/>
    <w:rsid w:val="00A2611D"/>
    <w:rsid w:val="00A30E30"/>
    <w:rsid w:val="00A32211"/>
    <w:rsid w:val="00A36910"/>
    <w:rsid w:val="00A44E9A"/>
    <w:rsid w:val="00A45D89"/>
    <w:rsid w:val="00A46C14"/>
    <w:rsid w:val="00A53D08"/>
    <w:rsid w:val="00A611DE"/>
    <w:rsid w:val="00A71439"/>
    <w:rsid w:val="00A84D27"/>
    <w:rsid w:val="00A90F92"/>
    <w:rsid w:val="00A95F7A"/>
    <w:rsid w:val="00AA7709"/>
    <w:rsid w:val="00AC0490"/>
    <w:rsid w:val="00AC29AE"/>
    <w:rsid w:val="00AD1BCE"/>
    <w:rsid w:val="00AD2076"/>
    <w:rsid w:val="00AF4346"/>
    <w:rsid w:val="00AF7F43"/>
    <w:rsid w:val="00B0577E"/>
    <w:rsid w:val="00B346D7"/>
    <w:rsid w:val="00B4110F"/>
    <w:rsid w:val="00B56017"/>
    <w:rsid w:val="00B56B74"/>
    <w:rsid w:val="00B60DDA"/>
    <w:rsid w:val="00B62DE5"/>
    <w:rsid w:val="00B636B5"/>
    <w:rsid w:val="00B7235C"/>
    <w:rsid w:val="00B73458"/>
    <w:rsid w:val="00B92707"/>
    <w:rsid w:val="00B932D8"/>
    <w:rsid w:val="00B974F9"/>
    <w:rsid w:val="00B97C60"/>
    <w:rsid w:val="00BA0E54"/>
    <w:rsid w:val="00BD1BD1"/>
    <w:rsid w:val="00BE2207"/>
    <w:rsid w:val="00BE2EAE"/>
    <w:rsid w:val="00BF05DC"/>
    <w:rsid w:val="00BF14CB"/>
    <w:rsid w:val="00BF1A56"/>
    <w:rsid w:val="00BF41AB"/>
    <w:rsid w:val="00C013C8"/>
    <w:rsid w:val="00C0356A"/>
    <w:rsid w:val="00C07E5E"/>
    <w:rsid w:val="00C12310"/>
    <w:rsid w:val="00C14637"/>
    <w:rsid w:val="00C2042D"/>
    <w:rsid w:val="00C22804"/>
    <w:rsid w:val="00C24D7D"/>
    <w:rsid w:val="00C2748A"/>
    <w:rsid w:val="00C33240"/>
    <w:rsid w:val="00C467A0"/>
    <w:rsid w:val="00C56232"/>
    <w:rsid w:val="00C667FE"/>
    <w:rsid w:val="00C66F76"/>
    <w:rsid w:val="00C84802"/>
    <w:rsid w:val="00C84979"/>
    <w:rsid w:val="00CA2E0C"/>
    <w:rsid w:val="00CB03CC"/>
    <w:rsid w:val="00CB1086"/>
    <w:rsid w:val="00CB3F37"/>
    <w:rsid w:val="00CB6B25"/>
    <w:rsid w:val="00CC0256"/>
    <w:rsid w:val="00CC41D7"/>
    <w:rsid w:val="00CC6AA5"/>
    <w:rsid w:val="00CD10B0"/>
    <w:rsid w:val="00CD7DE1"/>
    <w:rsid w:val="00CD7EED"/>
    <w:rsid w:val="00CE15A4"/>
    <w:rsid w:val="00CE223E"/>
    <w:rsid w:val="00CE3A24"/>
    <w:rsid w:val="00CE4627"/>
    <w:rsid w:val="00CF38B0"/>
    <w:rsid w:val="00CF6BFB"/>
    <w:rsid w:val="00D102CE"/>
    <w:rsid w:val="00D12D80"/>
    <w:rsid w:val="00D26806"/>
    <w:rsid w:val="00D30F97"/>
    <w:rsid w:val="00D31743"/>
    <w:rsid w:val="00D32731"/>
    <w:rsid w:val="00D41354"/>
    <w:rsid w:val="00D41D31"/>
    <w:rsid w:val="00D43826"/>
    <w:rsid w:val="00D6341E"/>
    <w:rsid w:val="00D63AB8"/>
    <w:rsid w:val="00D64704"/>
    <w:rsid w:val="00D6633E"/>
    <w:rsid w:val="00D70E02"/>
    <w:rsid w:val="00D771E1"/>
    <w:rsid w:val="00D80636"/>
    <w:rsid w:val="00D817BA"/>
    <w:rsid w:val="00D81F9A"/>
    <w:rsid w:val="00DA7C0A"/>
    <w:rsid w:val="00DB107D"/>
    <w:rsid w:val="00DC17EA"/>
    <w:rsid w:val="00DC1ADB"/>
    <w:rsid w:val="00DC247C"/>
    <w:rsid w:val="00DD1C67"/>
    <w:rsid w:val="00DD2221"/>
    <w:rsid w:val="00DD5C93"/>
    <w:rsid w:val="00DD63DB"/>
    <w:rsid w:val="00DD7DEA"/>
    <w:rsid w:val="00DE0981"/>
    <w:rsid w:val="00DF0A27"/>
    <w:rsid w:val="00DF29CF"/>
    <w:rsid w:val="00DF427E"/>
    <w:rsid w:val="00DF4C0D"/>
    <w:rsid w:val="00E057FC"/>
    <w:rsid w:val="00E11F14"/>
    <w:rsid w:val="00E14188"/>
    <w:rsid w:val="00E14AB2"/>
    <w:rsid w:val="00E14B08"/>
    <w:rsid w:val="00E162D8"/>
    <w:rsid w:val="00E21396"/>
    <w:rsid w:val="00E23BB7"/>
    <w:rsid w:val="00E25085"/>
    <w:rsid w:val="00E31265"/>
    <w:rsid w:val="00E36E48"/>
    <w:rsid w:val="00E419ED"/>
    <w:rsid w:val="00E621E9"/>
    <w:rsid w:val="00E67F9E"/>
    <w:rsid w:val="00E70DB5"/>
    <w:rsid w:val="00E71867"/>
    <w:rsid w:val="00E726B3"/>
    <w:rsid w:val="00E83665"/>
    <w:rsid w:val="00E863ED"/>
    <w:rsid w:val="00E87FC8"/>
    <w:rsid w:val="00E92089"/>
    <w:rsid w:val="00E94B1A"/>
    <w:rsid w:val="00E958C2"/>
    <w:rsid w:val="00E97AA6"/>
    <w:rsid w:val="00EA29A4"/>
    <w:rsid w:val="00EA5635"/>
    <w:rsid w:val="00EA64B5"/>
    <w:rsid w:val="00EB194F"/>
    <w:rsid w:val="00ED06E3"/>
    <w:rsid w:val="00ED6DBB"/>
    <w:rsid w:val="00EE0359"/>
    <w:rsid w:val="00EF3A55"/>
    <w:rsid w:val="00EF71BB"/>
    <w:rsid w:val="00F04844"/>
    <w:rsid w:val="00F12651"/>
    <w:rsid w:val="00F153E9"/>
    <w:rsid w:val="00F350EA"/>
    <w:rsid w:val="00F41BA0"/>
    <w:rsid w:val="00F4308D"/>
    <w:rsid w:val="00F477F4"/>
    <w:rsid w:val="00F5590A"/>
    <w:rsid w:val="00F65711"/>
    <w:rsid w:val="00F74313"/>
    <w:rsid w:val="00F80327"/>
    <w:rsid w:val="00F80B80"/>
    <w:rsid w:val="00F80CB8"/>
    <w:rsid w:val="00F8237C"/>
    <w:rsid w:val="00F827A1"/>
    <w:rsid w:val="00F82DB7"/>
    <w:rsid w:val="00F835A2"/>
    <w:rsid w:val="00F90E0B"/>
    <w:rsid w:val="00F91564"/>
    <w:rsid w:val="00FA5B97"/>
    <w:rsid w:val="00FB326A"/>
    <w:rsid w:val="00FB42E1"/>
    <w:rsid w:val="00FB7044"/>
    <w:rsid w:val="00FC233D"/>
    <w:rsid w:val="00FC3EB0"/>
    <w:rsid w:val="00FC41ED"/>
    <w:rsid w:val="00FC7F76"/>
    <w:rsid w:val="00FD0BE7"/>
    <w:rsid w:val="00FD2259"/>
    <w:rsid w:val="00FE0EC7"/>
    <w:rsid w:val="00FE7057"/>
    <w:rsid w:val="00FF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56C8F6"/>
  <w15:docId w15:val="{7C0A2946-2A09-469B-86A1-3B2A22DE4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szCs w:val="22"/>
        <w:lang w:val="en-US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120" w:after="240"/>
    </w:pPr>
    <w:rPr>
      <w:rFonts w:eastAsia="Calibri" w:cs="Calibri"/>
      <w:sz w:val="24"/>
    </w:rPr>
  </w:style>
  <w:style w:type="paragraph" w:styleId="berschrift1">
    <w:name w:val="heading 1"/>
    <w:basedOn w:val="Listenabsatz"/>
    <w:next w:val="Standard"/>
    <w:link w:val="berschrift1Zchn"/>
    <w:uiPriority w:val="2"/>
    <w:qFormat/>
    <w:pPr>
      <w:numPr>
        <w:numId w:val="1"/>
      </w:numPr>
      <w:spacing w:before="240"/>
      <w:contextualSpacing w:val="0"/>
      <w:outlineLvl w:val="0"/>
    </w:pPr>
    <w:rPr>
      <w:b/>
    </w:rPr>
  </w:style>
  <w:style w:type="paragraph" w:styleId="berschrift2">
    <w:name w:val="heading 2"/>
    <w:basedOn w:val="berschrift1"/>
    <w:next w:val="Standard"/>
    <w:link w:val="berschrift2Zchn"/>
    <w:uiPriority w:val="2"/>
    <w:qFormat/>
    <w:pPr>
      <w:numPr>
        <w:ilvl w:val="1"/>
      </w:numPr>
      <w:spacing w:after="200"/>
      <w:outlineLvl w:val="1"/>
    </w:pPr>
  </w:style>
  <w:style w:type="paragraph" w:styleId="berschrift3">
    <w:name w:val="heading 3"/>
    <w:basedOn w:val="Standard"/>
    <w:next w:val="Standard"/>
    <w:link w:val="berschrift3Zchn"/>
    <w:uiPriority w:val="2"/>
    <w:qFormat/>
    <w:pPr>
      <w:keepNext/>
      <w:keepLines/>
      <w:numPr>
        <w:ilvl w:val="2"/>
        <w:numId w:val="1"/>
      </w:numPr>
      <w:spacing w:before="40" w:after="120"/>
      <w:outlineLvl w:val="2"/>
    </w:pPr>
    <w:rPr>
      <w:rFonts w:eastAsia="Cambria" w:cs="Cambria"/>
      <w:b/>
      <w:szCs w:val="24"/>
    </w:rPr>
  </w:style>
  <w:style w:type="paragraph" w:styleId="berschrift4">
    <w:name w:val="heading 4"/>
    <w:basedOn w:val="berschrift3"/>
    <w:next w:val="Standard"/>
    <w:link w:val="berschrift4Zchn"/>
    <w:uiPriority w:val="2"/>
    <w:qFormat/>
    <w:pPr>
      <w:numPr>
        <w:ilvl w:val="3"/>
      </w:numPr>
      <w:outlineLvl w:val="3"/>
    </w:pPr>
    <w:rPr>
      <w:iCs/>
    </w:rPr>
  </w:style>
  <w:style w:type="paragraph" w:styleId="berschrift5">
    <w:name w:val="heading 5"/>
    <w:basedOn w:val="berschrift4"/>
    <w:next w:val="Standard"/>
    <w:link w:val="berschrift5Zchn"/>
    <w:uiPriority w:val="2"/>
    <w:qFormat/>
    <w:pPr>
      <w:numPr>
        <w:ilvl w:val="4"/>
      </w:numPr>
      <w:outlineLvl w:val="4"/>
    </w:p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Listenabsatz">
    <w:name w:val="List Paragraph"/>
    <w:basedOn w:val="Standard"/>
    <w:uiPriority w:val="3"/>
    <w:qFormat/>
    <w:pPr>
      <w:numPr>
        <w:numId w:val="2"/>
      </w:numPr>
      <w:contextualSpacing/>
    </w:pPr>
    <w:rPr>
      <w:rFonts w:eastAsia="Cambria" w:cs="Times New Roman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KeinLeerraum"/>
    <w:uiPriority w:val="35"/>
    <w:unhideWhenUsed/>
    <w:qFormat/>
    <w:pPr>
      <w:keepNext/>
    </w:pPr>
    <w:rPr>
      <w:rFonts w:cs="Times New Roman"/>
      <w:b/>
      <w:bCs/>
      <w:szCs w:val="24"/>
    </w:rPr>
  </w:style>
  <w:style w:type="paragraph" w:styleId="KeinLeerraum">
    <w:name w:val="No Spacing"/>
    <w:uiPriority w:val="99"/>
    <w:unhideWhenUsed/>
    <w:qFormat/>
    <w:rPr>
      <w:rFonts w:eastAsia="Calibri" w:cs="Calibri"/>
      <w:sz w:val="24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Pr>
      <w:b/>
      <w:bCs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/>
    </w:pPr>
    <w:rPr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844"/>
        <w:tab w:val="right" w:pos="9689"/>
      </w:tabs>
      <w:spacing w:after="0"/>
    </w:pPr>
  </w:style>
  <w:style w:type="paragraph" w:styleId="Funotentext">
    <w:name w:val="footnote text"/>
    <w:basedOn w:val="Standard"/>
    <w:link w:val="FunotentextZchn"/>
    <w:uiPriority w:val="99"/>
    <w:semiHidden/>
    <w:unhideWhenUsed/>
    <w:qFormat/>
    <w:pPr>
      <w:spacing w:after="0"/>
    </w:pPr>
    <w:rPr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844"/>
        <w:tab w:val="right" w:pos="9689"/>
      </w:tabs>
    </w:pPr>
    <w:rPr>
      <w:b/>
    </w:rPr>
  </w:style>
  <w:style w:type="paragraph" w:styleId="HTMLVorformatiert">
    <w:name w:val="HTML Preformatted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eastAsia="zh-CN"/>
    </w:rPr>
  </w:style>
  <w:style w:type="paragraph" w:styleId="StandardWeb">
    <w:name w:val="Normal (Web)"/>
    <w:basedOn w:val="Standard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Untertitel">
    <w:name w:val="Subtitle"/>
    <w:basedOn w:val="Standard"/>
    <w:next w:val="Standard"/>
    <w:link w:val="UntertitelZchn"/>
    <w:uiPriority w:val="99"/>
    <w:unhideWhenUsed/>
    <w:qFormat/>
    <w:pPr>
      <w:spacing w:before="240"/>
    </w:pPr>
    <w:rPr>
      <w:rFonts w:cs="Times New Roman"/>
      <w:b/>
      <w:szCs w:val="24"/>
    </w:rPr>
  </w:style>
  <w:style w:type="paragraph" w:styleId="Titel">
    <w:name w:val="Title"/>
    <w:basedOn w:val="Standard"/>
    <w:next w:val="Standard"/>
    <w:link w:val="TitelZchn"/>
    <w:qFormat/>
    <w:pPr>
      <w:spacing w:before="240" w:after="360"/>
      <w:jc w:val="center"/>
    </w:pPr>
    <w:rPr>
      <w:rFonts w:cs="Times New Roman"/>
      <w:b/>
      <w:sz w:val="32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character" w:styleId="Hervorhebung">
    <w:name w:val="Emphasis"/>
    <w:basedOn w:val="Absatz-Standardschriftart"/>
    <w:uiPriority w:val="20"/>
    <w:qFormat/>
    <w:rPr>
      <w:rFonts w:ascii="Times New Roman" w:hAnsi="Times New Roman"/>
      <w:i/>
      <w:iCs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qFormat/>
    <w:rPr>
      <w:color w:val="0000FF"/>
      <w:u w:val="single"/>
    </w:rPr>
  </w:style>
  <w:style w:type="character" w:styleId="Zeilennummer">
    <w:name w:val="line number"/>
    <w:basedOn w:val="Absatz-Standardschriftart"/>
    <w:uiPriority w:val="99"/>
    <w:semiHidden/>
    <w:unhideWhenUsed/>
    <w:qFormat/>
  </w:style>
  <w:style w:type="character" w:styleId="Fett">
    <w:name w:val="Strong"/>
    <w:basedOn w:val="Absatz-Standardschriftart"/>
    <w:uiPriority w:val="22"/>
    <w:qFormat/>
    <w:rPr>
      <w:rFonts w:ascii="Times New Roman" w:hAnsi="Times New Roman"/>
      <w:b/>
      <w:bCs/>
    </w:rPr>
  </w:style>
  <w:style w:type="table" w:styleId="Tabellenraster">
    <w:name w:val="Table Grid"/>
    <w:basedOn w:val="NormaleTabelle"/>
    <w:uiPriority w:val="59"/>
    <w:qFormat/>
    <w:rPr>
      <w:rFonts w:ascii="Cambria" w:hAnsi="Cambri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qFormat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basedOn w:val="Untertitel"/>
    <w:next w:val="Standard"/>
    <w:uiPriority w:val="1"/>
    <w:qFormat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BookTitle1">
    <w:name w:val="Book Title1"/>
    <w:basedOn w:val="Absatz-Standardschriftart"/>
    <w:uiPriority w:val="33"/>
    <w:qFormat/>
    <w:rPr>
      <w:rFonts w:ascii="Times New Roman" w:hAnsi="Times New Roman"/>
      <w:b/>
      <w:bCs/>
      <w:i/>
      <w:iCs/>
      <w:spacing w:val="5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Times New Roman" w:hAnsi="Times New Roman"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Pr>
      <w:rFonts w:ascii="Times New Roman" w:hAnsi="Times New Roman"/>
      <w:b/>
      <w:bCs/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Pr>
      <w:rFonts w:ascii="Times New Roman" w:hAnsi="Times New Roman"/>
      <w:sz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rFonts w:ascii="Times New Roman" w:hAnsi="Times New Roman"/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Pr>
      <w:rFonts w:ascii="Times New Roman" w:hAnsi="Times New Roman"/>
      <w:b/>
      <w:sz w:val="24"/>
    </w:rPr>
  </w:style>
  <w:style w:type="character" w:customStyle="1" w:styleId="IntenseEmphasis1">
    <w:name w:val="Intense Emphasis1"/>
    <w:basedOn w:val="Absatz-Standardschriftart"/>
    <w:uiPriority w:val="21"/>
    <w:unhideWhenUsed/>
    <w:qFormat/>
    <w:rPr>
      <w:rFonts w:ascii="Times New Roman" w:hAnsi="Times New Roman"/>
      <w:i/>
      <w:iCs/>
      <w:color w:val="auto"/>
    </w:rPr>
  </w:style>
  <w:style w:type="character" w:customStyle="1" w:styleId="IntenseReference1">
    <w:name w:val="Intense Reference1"/>
    <w:basedOn w:val="Absatz-Standardschriftart"/>
    <w:uiPriority w:val="32"/>
    <w:qFormat/>
    <w:rPr>
      <w:b/>
      <w:bCs/>
      <w:smallCaps/>
      <w:color w:val="auto"/>
      <w:spacing w:val="5"/>
    </w:rPr>
  </w:style>
  <w:style w:type="character" w:customStyle="1" w:styleId="berschrift3Zchn">
    <w:name w:val="Überschrift 3 Zchn"/>
    <w:basedOn w:val="Absatz-Standardschriftart"/>
    <w:link w:val="berschrift3"/>
    <w:uiPriority w:val="2"/>
    <w:rPr>
      <w:rFonts w:ascii="Times New Roman" w:eastAsia="Cambria" w:hAnsi="Times New Roman" w:cs="Cambria"/>
      <w:b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2"/>
    <w:qFormat/>
    <w:rPr>
      <w:rFonts w:ascii="Times New Roman" w:eastAsia="Cambria" w:hAnsi="Times New Roman" w:cs="Cambria"/>
      <w:b/>
      <w:iCs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2"/>
    <w:qFormat/>
    <w:rPr>
      <w:rFonts w:ascii="Times New Roman" w:eastAsia="Cambria" w:hAnsi="Times New Roman" w:cs="Cambria"/>
      <w:b/>
      <w:iCs/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qFormat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SubtleEmphasis1">
    <w:name w:val="Subtle Emphasis1"/>
    <w:basedOn w:val="Absatz-Standardschriftart"/>
    <w:uiPriority w:val="19"/>
    <w:qFormat/>
    <w:rPr>
      <w:rFonts w:ascii="Times New Roman" w:hAnsi="Times New Roman"/>
      <w:i/>
      <w:iCs/>
      <w:color w:val="404040" w:themeColor="text1" w:themeTint="BF"/>
    </w:rPr>
  </w:style>
  <w:style w:type="character" w:customStyle="1" w:styleId="TitelZchn">
    <w:name w:val="Titel Zchn"/>
    <w:basedOn w:val="Absatz-Standardschriftart"/>
    <w:link w:val="Titel"/>
    <w:qFormat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el"/>
    <w:next w:val="Titel"/>
    <w:qFormat/>
    <w:pPr>
      <w:spacing w:after="120"/>
    </w:pPr>
    <w:rPr>
      <w:i/>
    </w:rPr>
  </w:style>
  <w:style w:type="paragraph" w:styleId="berarbeitung">
    <w:name w:val="Revision"/>
    <w:hidden/>
    <w:uiPriority w:val="99"/>
    <w:semiHidden/>
    <w:rPr>
      <w:rFonts w:eastAsia="Calibri" w:cs="Calibri"/>
      <w:sz w:val="24"/>
    </w:rPr>
  </w:style>
  <w:style w:type="paragraph" w:styleId="Aufzhlungszeichen">
    <w:name w:val="List Bullet"/>
    <w:basedOn w:val="Standard"/>
    <w:semiHidden/>
    <w:pPr>
      <w:numPr>
        <w:numId w:val="3"/>
      </w:numPr>
      <w:spacing w:before="0" w:after="0" w:line="480" w:lineRule="auto"/>
      <w:contextualSpacing/>
    </w:pPr>
    <w:rPr>
      <w:rFonts w:ascii="Arial" w:eastAsia="Times New Roman" w:hAnsi="Arial" w:cs="Times New Roman"/>
      <w:sz w:val="20"/>
    </w:rPr>
  </w:style>
  <w:style w:type="paragraph" w:customStyle="1" w:styleId="SMHeading">
    <w:name w:val="SM Heading"/>
    <w:basedOn w:val="berschrift1"/>
    <w:qFormat/>
    <w:pPr>
      <w:keepNext/>
      <w:numPr>
        <w:numId w:val="0"/>
      </w:numPr>
      <w:tabs>
        <w:tab w:val="clear" w:pos="567"/>
      </w:tabs>
      <w:spacing w:after="60" w:line="480" w:lineRule="auto"/>
    </w:pPr>
    <w:rPr>
      <w:rFonts w:ascii="Arial" w:eastAsia="Times New Roman" w:hAnsi="Arial"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5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9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2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4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43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1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14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4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17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6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32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2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90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7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3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5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99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0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2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2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9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12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3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2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7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4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06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4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28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1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0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5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66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4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7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03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3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9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9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0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2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59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433471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5EC195A-DD1F-A645-B986-A54D0F92B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1314</Characters>
  <Application>Microsoft Office Word</Application>
  <DocSecurity>0</DocSecurity>
  <Lines>13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Marie</cp:lastModifiedBy>
  <cp:revision>6</cp:revision>
  <dcterms:created xsi:type="dcterms:W3CDTF">2021-02-24T21:59:00Z</dcterms:created>
  <dcterms:modified xsi:type="dcterms:W3CDTF">2021-03-07T20:01:00Z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https://csl.mendeley.com/styles/496823111/AnalyticalChemistryMH2</vt:lpwstr>
  </property>
  <property fmtid="{D5CDD505-2E9C-101B-9397-08002B2CF9AE}" pid="3" name="Mendeley Recent Style Name 0_1">
    <vt:lpwstr>American Chemical Society - Marie Hopp</vt:lpwstr>
  </property>
  <property fmtid="{D5CDD505-2E9C-101B-9397-08002B2CF9AE}" pid="4" name="Mendeley Recent Style Id 1_1">
    <vt:lpwstr>http://csl.mendeley.com/styles/614551191/DissMH-2</vt:lpwstr>
  </property>
  <property fmtid="{D5CDD505-2E9C-101B-9397-08002B2CF9AE}" pid="5" name="Mendeley Recent Style Name 1_1">
    <vt:lpwstr>American Chemical Society - Marie-Thérèse Hopp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http://www.zotero.org/styles/analytical-chemistry</vt:lpwstr>
  </property>
  <property fmtid="{D5CDD505-2E9C-101B-9397-08002B2CF9AE}" pid="9" name="Mendeley Recent Style Name 3_1">
    <vt:lpwstr>Analytical Chemistry</vt:lpwstr>
  </property>
  <property fmtid="{D5CDD505-2E9C-101B-9397-08002B2CF9AE}" pid="10" name="Mendeley Recent Style Id 4_1">
    <vt:lpwstr>http://www.zotero.org/styles/antioxidants-and-redox-signaling</vt:lpwstr>
  </property>
  <property fmtid="{D5CDD505-2E9C-101B-9397-08002B2CF9AE}" pid="11" name="Mendeley Recent Style Name 4_1">
    <vt:lpwstr>Antioxidants &amp; Redox Signaling</vt:lpwstr>
  </property>
  <property fmtid="{D5CDD505-2E9C-101B-9397-08002B2CF9AE}" pid="12" name="Mendeley Recent Style Id 5_1">
    <vt:lpwstr>http://www.zotero.org/styles/bioinformatics</vt:lpwstr>
  </property>
  <property fmtid="{D5CDD505-2E9C-101B-9397-08002B2CF9AE}" pid="13" name="Mendeley Recent Style Name 5_1">
    <vt:lpwstr>Bioinformatics</vt:lpwstr>
  </property>
  <property fmtid="{D5CDD505-2E9C-101B-9397-08002B2CF9AE}" pid="14" name="Mendeley Recent Style Id 6_1">
    <vt:lpwstr>http://www.zotero.org/styles/biomolecules</vt:lpwstr>
  </property>
  <property fmtid="{D5CDD505-2E9C-101B-9397-08002B2CF9AE}" pid="15" name="Mendeley Recent Style Name 6_1">
    <vt:lpwstr>Biomolecules</vt:lpwstr>
  </property>
  <property fmtid="{D5CDD505-2E9C-101B-9397-08002B2CF9AE}" pid="16" name="Mendeley Recent Style Id 7_1">
    <vt:lpwstr>http://csl.mendeley.com/styles/496823111/BLOOD-AMA</vt:lpwstr>
  </property>
  <property fmtid="{D5CDD505-2E9C-101B-9397-08002B2CF9AE}" pid="17" name="Mendeley Recent Style Name 7_1">
    <vt:lpwstr>Blood AMA</vt:lpwstr>
  </property>
  <property fmtid="{D5CDD505-2E9C-101B-9397-08002B2CF9AE}" pid="18" name="Mendeley Recent Style Id 8_1">
    <vt:lpwstr>http://www.zotero.org/styles/frontiers-in-molecular-biosciences</vt:lpwstr>
  </property>
  <property fmtid="{D5CDD505-2E9C-101B-9397-08002B2CF9AE}" pid="19" name="Mendeley Recent Style Name 8_1">
    <vt:lpwstr>Frontiers in Molecular Biosciences</vt:lpwstr>
  </property>
  <property fmtid="{D5CDD505-2E9C-101B-9397-08002B2CF9AE}" pid="20" name="Mendeley Recent Style Id 9_1">
    <vt:lpwstr>http://www.zotero.org/styles/journal-of-clinical-medicine</vt:lpwstr>
  </property>
  <property fmtid="{D5CDD505-2E9C-101B-9397-08002B2CF9AE}" pid="21" name="Mendeley Recent Style Name 9_1">
    <vt:lpwstr>Journal of Clinical Medicine</vt:lpwstr>
  </property>
  <property fmtid="{D5CDD505-2E9C-101B-9397-08002B2CF9AE}" pid="22" name="Mendeley Citation Style_1">
    <vt:lpwstr>http://www.zotero.org/styles/bioinformatics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005fdc8f-b585-303a-b37f-5d8cbe871864</vt:lpwstr>
  </property>
</Properties>
</file>