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132CE" w14:textId="7FA05E65" w:rsidR="0035041C" w:rsidRPr="00535C61" w:rsidRDefault="0035041C" w:rsidP="00FB3559">
      <w:pPr>
        <w:jc w:val="both"/>
        <w:rPr>
          <w:b/>
          <w:bCs/>
          <w:szCs w:val="24"/>
        </w:rPr>
      </w:pPr>
      <w:bookmarkStart w:id="0" w:name="_Hlk139994746"/>
      <w:r w:rsidRPr="00535C61">
        <w:rPr>
          <w:b/>
          <w:bCs/>
          <w:szCs w:val="24"/>
        </w:rPr>
        <w:t xml:space="preserve">Abbreviations </w:t>
      </w:r>
    </w:p>
    <w:p w14:paraId="78629F87" w14:textId="77777777" w:rsidR="00535C61" w:rsidRPr="00535C61" w:rsidRDefault="00535C61" w:rsidP="00535C61">
      <w:pPr>
        <w:jc w:val="both"/>
        <w:rPr>
          <w:rFonts w:eastAsia="Georgia" w:cs="Times New Roman"/>
          <w:color w:val="000000"/>
          <w:szCs w:val="24"/>
          <w:lang w:val="en-GB"/>
        </w:rPr>
      </w:pPr>
      <w:r w:rsidRPr="00535C61">
        <w:rPr>
          <w:rFonts w:eastAsia="Georgia" w:cs="Times New Roman"/>
          <w:color w:val="000000"/>
          <w:szCs w:val="24"/>
          <w:lang w:val="en-GB"/>
        </w:rPr>
        <w:t xml:space="preserve">AAM – American Alliance of Museums </w:t>
      </w:r>
    </w:p>
    <w:p w14:paraId="7A8EEAC3" w14:textId="77777777" w:rsidR="00535C61" w:rsidRPr="00535C61" w:rsidRDefault="00535C61" w:rsidP="00535C61">
      <w:pPr>
        <w:jc w:val="both"/>
        <w:rPr>
          <w:rFonts w:eastAsia="Georgia" w:cs="Times New Roman"/>
          <w:color w:val="000000"/>
          <w:szCs w:val="24"/>
          <w:lang w:val="en-GB"/>
        </w:rPr>
      </w:pPr>
      <w:r w:rsidRPr="00535C61">
        <w:rPr>
          <w:rFonts w:eastAsia="Georgia" w:cs="Times New Roman"/>
          <w:color w:val="000000"/>
          <w:szCs w:val="24"/>
          <w:lang w:val="en-GB"/>
        </w:rPr>
        <w:t>CHTS– Content and Historical Thinking Survey</w:t>
      </w:r>
    </w:p>
    <w:p w14:paraId="458E7EDA" w14:textId="77777777" w:rsidR="00535C61" w:rsidRPr="00535C61" w:rsidRDefault="00535C61" w:rsidP="00535C61">
      <w:pPr>
        <w:jc w:val="both"/>
        <w:rPr>
          <w:szCs w:val="24"/>
        </w:rPr>
      </w:pPr>
      <w:r w:rsidRPr="00535C61">
        <w:rPr>
          <w:szCs w:val="24"/>
        </w:rPr>
        <w:t>GKA – General Knowledge in Art</w:t>
      </w:r>
    </w:p>
    <w:p w14:paraId="29EF3ECE" w14:textId="77777777" w:rsidR="00535C61" w:rsidRPr="00535C61" w:rsidRDefault="00535C61" w:rsidP="00535C61">
      <w:pPr>
        <w:jc w:val="both"/>
        <w:rPr>
          <w:szCs w:val="24"/>
        </w:rPr>
      </w:pPr>
      <w:r w:rsidRPr="00535C61">
        <w:rPr>
          <w:szCs w:val="24"/>
        </w:rPr>
        <w:t>LED – Light-Emitting Diode</w:t>
      </w:r>
    </w:p>
    <w:p w14:paraId="27D7E110" w14:textId="77777777" w:rsidR="00535C61" w:rsidRPr="00535C61" w:rsidRDefault="00535C61" w:rsidP="00535C61">
      <w:pPr>
        <w:jc w:val="both"/>
        <w:rPr>
          <w:rFonts w:eastAsia="Georgia"/>
          <w:color w:val="000000"/>
          <w:szCs w:val="24"/>
          <w:lang w:val="en-GB"/>
        </w:rPr>
      </w:pPr>
      <w:r w:rsidRPr="00535C61">
        <w:rPr>
          <w:rFonts w:eastAsia="Georgia"/>
          <w:color w:val="000000"/>
          <w:szCs w:val="24"/>
          <w:lang w:val="en-GB"/>
        </w:rPr>
        <w:t xml:space="preserve">MCL – Multimedia-assisted Cooperative Learning </w:t>
      </w:r>
    </w:p>
    <w:p w14:paraId="1FE1DDC9" w14:textId="77777777" w:rsidR="00535C61" w:rsidRPr="00535C61" w:rsidRDefault="00535C61" w:rsidP="00535C61">
      <w:pPr>
        <w:jc w:val="both"/>
        <w:rPr>
          <w:rFonts w:eastAsia="Georgia"/>
          <w:color w:val="000000"/>
          <w:szCs w:val="24"/>
          <w:lang w:val="en-GB"/>
        </w:rPr>
      </w:pPr>
      <w:r w:rsidRPr="00535C61">
        <w:rPr>
          <w:rFonts w:eastAsia="Georgia"/>
          <w:color w:val="000000"/>
          <w:szCs w:val="24"/>
          <w:lang w:val="en-GB"/>
        </w:rPr>
        <w:t>MCML – Multimedia-assisted Cooperative Mastery Learning</w:t>
      </w:r>
    </w:p>
    <w:p w14:paraId="3706199F" w14:textId="77777777" w:rsidR="00535C61" w:rsidRPr="00535C61" w:rsidRDefault="00535C61" w:rsidP="00535C61">
      <w:pPr>
        <w:jc w:val="both"/>
        <w:rPr>
          <w:szCs w:val="24"/>
        </w:rPr>
      </w:pPr>
      <w:r w:rsidRPr="00535C61">
        <w:rPr>
          <w:rFonts w:eastAsia="Georgia"/>
          <w:color w:val="000000"/>
          <w:szCs w:val="24"/>
          <w:lang w:val="en-GB"/>
        </w:rPr>
        <w:t>MML – Multimedia-assisted Mastery Learning</w:t>
      </w:r>
    </w:p>
    <w:p w14:paraId="706E65D3" w14:textId="0D05A66D" w:rsidR="0035041C" w:rsidRPr="00535C61" w:rsidRDefault="0035041C" w:rsidP="00FB3559">
      <w:pPr>
        <w:jc w:val="both"/>
        <w:rPr>
          <w:szCs w:val="24"/>
        </w:rPr>
      </w:pPr>
      <w:r w:rsidRPr="00535C61">
        <w:rPr>
          <w:szCs w:val="24"/>
        </w:rPr>
        <w:t>PRISMA</w:t>
      </w:r>
      <w:r w:rsidR="00D17554" w:rsidRPr="00535C61">
        <w:rPr>
          <w:szCs w:val="24"/>
        </w:rPr>
        <w:t xml:space="preserve"> – P</w:t>
      </w:r>
      <w:r w:rsidRPr="00535C61">
        <w:rPr>
          <w:szCs w:val="24"/>
        </w:rPr>
        <w:t>referred Reporting Items for Systematic Reviews and Meta-Analyses</w:t>
      </w:r>
    </w:p>
    <w:p w14:paraId="68B7572D" w14:textId="51493099" w:rsidR="00DA23C8" w:rsidRPr="00535C61" w:rsidRDefault="00DA23C8" w:rsidP="00FB3559">
      <w:pPr>
        <w:jc w:val="both"/>
        <w:rPr>
          <w:szCs w:val="24"/>
        </w:rPr>
      </w:pPr>
      <w:r w:rsidRPr="00535C61">
        <w:rPr>
          <w:rFonts w:eastAsia="Georgia" w:cs="Times New Roman"/>
          <w:color w:val="000000"/>
          <w:szCs w:val="24"/>
          <w:lang w:val="en-GB"/>
        </w:rPr>
        <w:t>VTS – Visual Thinking Skill</w:t>
      </w:r>
    </w:p>
    <w:p w14:paraId="3179DEEE" w14:textId="77777777" w:rsidR="00D17554" w:rsidRPr="0035041C" w:rsidRDefault="00D17554" w:rsidP="00FB3559">
      <w:pPr>
        <w:jc w:val="both"/>
      </w:pPr>
    </w:p>
    <w:p w14:paraId="0DB72683" w14:textId="0011CC0C" w:rsidR="00FB3559" w:rsidRPr="00535C61" w:rsidRDefault="0032009C" w:rsidP="00535C61">
      <w:pPr>
        <w:jc w:val="both"/>
        <w:rPr>
          <w:b/>
          <w:bCs/>
          <w:u w:val="single"/>
        </w:rPr>
      </w:pPr>
      <w:r w:rsidRPr="00B452EB">
        <w:rPr>
          <w:b/>
          <w:bCs/>
          <w:u w:val="single"/>
        </w:rPr>
        <w:t>Supplementary Information</w:t>
      </w:r>
    </w:p>
    <w:bookmarkEnd w:id="0"/>
    <w:p w14:paraId="1CC5735E" w14:textId="77777777" w:rsidR="00C4719C" w:rsidRDefault="00C4719C" w:rsidP="00C4719C">
      <w:pPr>
        <w:jc w:val="both"/>
        <w:rPr>
          <w:b/>
          <w:bCs/>
        </w:rPr>
      </w:pPr>
      <w:r w:rsidRPr="0032009C">
        <w:rPr>
          <w:b/>
          <w:bCs/>
        </w:rPr>
        <w:t>Declarations</w:t>
      </w:r>
    </w:p>
    <w:p w14:paraId="5DE7A54E" w14:textId="77777777" w:rsidR="00C4719C" w:rsidRPr="0032009C" w:rsidRDefault="00C4719C" w:rsidP="00C4719C">
      <w:pPr>
        <w:jc w:val="both"/>
      </w:pPr>
      <w:r w:rsidRPr="0032009C">
        <w:rPr>
          <w:b/>
          <w:bCs/>
        </w:rPr>
        <w:t xml:space="preserve">Ethics approval and consent to participate </w:t>
      </w:r>
    </w:p>
    <w:p w14:paraId="1ABD781B" w14:textId="77777777" w:rsidR="00C4719C" w:rsidRDefault="00C4719C" w:rsidP="00C4719C">
      <w:pPr>
        <w:jc w:val="both"/>
      </w:pPr>
      <w:r>
        <w:t xml:space="preserve">Not applicable. </w:t>
      </w:r>
    </w:p>
    <w:p w14:paraId="71B56452" w14:textId="77777777" w:rsidR="00C4719C" w:rsidRDefault="00C4719C" w:rsidP="00C4719C">
      <w:pPr>
        <w:jc w:val="both"/>
        <w:rPr>
          <w:b/>
          <w:bCs/>
        </w:rPr>
      </w:pPr>
    </w:p>
    <w:p w14:paraId="56D686B0" w14:textId="77777777" w:rsidR="00C4719C" w:rsidRPr="0032009C" w:rsidRDefault="00C4719C" w:rsidP="00C4719C">
      <w:pPr>
        <w:jc w:val="both"/>
        <w:rPr>
          <w:b/>
          <w:bCs/>
        </w:rPr>
      </w:pPr>
      <w:r w:rsidRPr="0032009C">
        <w:rPr>
          <w:b/>
          <w:bCs/>
        </w:rPr>
        <w:t xml:space="preserve">Consent for publication </w:t>
      </w:r>
    </w:p>
    <w:p w14:paraId="7EF9F329" w14:textId="77777777" w:rsidR="00C4719C" w:rsidRDefault="00C4719C" w:rsidP="00C4719C">
      <w:pPr>
        <w:jc w:val="both"/>
      </w:pPr>
      <w:r>
        <w:t xml:space="preserve">Not applicable. </w:t>
      </w:r>
    </w:p>
    <w:p w14:paraId="55F27B4E" w14:textId="77777777" w:rsidR="00C4719C" w:rsidRDefault="00C4719C" w:rsidP="00C4719C">
      <w:pPr>
        <w:jc w:val="both"/>
        <w:rPr>
          <w:b/>
          <w:bCs/>
        </w:rPr>
      </w:pPr>
    </w:p>
    <w:p w14:paraId="527152A6" w14:textId="77777777" w:rsidR="00C4719C" w:rsidRPr="0032009C" w:rsidRDefault="00C4719C" w:rsidP="00C4719C">
      <w:pPr>
        <w:jc w:val="both"/>
        <w:rPr>
          <w:b/>
          <w:bCs/>
        </w:rPr>
      </w:pPr>
      <w:r w:rsidRPr="0032009C">
        <w:rPr>
          <w:b/>
          <w:bCs/>
        </w:rPr>
        <w:t>Availability of data and materials</w:t>
      </w:r>
    </w:p>
    <w:p w14:paraId="607C990C" w14:textId="77777777" w:rsidR="00C4719C" w:rsidRDefault="00C4719C" w:rsidP="00C4719C">
      <w:pPr>
        <w:jc w:val="both"/>
      </w:pPr>
      <w:r>
        <w:t xml:space="preserve">The datasets supporting the conclusions of this article are included within the article and its additional files. </w:t>
      </w:r>
    </w:p>
    <w:p w14:paraId="27084D08" w14:textId="77777777" w:rsidR="00C4719C" w:rsidRDefault="00C4719C" w:rsidP="00C4719C">
      <w:pPr>
        <w:jc w:val="both"/>
        <w:rPr>
          <w:b/>
          <w:bCs/>
        </w:rPr>
      </w:pPr>
    </w:p>
    <w:p w14:paraId="0480066C" w14:textId="77777777" w:rsidR="00C4719C" w:rsidRDefault="00C4719C" w:rsidP="00C4719C">
      <w:pPr>
        <w:jc w:val="both"/>
      </w:pPr>
      <w:r w:rsidRPr="0032009C">
        <w:rPr>
          <w:b/>
          <w:bCs/>
        </w:rPr>
        <w:t>Competing interests</w:t>
      </w:r>
      <w:r>
        <w:t xml:space="preserve"> </w:t>
      </w:r>
    </w:p>
    <w:p w14:paraId="3E8320E5" w14:textId="77777777" w:rsidR="00C4719C" w:rsidRDefault="00C4719C" w:rsidP="00C4719C">
      <w:pPr>
        <w:jc w:val="both"/>
      </w:pPr>
      <w:r>
        <w:t xml:space="preserve">The authors declare that they have no competing interests. </w:t>
      </w:r>
    </w:p>
    <w:p w14:paraId="4791CBDB" w14:textId="77777777" w:rsidR="00C4719C" w:rsidRDefault="00C4719C" w:rsidP="00C4719C">
      <w:pPr>
        <w:jc w:val="both"/>
        <w:rPr>
          <w:b/>
          <w:bCs/>
        </w:rPr>
      </w:pPr>
    </w:p>
    <w:p w14:paraId="3F466228" w14:textId="77777777" w:rsidR="00C4719C" w:rsidRDefault="00C4719C" w:rsidP="00C4719C">
      <w:pPr>
        <w:jc w:val="both"/>
        <w:rPr>
          <w:b/>
          <w:bCs/>
        </w:rPr>
      </w:pPr>
      <w:r w:rsidRPr="0032009C">
        <w:rPr>
          <w:b/>
          <w:bCs/>
        </w:rPr>
        <w:t xml:space="preserve">Funding </w:t>
      </w:r>
    </w:p>
    <w:p w14:paraId="0A306AF5" w14:textId="77777777" w:rsidR="00C4719C" w:rsidRDefault="00C4719C" w:rsidP="00C4719C">
      <w:pPr>
        <w:jc w:val="both"/>
        <w:rPr>
          <w:b/>
          <w:bCs/>
        </w:rPr>
      </w:pPr>
      <w:r>
        <w:t>The authors declare that they did not receive funding.</w:t>
      </w:r>
    </w:p>
    <w:p w14:paraId="7E83E4FC" w14:textId="77777777" w:rsidR="00C4719C" w:rsidRDefault="00C4719C" w:rsidP="00C4719C">
      <w:pPr>
        <w:jc w:val="both"/>
        <w:rPr>
          <w:b/>
          <w:bCs/>
        </w:rPr>
      </w:pPr>
    </w:p>
    <w:p w14:paraId="24F4894A" w14:textId="77777777" w:rsidR="00C4719C" w:rsidRPr="004A7AE1" w:rsidRDefault="00C4719C" w:rsidP="00C4719C">
      <w:pPr>
        <w:spacing w:after="0" w:line="480" w:lineRule="auto"/>
        <w:contextualSpacing/>
        <w:jc w:val="both"/>
        <w:rPr>
          <w:rFonts w:eastAsia="Georgia"/>
          <w:b/>
          <w:bCs/>
          <w:color w:val="000000"/>
          <w:lang w:val="en-GB"/>
        </w:rPr>
      </w:pPr>
      <w:r w:rsidRPr="004A7AE1">
        <w:rPr>
          <w:rFonts w:eastAsia="Georgia"/>
          <w:b/>
          <w:bCs/>
          <w:color w:val="000000"/>
          <w:lang w:val="en-GB"/>
        </w:rPr>
        <w:t>Authors’ Contributions</w:t>
      </w:r>
    </w:p>
    <w:p w14:paraId="5443AB88" w14:textId="77777777" w:rsidR="00C4719C" w:rsidRPr="004A7AE1" w:rsidRDefault="00C4719C" w:rsidP="00C4719C">
      <w:pPr>
        <w:spacing w:after="0" w:line="480" w:lineRule="auto"/>
        <w:contextualSpacing/>
        <w:jc w:val="both"/>
        <w:rPr>
          <w:rFonts w:eastAsia="Georgia"/>
          <w:b/>
          <w:bCs/>
          <w:color w:val="000000"/>
          <w:lang w:val="en-GB"/>
        </w:rPr>
      </w:pPr>
      <w:proofErr w:type="spellStart"/>
      <w:r w:rsidRPr="004A7AE1">
        <w:rPr>
          <w:rFonts w:eastAsia="Georgia"/>
          <w:color w:val="000000"/>
          <w:lang w:val="en-GB"/>
        </w:rPr>
        <w:lastRenderedPageBreak/>
        <w:t>Dr.</w:t>
      </w:r>
      <w:proofErr w:type="spellEnd"/>
      <w:r w:rsidRPr="004A7AE1">
        <w:rPr>
          <w:rFonts w:eastAsia="Georgia"/>
          <w:color w:val="000000"/>
          <w:lang w:val="en-GB"/>
        </w:rPr>
        <w:t xml:space="preserve"> Harry Barton Essel's expertise in instructional design and multimedia learning shaped the design of the study's research questions and objectives. </w:t>
      </w:r>
      <w:proofErr w:type="spellStart"/>
      <w:r w:rsidRPr="004A7AE1">
        <w:rPr>
          <w:rFonts w:eastAsia="Georgia"/>
          <w:color w:val="000000"/>
          <w:lang w:val="en-GB"/>
        </w:rPr>
        <w:t>Akwasi</w:t>
      </w:r>
      <w:proofErr w:type="spellEnd"/>
      <w:r w:rsidRPr="004A7AE1">
        <w:rPr>
          <w:rFonts w:eastAsia="Georgia"/>
          <w:color w:val="000000"/>
          <w:lang w:val="en-GB"/>
        </w:rPr>
        <w:t xml:space="preserve"> Adomako Boakye examined the methodology and conclusions of the included studies to determine their quality and relevance. He methodically gathered and synthesized data from the selected research, ensuring that the review contained a comprehensive overview of the effectiveness of interactive multimedia-based learning in the context of art history teaching. </w:t>
      </w:r>
      <w:proofErr w:type="spellStart"/>
      <w:r w:rsidRPr="004A7AE1">
        <w:rPr>
          <w:rFonts w:eastAsia="Georgia"/>
          <w:color w:val="000000"/>
          <w:lang w:val="en-GB"/>
        </w:rPr>
        <w:t>Dr.</w:t>
      </w:r>
      <w:proofErr w:type="spellEnd"/>
      <w:r w:rsidRPr="004A7AE1">
        <w:rPr>
          <w:rFonts w:eastAsia="Georgia"/>
          <w:color w:val="000000"/>
          <w:lang w:val="en-GB"/>
        </w:rPr>
        <w:t xml:space="preserve"> </w:t>
      </w:r>
      <w:proofErr w:type="spellStart"/>
      <w:r w:rsidRPr="004A7AE1">
        <w:rPr>
          <w:rFonts w:eastAsia="Georgia"/>
          <w:color w:val="000000"/>
          <w:lang w:val="en-GB"/>
        </w:rPr>
        <w:t>Micheal</w:t>
      </w:r>
      <w:proofErr w:type="spellEnd"/>
      <w:r w:rsidRPr="004A7AE1">
        <w:rPr>
          <w:rFonts w:eastAsia="Georgia"/>
          <w:color w:val="000000"/>
          <w:lang w:val="en-GB"/>
        </w:rPr>
        <w:t xml:space="preserve"> </w:t>
      </w:r>
      <w:proofErr w:type="spellStart"/>
      <w:r w:rsidRPr="004A7AE1">
        <w:rPr>
          <w:rFonts w:eastAsia="Georgia"/>
          <w:color w:val="000000"/>
          <w:lang w:val="en-GB"/>
        </w:rPr>
        <w:t>Ato</w:t>
      </w:r>
      <w:proofErr w:type="spellEnd"/>
      <w:r w:rsidRPr="004A7AE1">
        <w:rPr>
          <w:rFonts w:eastAsia="Georgia"/>
          <w:color w:val="000000"/>
          <w:lang w:val="en-GB"/>
        </w:rPr>
        <w:t xml:space="preserve"> </w:t>
      </w:r>
      <w:proofErr w:type="spellStart"/>
      <w:r w:rsidRPr="004A7AE1">
        <w:rPr>
          <w:rFonts w:eastAsia="Georgia"/>
          <w:color w:val="000000"/>
          <w:lang w:val="en-GB"/>
        </w:rPr>
        <w:t>Essuman</w:t>
      </w:r>
      <w:proofErr w:type="spellEnd"/>
      <w:r w:rsidRPr="004A7AE1">
        <w:rPr>
          <w:rFonts w:eastAsia="Georgia"/>
          <w:color w:val="000000"/>
          <w:lang w:val="en-GB"/>
        </w:rPr>
        <w:t xml:space="preserve"> critically reviewed the included research, concentrating on the findings' relevance and usefulness to art history instruction. Ernest Appiah contributed to the analysis of the findings, underlining the importance of interactive multimedia-based learning methodologies in increasing students' engagement, knowledge, and retention of art historical themes.</w:t>
      </w:r>
    </w:p>
    <w:p w14:paraId="43185D78" w14:textId="7F0FAB57" w:rsidR="00C4719C" w:rsidRPr="00E701A1" w:rsidRDefault="00C4719C" w:rsidP="00C4719C">
      <w:pPr>
        <w:spacing w:after="0" w:line="480" w:lineRule="auto"/>
        <w:contextualSpacing/>
        <w:jc w:val="both"/>
        <w:rPr>
          <w:rFonts w:eastAsia="Georgia"/>
          <w:b/>
          <w:bCs/>
          <w:color w:val="000000"/>
          <w:lang w:val="en-GB"/>
        </w:rPr>
      </w:pPr>
      <w:r>
        <w:rPr>
          <w:rFonts w:eastAsia="Georgia"/>
          <w:b/>
          <w:bCs/>
          <w:color w:val="000000"/>
          <w:lang w:val="en-GB"/>
        </w:rPr>
        <w:t>Acknowledgements</w:t>
      </w:r>
    </w:p>
    <w:p w14:paraId="18C68F00" w14:textId="77777777" w:rsidR="00C4719C" w:rsidRPr="004A7AE1" w:rsidRDefault="00C4719C" w:rsidP="00C4719C">
      <w:pPr>
        <w:spacing w:after="0" w:line="480" w:lineRule="auto"/>
        <w:contextualSpacing/>
        <w:jc w:val="both"/>
        <w:rPr>
          <w:rFonts w:eastAsia="Georgia"/>
          <w:color w:val="000000"/>
          <w:lang w:val="en-GB"/>
        </w:rPr>
      </w:pPr>
      <w:r>
        <w:rPr>
          <w:rFonts w:eastAsia="Georgia"/>
          <w:color w:val="000000"/>
          <w:lang w:val="en-GB"/>
        </w:rPr>
        <w:t>Not Applicable</w:t>
      </w:r>
    </w:p>
    <w:p w14:paraId="7EB910C6" w14:textId="77777777" w:rsidR="00C4719C" w:rsidRPr="00C4719C" w:rsidRDefault="00C4719C" w:rsidP="00C4719C">
      <w:pPr>
        <w:spacing w:after="0" w:line="480" w:lineRule="auto"/>
        <w:contextualSpacing/>
        <w:jc w:val="both"/>
        <w:rPr>
          <w:rFonts w:eastAsia="Georgia"/>
          <w:color w:val="000000"/>
          <w:lang w:val="en-GB"/>
        </w:rPr>
      </w:pPr>
    </w:p>
    <w:p w14:paraId="1BF6BCAC" w14:textId="278FB531" w:rsidR="00F06710" w:rsidRDefault="0032009C" w:rsidP="0032009C">
      <w:pPr>
        <w:jc w:val="both"/>
        <w:rPr>
          <w:b/>
          <w:bCs/>
        </w:rPr>
      </w:pPr>
      <w:r w:rsidRPr="0032009C">
        <w:rPr>
          <w:b/>
          <w:bCs/>
        </w:rPr>
        <w:t>Author details</w:t>
      </w:r>
    </w:p>
    <w:p w14:paraId="15A67099" w14:textId="5ECB732B" w:rsidR="0032009C" w:rsidRDefault="0032009C" w:rsidP="0032009C">
      <w:pPr>
        <w:jc w:val="both"/>
        <w:rPr>
          <w:rFonts w:eastAsia="Georgia" w:cs="Times New Roman"/>
          <w:color w:val="000000"/>
        </w:rPr>
      </w:pPr>
      <w:r w:rsidRPr="004A7AE1">
        <w:rPr>
          <w:rStyle w:val="FootnoteReference"/>
          <w:rFonts w:cs="Times New Roman"/>
        </w:rPr>
        <w:footnoteReference w:customMarkFollows="1" w:id="1"/>
        <w:sym w:font="Symbol" w:char="F02A"/>
      </w:r>
      <w:r>
        <w:rPr>
          <w:rFonts w:cs="Times New Roman"/>
          <w:vertAlign w:val="superscript"/>
        </w:rPr>
        <w:t>1</w:t>
      </w:r>
      <w:r w:rsidRPr="004A7AE1">
        <w:rPr>
          <w:rFonts w:eastAsia="Georgia" w:cs="Times New Roman"/>
          <w:color w:val="000000"/>
        </w:rPr>
        <w:t>Kwame Nkrumah University of Science and Technology</w:t>
      </w:r>
    </w:p>
    <w:p w14:paraId="3E489AA2" w14:textId="77777777" w:rsidR="00B452EB" w:rsidRPr="0032009C" w:rsidRDefault="00B452EB" w:rsidP="0032009C">
      <w:pPr>
        <w:jc w:val="both"/>
        <w:rPr>
          <w:rFonts w:eastAsia="Georgia" w:cs="Times New Roman"/>
          <w:color w:val="000000"/>
        </w:rPr>
      </w:pPr>
    </w:p>
    <w:p w14:paraId="1B40F536" w14:textId="4BA1C0CD" w:rsidR="0032009C" w:rsidRPr="004A7AE1" w:rsidRDefault="0032009C" w:rsidP="0032009C">
      <w:pPr>
        <w:pBdr>
          <w:top w:val="nil"/>
          <w:left w:val="nil"/>
          <w:bottom w:val="nil"/>
          <w:right w:val="nil"/>
          <w:between w:val="nil"/>
        </w:pBdr>
        <w:spacing w:after="200" w:line="480" w:lineRule="auto"/>
        <w:jc w:val="both"/>
        <w:rPr>
          <w:rFonts w:eastAsia="Georgia" w:cs="Times New Roman"/>
        </w:rPr>
      </w:pPr>
      <w:r>
        <w:rPr>
          <w:rFonts w:cs="Times New Roman"/>
          <w:vertAlign w:val="superscript"/>
        </w:rPr>
        <w:t>2</w:t>
      </w:r>
      <w:r w:rsidRPr="004A7AE1">
        <w:rPr>
          <w:rFonts w:eastAsia="Georgia" w:cs="Times New Roman"/>
          <w:color w:val="000000"/>
        </w:rPr>
        <w:t>Kwame Nkrumah University of Science and Technology</w:t>
      </w:r>
      <w:r w:rsidRPr="004A7AE1">
        <w:rPr>
          <w:rFonts w:eastAsia="Georgia" w:cs="Times New Roman"/>
        </w:rPr>
        <w:t>, Faculty of Educational Studies</w:t>
      </w:r>
    </w:p>
    <w:p w14:paraId="260BE665" w14:textId="7EA9151C" w:rsidR="0032009C" w:rsidRPr="004A7AE1" w:rsidRDefault="0032009C" w:rsidP="0032009C">
      <w:pPr>
        <w:pBdr>
          <w:top w:val="nil"/>
          <w:left w:val="nil"/>
          <w:bottom w:val="nil"/>
          <w:right w:val="nil"/>
          <w:between w:val="nil"/>
        </w:pBdr>
        <w:spacing w:after="200" w:line="480" w:lineRule="auto"/>
        <w:jc w:val="both"/>
        <w:rPr>
          <w:rFonts w:eastAsia="Georgia" w:cs="Times New Roman"/>
          <w:color w:val="000000"/>
        </w:rPr>
      </w:pPr>
      <w:r>
        <w:rPr>
          <w:rFonts w:cs="Times New Roman"/>
          <w:vertAlign w:val="superscript"/>
        </w:rPr>
        <w:t>3</w:t>
      </w:r>
      <w:r w:rsidRPr="004A7AE1">
        <w:rPr>
          <w:rFonts w:eastAsia="Georgia" w:cs="Times New Roman"/>
          <w:color w:val="000000"/>
        </w:rPr>
        <w:t>Kwame Nkrumah University of Science and Technology</w:t>
      </w:r>
    </w:p>
    <w:p w14:paraId="31927900" w14:textId="6FEC1CEA" w:rsidR="0032009C" w:rsidRPr="004A7AE1" w:rsidRDefault="0032009C" w:rsidP="0032009C">
      <w:pPr>
        <w:pBdr>
          <w:top w:val="nil"/>
          <w:left w:val="nil"/>
          <w:bottom w:val="nil"/>
          <w:right w:val="nil"/>
          <w:between w:val="nil"/>
        </w:pBdr>
        <w:spacing w:after="200" w:line="480" w:lineRule="auto"/>
        <w:jc w:val="both"/>
        <w:rPr>
          <w:rFonts w:eastAsia="Georgia" w:cs="Times New Roman"/>
        </w:rPr>
      </w:pPr>
      <w:r>
        <w:rPr>
          <w:rFonts w:cs="Times New Roman"/>
          <w:vertAlign w:val="superscript"/>
        </w:rPr>
        <w:t>4</w:t>
      </w:r>
      <w:r w:rsidRPr="004A7AE1">
        <w:rPr>
          <w:rFonts w:eastAsia="Georgia" w:cs="Times New Roman"/>
          <w:color w:val="000000"/>
        </w:rPr>
        <w:t>Kwame Nkrumah University of Science and Technology, Publishing Studies Department.</w:t>
      </w:r>
    </w:p>
    <w:sectPr w:rsidR="0032009C" w:rsidRPr="004A7A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EE151" w14:textId="77777777" w:rsidR="005754D9" w:rsidRDefault="005754D9" w:rsidP="0032009C">
      <w:pPr>
        <w:spacing w:after="0" w:line="240" w:lineRule="auto"/>
      </w:pPr>
      <w:r>
        <w:separator/>
      </w:r>
    </w:p>
  </w:endnote>
  <w:endnote w:type="continuationSeparator" w:id="0">
    <w:p w14:paraId="732615D0" w14:textId="77777777" w:rsidR="005754D9" w:rsidRDefault="005754D9" w:rsidP="00320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179D7" w14:textId="77777777" w:rsidR="005754D9" w:rsidRDefault="005754D9" w:rsidP="0032009C">
      <w:pPr>
        <w:spacing w:after="0" w:line="240" w:lineRule="auto"/>
      </w:pPr>
      <w:r>
        <w:separator/>
      </w:r>
    </w:p>
  </w:footnote>
  <w:footnote w:type="continuationSeparator" w:id="0">
    <w:p w14:paraId="2DB5204C" w14:textId="77777777" w:rsidR="005754D9" w:rsidRDefault="005754D9" w:rsidP="0032009C">
      <w:pPr>
        <w:spacing w:after="0" w:line="240" w:lineRule="auto"/>
      </w:pPr>
      <w:r>
        <w:continuationSeparator/>
      </w:r>
    </w:p>
  </w:footnote>
  <w:footnote w:id="1">
    <w:p w14:paraId="5B38B357" w14:textId="77777777" w:rsidR="0032009C" w:rsidRDefault="0032009C" w:rsidP="0032009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F50"/>
    <w:rsid w:val="00131100"/>
    <w:rsid w:val="001A5C7C"/>
    <w:rsid w:val="001E07FB"/>
    <w:rsid w:val="0032009C"/>
    <w:rsid w:val="0035041C"/>
    <w:rsid w:val="0040180A"/>
    <w:rsid w:val="00535C61"/>
    <w:rsid w:val="005754D9"/>
    <w:rsid w:val="006519CE"/>
    <w:rsid w:val="008579F6"/>
    <w:rsid w:val="008841A2"/>
    <w:rsid w:val="009A34BC"/>
    <w:rsid w:val="00AD36AE"/>
    <w:rsid w:val="00AF0F50"/>
    <w:rsid w:val="00B452EB"/>
    <w:rsid w:val="00BD4DAE"/>
    <w:rsid w:val="00C4719C"/>
    <w:rsid w:val="00C52E4F"/>
    <w:rsid w:val="00C77A6E"/>
    <w:rsid w:val="00D17554"/>
    <w:rsid w:val="00DA23C8"/>
    <w:rsid w:val="00F06710"/>
    <w:rsid w:val="00FB3559"/>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39CA2"/>
  <w15:chartTrackingRefBased/>
  <w15:docId w15:val="{84B2FDE1-FBBF-45D0-9955-BB29B6019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C7C"/>
    <w:rPr>
      <w:rFonts w:ascii="Times New Roman" w:hAnsi="Times New Roman"/>
      <w:kern w:val="0"/>
      <w:sz w:val="24"/>
      <w:lang w:val="en-US"/>
      <w14:ligatures w14:val="none"/>
    </w:rPr>
  </w:style>
  <w:style w:type="paragraph" w:styleId="Heading1">
    <w:name w:val="heading 1"/>
    <w:basedOn w:val="Normal"/>
    <w:link w:val="Heading1Char"/>
    <w:autoRedefine/>
    <w:uiPriority w:val="9"/>
    <w:qFormat/>
    <w:rsid w:val="00AD36AE"/>
    <w:pPr>
      <w:spacing w:before="100" w:beforeAutospacing="1" w:after="100" w:afterAutospacing="1" w:line="240" w:lineRule="auto"/>
      <w:jc w:val="center"/>
      <w:outlineLvl w:val="0"/>
    </w:pPr>
    <w:rPr>
      <w:rFonts w:eastAsia="Times New Roman" w:cs="Times New Roman"/>
      <w:b/>
      <w:bCs/>
      <w:kern w:val="36"/>
      <w:szCs w:val="48"/>
    </w:rPr>
  </w:style>
  <w:style w:type="paragraph" w:styleId="Heading2">
    <w:name w:val="heading 2"/>
    <w:basedOn w:val="Normal"/>
    <w:next w:val="Normal"/>
    <w:link w:val="Heading2Char"/>
    <w:autoRedefine/>
    <w:uiPriority w:val="9"/>
    <w:unhideWhenUsed/>
    <w:qFormat/>
    <w:rsid w:val="0040180A"/>
    <w:pPr>
      <w:keepNext/>
      <w:keepLines/>
      <w:spacing w:before="280" w:after="240"/>
      <w:jc w:val="both"/>
      <w:outlineLvl w:val="1"/>
    </w:pPr>
    <w:rPr>
      <w:rFonts w:eastAsiaTheme="majorEastAsia" w:cstheme="majorBidi"/>
      <w:b/>
      <w:szCs w:val="26"/>
      <w:lang w:val="en-GB"/>
    </w:rPr>
  </w:style>
  <w:style w:type="paragraph" w:styleId="Heading4">
    <w:name w:val="heading 4"/>
    <w:basedOn w:val="Normal"/>
    <w:next w:val="Normal"/>
    <w:link w:val="Heading4Char"/>
    <w:autoRedefine/>
    <w:uiPriority w:val="9"/>
    <w:unhideWhenUsed/>
    <w:qFormat/>
    <w:rsid w:val="00AD36AE"/>
    <w:pPr>
      <w:keepNext/>
      <w:keepLines/>
      <w:spacing w:before="40" w:after="0"/>
      <w:jc w:val="both"/>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36AE"/>
    <w:rPr>
      <w:rFonts w:ascii="Times New Roman" w:eastAsia="Times New Roman" w:hAnsi="Times New Roman" w:cs="Times New Roman"/>
      <w:b/>
      <w:bCs/>
      <w:kern w:val="36"/>
      <w:sz w:val="24"/>
      <w:szCs w:val="48"/>
    </w:rPr>
  </w:style>
  <w:style w:type="character" w:customStyle="1" w:styleId="Heading2Char">
    <w:name w:val="Heading 2 Char"/>
    <w:basedOn w:val="DefaultParagraphFont"/>
    <w:link w:val="Heading2"/>
    <w:uiPriority w:val="9"/>
    <w:rsid w:val="0040180A"/>
    <w:rPr>
      <w:rFonts w:ascii="Times New Roman" w:eastAsiaTheme="majorEastAsia" w:hAnsi="Times New Roman" w:cstheme="majorBidi"/>
      <w:b/>
      <w:sz w:val="24"/>
      <w:szCs w:val="26"/>
      <w:lang w:val="en-GB"/>
    </w:rPr>
  </w:style>
  <w:style w:type="character" w:customStyle="1" w:styleId="Heading4Char">
    <w:name w:val="Heading 4 Char"/>
    <w:basedOn w:val="DefaultParagraphFont"/>
    <w:link w:val="Heading4"/>
    <w:uiPriority w:val="9"/>
    <w:rsid w:val="00AD36AE"/>
    <w:rPr>
      <w:rFonts w:ascii="Times New Roman" w:eastAsiaTheme="majorEastAsia" w:hAnsi="Times New Roman" w:cstheme="majorBidi"/>
      <w:iCs/>
      <w:sz w:val="24"/>
    </w:rPr>
  </w:style>
  <w:style w:type="paragraph" w:styleId="FootnoteText">
    <w:name w:val="footnote text"/>
    <w:basedOn w:val="Normal"/>
    <w:link w:val="FootnoteTextChar"/>
    <w:semiHidden/>
    <w:unhideWhenUsed/>
    <w:rsid w:val="0032009C"/>
    <w:pPr>
      <w:spacing w:after="0" w:line="240" w:lineRule="auto"/>
    </w:pPr>
    <w:rPr>
      <w:rFonts w:eastAsia="Times New Roman" w:cs="Times New Roman"/>
      <w:sz w:val="20"/>
      <w:szCs w:val="20"/>
      <w:lang w:eastAsia="ja-JP"/>
    </w:rPr>
  </w:style>
  <w:style w:type="character" w:customStyle="1" w:styleId="FootnoteTextChar">
    <w:name w:val="Footnote Text Char"/>
    <w:basedOn w:val="DefaultParagraphFont"/>
    <w:link w:val="FootnoteText"/>
    <w:semiHidden/>
    <w:rsid w:val="0032009C"/>
    <w:rPr>
      <w:rFonts w:ascii="Times New Roman" w:eastAsia="Times New Roman" w:hAnsi="Times New Roman" w:cs="Times New Roman"/>
      <w:kern w:val="0"/>
      <w:sz w:val="20"/>
      <w:szCs w:val="20"/>
      <w:lang w:val="en-US" w:eastAsia="ja-JP"/>
      <w14:ligatures w14:val="none"/>
    </w:rPr>
  </w:style>
  <w:style w:type="character" w:styleId="FootnoteReference">
    <w:name w:val="footnote reference"/>
    <w:basedOn w:val="DefaultParagraphFont"/>
    <w:semiHidden/>
    <w:unhideWhenUsed/>
    <w:rsid w:val="003200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1324</TotalTime>
  <Pages>2</Pages>
  <Words>311</Words>
  <Characters>1777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2023-07-10T20:20:00Z</dcterms:created>
  <dcterms:modified xsi:type="dcterms:W3CDTF">2023-07-12T23:03:00Z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37a1190c41a3f4789aaabe8b051e3620271b2efa759c003651af9c084adaaba4</vt:lpwstr>
  </property>
</Properties>
</file>