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58923" w14:textId="77777777" w:rsidR="00200B9A" w:rsidRPr="00C473C6" w:rsidRDefault="00200B9A" w:rsidP="00200B9A">
      <w:pPr>
        <w:spacing w:after="24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C473C6">
        <w:rPr>
          <w:rFonts w:ascii="Times New Roman" w:hAnsi="Times New Roman" w:cs="Times New Roman"/>
          <w:b/>
          <w:bCs/>
          <w:color w:val="000000"/>
          <w:sz w:val="22"/>
          <w:szCs w:val="22"/>
        </w:rPr>
        <w:t>Table 3.</w:t>
      </w:r>
      <w:r w:rsidRPr="00C473C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C473C6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Health-Related Quality of Life Outcomes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1170"/>
        <w:gridCol w:w="1530"/>
        <w:gridCol w:w="2070"/>
        <w:gridCol w:w="1260"/>
      </w:tblGrid>
      <w:tr w:rsidR="00200B9A" w:rsidRPr="00C473C6" w14:paraId="7846035B" w14:textId="77777777" w:rsidTr="00120963">
        <w:tc>
          <w:tcPr>
            <w:tcW w:w="3258" w:type="dxa"/>
            <w:shd w:val="clear" w:color="auto" w:fill="D0CECE"/>
            <w:vAlign w:val="center"/>
          </w:tcPr>
          <w:p w14:paraId="703AEB6A" w14:textId="77777777" w:rsidR="00200B9A" w:rsidRPr="00C473C6" w:rsidRDefault="00200B9A" w:rsidP="00120963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bookmarkStart w:id="0" w:name="_Hlk132098432"/>
            <w:r w:rsidRPr="00C473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HRQL Measures (0-100 best)</w:t>
            </w:r>
          </w:p>
        </w:tc>
        <w:tc>
          <w:tcPr>
            <w:tcW w:w="1170" w:type="dxa"/>
            <w:shd w:val="clear" w:color="auto" w:fill="D0CECE"/>
          </w:tcPr>
          <w:p w14:paraId="1F662A56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CA"/>
              </w:rPr>
              <w:t>Norm (45-54 years)</w:t>
            </w:r>
          </w:p>
        </w:tc>
        <w:tc>
          <w:tcPr>
            <w:tcW w:w="1530" w:type="dxa"/>
            <w:shd w:val="clear" w:color="auto" w:fill="D0CECE"/>
          </w:tcPr>
          <w:p w14:paraId="2D72DD37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Mean (SD)</w:t>
            </w:r>
          </w:p>
        </w:tc>
        <w:tc>
          <w:tcPr>
            <w:tcW w:w="2070" w:type="dxa"/>
            <w:shd w:val="clear" w:color="auto" w:fill="D0CECE"/>
          </w:tcPr>
          <w:p w14:paraId="2A9D54C2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CA"/>
              </w:rPr>
              <w:t>Median [1QR]</w:t>
            </w:r>
          </w:p>
        </w:tc>
        <w:tc>
          <w:tcPr>
            <w:tcW w:w="1260" w:type="dxa"/>
            <w:shd w:val="clear" w:color="auto" w:fill="D0CECE"/>
          </w:tcPr>
          <w:p w14:paraId="70C95EC8" w14:textId="77777777" w:rsidR="00200B9A" w:rsidRPr="00C473C6" w:rsidRDefault="00200B9A" w:rsidP="00120963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CA"/>
              </w:rPr>
              <w:t>Model</w:t>
            </w:r>
          </w:p>
        </w:tc>
      </w:tr>
      <w:bookmarkEnd w:id="0"/>
      <w:tr w:rsidR="00200B9A" w:rsidRPr="00C473C6" w14:paraId="4FEF0A49" w14:textId="77777777" w:rsidTr="00120963">
        <w:tc>
          <w:tcPr>
            <w:tcW w:w="3258" w:type="dxa"/>
            <w:vAlign w:val="center"/>
          </w:tcPr>
          <w:p w14:paraId="30FBBF0F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RAND-36</w:t>
            </w:r>
          </w:p>
        </w:tc>
        <w:tc>
          <w:tcPr>
            <w:tcW w:w="1170" w:type="dxa"/>
            <w:vAlign w:val="bottom"/>
          </w:tcPr>
          <w:p w14:paraId="44DD65CF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530" w:type="dxa"/>
            <w:vAlign w:val="center"/>
          </w:tcPr>
          <w:p w14:paraId="7C979B59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2070" w:type="dxa"/>
          </w:tcPr>
          <w:p w14:paraId="5F2FADC6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260" w:type="dxa"/>
          </w:tcPr>
          <w:p w14:paraId="432A7C4A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200B9A" w:rsidRPr="00C473C6" w14:paraId="6548E244" w14:textId="77777777" w:rsidTr="00120963">
        <w:tc>
          <w:tcPr>
            <w:tcW w:w="3258" w:type="dxa"/>
            <w:vAlign w:val="center"/>
          </w:tcPr>
          <w:p w14:paraId="206A5F79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Physical Function </w:t>
            </w:r>
          </w:p>
        </w:tc>
        <w:tc>
          <w:tcPr>
            <w:tcW w:w="1170" w:type="dxa"/>
            <w:vAlign w:val="bottom"/>
          </w:tcPr>
          <w:p w14:paraId="2BDD6D57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86.6</w:t>
            </w:r>
          </w:p>
        </w:tc>
        <w:tc>
          <w:tcPr>
            <w:tcW w:w="1530" w:type="dxa"/>
            <w:vAlign w:val="center"/>
          </w:tcPr>
          <w:p w14:paraId="68B867E9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52.1 (27.9)</w:t>
            </w:r>
          </w:p>
        </w:tc>
        <w:tc>
          <w:tcPr>
            <w:tcW w:w="2070" w:type="dxa"/>
          </w:tcPr>
          <w:p w14:paraId="05775686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 [30-75]</w:t>
            </w:r>
          </w:p>
        </w:tc>
        <w:tc>
          <w:tcPr>
            <w:tcW w:w="1260" w:type="dxa"/>
          </w:tcPr>
          <w:p w14:paraId="4E3F1657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Quantile</w:t>
            </w:r>
          </w:p>
        </w:tc>
      </w:tr>
      <w:tr w:rsidR="00200B9A" w:rsidRPr="00C473C6" w14:paraId="093BEE15" w14:textId="77777777" w:rsidTr="00120963">
        <w:tc>
          <w:tcPr>
            <w:tcW w:w="3258" w:type="dxa"/>
            <w:vAlign w:val="center"/>
          </w:tcPr>
          <w:p w14:paraId="381D42AA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Men</w:t>
            </w:r>
          </w:p>
        </w:tc>
        <w:tc>
          <w:tcPr>
            <w:tcW w:w="1170" w:type="dxa"/>
            <w:vAlign w:val="bottom"/>
          </w:tcPr>
          <w:p w14:paraId="5593462E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88.5</w:t>
            </w:r>
          </w:p>
        </w:tc>
        <w:tc>
          <w:tcPr>
            <w:tcW w:w="1530" w:type="dxa"/>
            <w:vAlign w:val="center"/>
          </w:tcPr>
          <w:p w14:paraId="0DF8250F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56.3 (29.7)</w:t>
            </w:r>
          </w:p>
        </w:tc>
        <w:tc>
          <w:tcPr>
            <w:tcW w:w="2070" w:type="dxa"/>
          </w:tcPr>
          <w:p w14:paraId="03B27BD5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65 [30-80]</w:t>
            </w:r>
          </w:p>
        </w:tc>
        <w:tc>
          <w:tcPr>
            <w:tcW w:w="1260" w:type="dxa"/>
          </w:tcPr>
          <w:p w14:paraId="71454383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200B9A" w:rsidRPr="00C473C6" w14:paraId="11B2EDFC" w14:textId="77777777" w:rsidTr="00120963">
        <w:tc>
          <w:tcPr>
            <w:tcW w:w="3258" w:type="dxa"/>
            <w:vAlign w:val="center"/>
          </w:tcPr>
          <w:p w14:paraId="5B2947E9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Women</w:t>
            </w:r>
          </w:p>
        </w:tc>
        <w:tc>
          <w:tcPr>
            <w:tcW w:w="1170" w:type="dxa"/>
            <w:vAlign w:val="bottom"/>
          </w:tcPr>
          <w:p w14:paraId="59B89CE5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89.3</w:t>
            </w:r>
          </w:p>
        </w:tc>
        <w:tc>
          <w:tcPr>
            <w:tcW w:w="1530" w:type="dxa"/>
            <w:vAlign w:val="center"/>
          </w:tcPr>
          <w:p w14:paraId="1A67E292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51.0 (27.1)</w:t>
            </w:r>
          </w:p>
        </w:tc>
        <w:tc>
          <w:tcPr>
            <w:tcW w:w="2070" w:type="dxa"/>
          </w:tcPr>
          <w:p w14:paraId="1E6BCBAA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50 [30-70]</w:t>
            </w:r>
          </w:p>
        </w:tc>
        <w:tc>
          <w:tcPr>
            <w:tcW w:w="1260" w:type="dxa"/>
          </w:tcPr>
          <w:p w14:paraId="2870FD52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200B9A" w:rsidRPr="00C473C6" w14:paraId="181014CD" w14:textId="77777777" w:rsidTr="00120963">
        <w:tc>
          <w:tcPr>
            <w:tcW w:w="3258" w:type="dxa"/>
            <w:vAlign w:val="center"/>
          </w:tcPr>
          <w:p w14:paraId="1860A30F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Role Physical (0 vs. &gt;0)</w:t>
            </w:r>
          </w:p>
        </w:tc>
        <w:tc>
          <w:tcPr>
            <w:tcW w:w="1170" w:type="dxa"/>
            <w:vAlign w:val="bottom"/>
          </w:tcPr>
          <w:p w14:paraId="4E5C2701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82.0</w:t>
            </w:r>
          </w:p>
        </w:tc>
        <w:tc>
          <w:tcPr>
            <w:tcW w:w="1530" w:type="dxa"/>
            <w:vAlign w:val="center"/>
          </w:tcPr>
          <w:p w14:paraId="40511FD0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10.7 (24.9)</w:t>
            </w:r>
          </w:p>
        </w:tc>
        <w:tc>
          <w:tcPr>
            <w:tcW w:w="2070" w:type="dxa"/>
          </w:tcPr>
          <w:p w14:paraId="033E4F39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n=331/83</w:t>
            </w:r>
          </w:p>
        </w:tc>
        <w:tc>
          <w:tcPr>
            <w:tcW w:w="1260" w:type="dxa"/>
          </w:tcPr>
          <w:p w14:paraId="0871FD53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Logistic</w:t>
            </w:r>
          </w:p>
        </w:tc>
      </w:tr>
      <w:tr w:rsidR="00200B9A" w:rsidRPr="00C473C6" w14:paraId="1BE54B8A" w14:textId="77777777" w:rsidTr="00120963">
        <w:tc>
          <w:tcPr>
            <w:tcW w:w="3258" w:type="dxa"/>
            <w:vAlign w:val="center"/>
          </w:tcPr>
          <w:p w14:paraId="3BFAB70F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Bodily Pain </w:t>
            </w:r>
          </w:p>
        </w:tc>
        <w:tc>
          <w:tcPr>
            <w:tcW w:w="1170" w:type="dxa"/>
            <w:vAlign w:val="bottom"/>
          </w:tcPr>
          <w:p w14:paraId="1C4D86B1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72.9</w:t>
            </w:r>
          </w:p>
        </w:tc>
        <w:tc>
          <w:tcPr>
            <w:tcW w:w="1530" w:type="dxa"/>
            <w:vAlign w:val="center"/>
          </w:tcPr>
          <w:p w14:paraId="6534F3FD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45.8 (24.7)</w:t>
            </w:r>
          </w:p>
        </w:tc>
        <w:tc>
          <w:tcPr>
            <w:tcW w:w="2070" w:type="dxa"/>
          </w:tcPr>
          <w:p w14:paraId="3B8119E3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 [31-62]</w:t>
            </w:r>
          </w:p>
        </w:tc>
        <w:tc>
          <w:tcPr>
            <w:tcW w:w="1260" w:type="dxa"/>
          </w:tcPr>
          <w:p w14:paraId="62CADF4C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Quantile </w:t>
            </w:r>
          </w:p>
        </w:tc>
      </w:tr>
      <w:tr w:rsidR="00200B9A" w:rsidRPr="00C473C6" w14:paraId="7151DA55" w14:textId="77777777" w:rsidTr="00120963">
        <w:tc>
          <w:tcPr>
            <w:tcW w:w="3258" w:type="dxa"/>
            <w:vAlign w:val="center"/>
          </w:tcPr>
          <w:p w14:paraId="468FBA4F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Men</w:t>
            </w:r>
          </w:p>
        </w:tc>
        <w:tc>
          <w:tcPr>
            <w:tcW w:w="1170" w:type="dxa"/>
            <w:vAlign w:val="bottom"/>
          </w:tcPr>
          <w:p w14:paraId="12EB45FD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77.5</w:t>
            </w:r>
          </w:p>
        </w:tc>
        <w:tc>
          <w:tcPr>
            <w:tcW w:w="1530" w:type="dxa"/>
            <w:vAlign w:val="center"/>
          </w:tcPr>
          <w:p w14:paraId="66E8B3DB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50.1 (26.7)</w:t>
            </w:r>
          </w:p>
        </w:tc>
        <w:tc>
          <w:tcPr>
            <w:tcW w:w="2070" w:type="dxa"/>
          </w:tcPr>
          <w:p w14:paraId="0848B433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51 [31-72]</w:t>
            </w:r>
          </w:p>
        </w:tc>
        <w:tc>
          <w:tcPr>
            <w:tcW w:w="1260" w:type="dxa"/>
          </w:tcPr>
          <w:p w14:paraId="6835C19F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200B9A" w:rsidRPr="00C473C6" w14:paraId="25C0E1ED" w14:textId="77777777" w:rsidTr="00120963">
        <w:tc>
          <w:tcPr>
            <w:tcW w:w="3258" w:type="dxa"/>
            <w:vAlign w:val="center"/>
          </w:tcPr>
          <w:p w14:paraId="6C31EC75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Women</w:t>
            </w:r>
          </w:p>
        </w:tc>
        <w:tc>
          <w:tcPr>
            <w:tcW w:w="1170" w:type="dxa"/>
            <w:vAlign w:val="bottom"/>
          </w:tcPr>
          <w:p w14:paraId="52492ED4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79.6</w:t>
            </w:r>
          </w:p>
        </w:tc>
        <w:tc>
          <w:tcPr>
            <w:tcW w:w="1530" w:type="dxa"/>
            <w:vAlign w:val="center"/>
          </w:tcPr>
          <w:p w14:paraId="5C964B43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44.6 (23.7)</w:t>
            </w:r>
          </w:p>
        </w:tc>
        <w:tc>
          <w:tcPr>
            <w:tcW w:w="2070" w:type="dxa"/>
          </w:tcPr>
          <w:p w14:paraId="0CD237CA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41 [31-62]</w:t>
            </w:r>
          </w:p>
        </w:tc>
        <w:tc>
          <w:tcPr>
            <w:tcW w:w="1260" w:type="dxa"/>
          </w:tcPr>
          <w:p w14:paraId="77B2E9D1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200B9A" w:rsidRPr="00C473C6" w14:paraId="4B48EEE7" w14:textId="77777777" w:rsidTr="00120963">
        <w:tc>
          <w:tcPr>
            <w:tcW w:w="3258" w:type="dxa"/>
            <w:vAlign w:val="center"/>
          </w:tcPr>
          <w:p w14:paraId="73A80342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General Health*</w:t>
            </w:r>
          </w:p>
        </w:tc>
        <w:tc>
          <w:tcPr>
            <w:tcW w:w="1170" w:type="dxa"/>
            <w:vAlign w:val="bottom"/>
          </w:tcPr>
          <w:p w14:paraId="0F91E3BB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77.2</w:t>
            </w:r>
          </w:p>
        </w:tc>
        <w:tc>
          <w:tcPr>
            <w:tcW w:w="1530" w:type="dxa"/>
            <w:vAlign w:val="center"/>
          </w:tcPr>
          <w:p w14:paraId="6ADA2E02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41.6 (22.7)</w:t>
            </w:r>
          </w:p>
        </w:tc>
        <w:tc>
          <w:tcPr>
            <w:tcW w:w="2070" w:type="dxa"/>
          </w:tcPr>
          <w:p w14:paraId="4F2401F4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 [25-57]</w:t>
            </w:r>
          </w:p>
        </w:tc>
        <w:tc>
          <w:tcPr>
            <w:tcW w:w="1260" w:type="dxa"/>
          </w:tcPr>
          <w:p w14:paraId="336BD7F7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Linear</w:t>
            </w:r>
          </w:p>
        </w:tc>
      </w:tr>
      <w:tr w:rsidR="00200B9A" w:rsidRPr="00C473C6" w14:paraId="464F1A94" w14:textId="77777777" w:rsidTr="00120963">
        <w:tc>
          <w:tcPr>
            <w:tcW w:w="3258" w:type="dxa"/>
            <w:vAlign w:val="center"/>
          </w:tcPr>
          <w:p w14:paraId="4801FB65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Vitality* </w:t>
            </w:r>
          </w:p>
        </w:tc>
        <w:tc>
          <w:tcPr>
            <w:tcW w:w="1170" w:type="dxa"/>
            <w:vAlign w:val="bottom"/>
          </w:tcPr>
          <w:p w14:paraId="0F16259D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63.3</w:t>
            </w:r>
          </w:p>
        </w:tc>
        <w:tc>
          <w:tcPr>
            <w:tcW w:w="1530" w:type="dxa"/>
            <w:vAlign w:val="center"/>
          </w:tcPr>
          <w:p w14:paraId="5FADBC4B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23.1 (19.2)</w:t>
            </w:r>
          </w:p>
        </w:tc>
        <w:tc>
          <w:tcPr>
            <w:tcW w:w="2070" w:type="dxa"/>
          </w:tcPr>
          <w:p w14:paraId="271D754B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 [10-35]</w:t>
            </w:r>
          </w:p>
        </w:tc>
        <w:tc>
          <w:tcPr>
            <w:tcW w:w="1260" w:type="dxa"/>
          </w:tcPr>
          <w:p w14:paraId="3029953D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Quantile </w:t>
            </w:r>
          </w:p>
        </w:tc>
      </w:tr>
      <w:tr w:rsidR="00200B9A" w:rsidRPr="00C473C6" w14:paraId="0FF4C623" w14:textId="77777777" w:rsidTr="00120963">
        <w:tc>
          <w:tcPr>
            <w:tcW w:w="3258" w:type="dxa"/>
            <w:vAlign w:val="center"/>
          </w:tcPr>
          <w:p w14:paraId="63BB7C4D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Social Function media</w:t>
            </w:r>
          </w:p>
        </w:tc>
        <w:tc>
          <w:tcPr>
            <w:tcW w:w="1170" w:type="dxa"/>
            <w:vAlign w:val="bottom"/>
          </w:tcPr>
          <w:p w14:paraId="2A9C7C54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84.3</w:t>
            </w:r>
          </w:p>
        </w:tc>
        <w:tc>
          <w:tcPr>
            <w:tcW w:w="1530" w:type="dxa"/>
            <w:vAlign w:val="center"/>
          </w:tcPr>
          <w:p w14:paraId="505A5AA3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34.4 (26.4)</w:t>
            </w:r>
          </w:p>
        </w:tc>
        <w:tc>
          <w:tcPr>
            <w:tcW w:w="2070" w:type="dxa"/>
          </w:tcPr>
          <w:p w14:paraId="3553FAEE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 [12.5-50]</w:t>
            </w:r>
          </w:p>
        </w:tc>
        <w:tc>
          <w:tcPr>
            <w:tcW w:w="1260" w:type="dxa"/>
          </w:tcPr>
          <w:p w14:paraId="71CE3C86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Quantile </w:t>
            </w:r>
          </w:p>
        </w:tc>
      </w:tr>
      <w:tr w:rsidR="00200B9A" w:rsidRPr="00C473C6" w14:paraId="0BBB2CFE" w14:textId="77777777" w:rsidTr="00120963">
        <w:tc>
          <w:tcPr>
            <w:tcW w:w="3258" w:type="dxa"/>
            <w:vAlign w:val="center"/>
          </w:tcPr>
          <w:p w14:paraId="3C61DE18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Men</w:t>
            </w:r>
          </w:p>
        </w:tc>
        <w:tc>
          <w:tcPr>
            <w:tcW w:w="1170" w:type="dxa"/>
            <w:vAlign w:val="bottom"/>
          </w:tcPr>
          <w:p w14:paraId="11920D19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87.5</w:t>
            </w:r>
          </w:p>
        </w:tc>
        <w:tc>
          <w:tcPr>
            <w:tcW w:w="1530" w:type="dxa"/>
            <w:vAlign w:val="center"/>
          </w:tcPr>
          <w:p w14:paraId="2B0D2B69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38.0 (27.2)</w:t>
            </w:r>
          </w:p>
        </w:tc>
        <w:tc>
          <w:tcPr>
            <w:tcW w:w="2070" w:type="dxa"/>
          </w:tcPr>
          <w:p w14:paraId="33471EE1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37.5 [12.5-62.5]</w:t>
            </w:r>
          </w:p>
        </w:tc>
        <w:tc>
          <w:tcPr>
            <w:tcW w:w="1260" w:type="dxa"/>
          </w:tcPr>
          <w:p w14:paraId="4A787F5F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200B9A" w:rsidRPr="00C473C6" w14:paraId="1F16E88D" w14:textId="77777777" w:rsidTr="00120963">
        <w:tc>
          <w:tcPr>
            <w:tcW w:w="3258" w:type="dxa"/>
            <w:vAlign w:val="center"/>
          </w:tcPr>
          <w:p w14:paraId="26B9B8B5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Women</w:t>
            </w:r>
          </w:p>
        </w:tc>
        <w:tc>
          <w:tcPr>
            <w:tcW w:w="1170" w:type="dxa"/>
            <w:vAlign w:val="bottom"/>
          </w:tcPr>
          <w:p w14:paraId="3DEFC694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88.5</w:t>
            </w:r>
          </w:p>
        </w:tc>
        <w:tc>
          <w:tcPr>
            <w:tcW w:w="1530" w:type="dxa"/>
            <w:vAlign w:val="center"/>
          </w:tcPr>
          <w:p w14:paraId="32A1F8E7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33.6 (25.9)</w:t>
            </w:r>
          </w:p>
        </w:tc>
        <w:tc>
          <w:tcPr>
            <w:tcW w:w="2070" w:type="dxa"/>
          </w:tcPr>
          <w:p w14:paraId="0AD6874B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25.0 [12.5-50]</w:t>
            </w:r>
          </w:p>
        </w:tc>
        <w:tc>
          <w:tcPr>
            <w:tcW w:w="1260" w:type="dxa"/>
          </w:tcPr>
          <w:p w14:paraId="631105C3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200B9A" w:rsidRPr="00C473C6" w14:paraId="7FB76E47" w14:textId="77777777" w:rsidTr="00120963">
        <w:tc>
          <w:tcPr>
            <w:tcW w:w="3258" w:type="dxa"/>
            <w:vAlign w:val="center"/>
          </w:tcPr>
          <w:p w14:paraId="4CE4337A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Role Emotional </w:t>
            </w:r>
          </w:p>
        </w:tc>
        <w:tc>
          <w:tcPr>
            <w:tcW w:w="1170" w:type="dxa"/>
            <w:vAlign w:val="bottom"/>
          </w:tcPr>
          <w:p w14:paraId="6997A962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84.2</w:t>
            </w:r>
          </w:p>
        </w:tc>
        <w:tc>
          <w:tcPr>
            <w:tcW w:w="1530" w:type="dxa"/>
            <w:vAlign w:val="center"/>
          </w:tcPr>
          <w:p w14:paraId="7A49FB2D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39.0 (43.3)</w:t>
            </w:r>
          </w:p>
        </w:tc>
        <w:tc>
          <w:tcPr>
            <w:tcW w:w="2070" w:type="dxa"/>
          </w:tcPr>
          <w:p w14:paraId="0335E0BE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 [0-100]</w:t>
            </w:r>
          </w:p>
        </w:tc>
        <w:tc>
          <w:tcPr>
            <w:tcW w:w="1260" w:type="dxa"/>
          </w:tcPr>
          <w:p w14:paraId="44FB8202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Ordinal</w:t>
            </w:r>
          </w:p>
        </w:tc>
      </w:tr>
      <w:tr w:rsidR="00200B9A" w:rsidRPr="00C473C6" w14:paraId="28FDDEF3" w14:textId="77777777" w:rsidTr="00120963">
        <w:tc>
          <w:tcPr>
            <w:tcW w:w="3258" w:type="dxa"/>
            <w:vAlign w:val="center"/>
          </w:tcPr>
          <w:p w14:paraId="3B0E8BAF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Men (% ≤ median)</w:t>
            </w:r>
          </w:p>
        </w:tc>
        <w:tc>
          <w:tcPr>
            <w:tcW w:w="1170" w:type="dxa"/>
            <w:vAlign w:val="bottom"/>
          </w:tcPr>
          <w:p w14:paraId="38119603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530" w:type="dxa"/>
            <w:vAlign w:val="center"/>
          </w:tcPr>
          <w:p w14:paraId="15B4B7FA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2070" w:type="dxa"/>
          </w:tcPr>
          <w:p w14:paraId="51029EDA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71.3%</w:t>
            </w:r>
          </w:p>
        </w:tc>
        <w:tc>
          <w:tcPr>
            <w:tcW w:w="1260" w:type="dxa"/>
          </w:tcPr>
          <w:p w14:paraId="6C94F167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200B9A" w:rsidRPr="00C473C6" w14:paraId="60C9E983" w14:textId="77777777" w:rsidTr="00120963">
        <w:tc>
          <w:tcPr>
            <w:tcW w:w="3258" w:type="dxa"/>
            <w:vAlign w:val="center"/>
          </w:tcPr>
          <w:p w14:paraId="2E5EE4B9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Women (% ≤ median)</w:t>
            </w:r>
          </w:p>
        </w:tc>
        <w:tc>
          <w:tcPr>
            <w:tcW w:w="1170" w:type="dxa"/>
            <w:vAlign w:val="bottom"/>
          </w:tcPr>
          <w:p w14:paraId="09795BE3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530" w:type="dxa"/>
            <w:vAlign w:val="center"/>
          </w:tcPr>
          <w:p w14:paraId="0FC6BC4E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2070" w:type="dxa"/>
          </w:tcPr>
          <w:p w14:paraId="5632AF96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61.8%</w:t>
            </w:r>
          </w:p>
        </w:tc>
        <w:tc>
          <w:tcPr>
            <w:tcW w:w="1260" w:type="dxa"/>
          </w:tcPr>
          <w:p w14:paraId="7186F09F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200B9A" w:rsidRPr="00C473C6" w14:paraId="7F48AABA" w14:textId="77777777" w:rsidTr="00120963">
        <w:tc>
          <w:tcPr>
            <w:tcW w:w="3258" w:type="dxa"/>
            <w:vAlign w:val="center"/>
          </w:tcPr>
          <w:p w14:paraId="3D103A34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Mental Health </w:t>
            </w:r>
          </w:p>
        </w:tc>
        <w:tc>
          <w:tcPr>
            <w:tcW w:w="1170" w:type="dxa"/>
            <w:vAlign w:val="bottom"/>
          </w:tcPr>
          <w:p w14:paraId="3295C125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75.6</w:t>
            </w:r>
          </w:p>
        </w:tc>
        <w:tc>
          <w:tcPr>
            <w:tcW w:w="1530" w:type="dxa"/>
            <w:vAlign w:val="center"/>
          </w:tcPr>
          <w:p w14:paraId="361F83A1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54.0 (20.9)</w:t>
            </w:r>
          </w:p>
        </w:tc>
        <w:tc>
          <w:tcPr>
            <w:tcW w:w="2070" w:type="dxa"/>
          </w:tcPr>
          <w:p w14:paraId="7209937F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 [40-68]</w:t>
            </w:r>
          </w:p>
        </w:tc>
        <w:tc>
          <w:tcPr>
            <w:tcW w:w="1260" w:type="dxa"/>
          </w:tcPr>
          <w:p w14:paraId="746C716F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Linear</w:t>
            </w:r>
          </w:p>
        </w:tc>
      </w:tr>
      <w:tr w:rsidR="00200B9A" w:rsidRPr="00C473C6" w14:paraId="5410C0C0" w14:textId="77777777" w:rsidTr="00120963">
        <w:tc>
          <w:tcPr>
            <w:tcW w:w="3258" w:type="dxa"/>
            <w:vAlign w:val="center"/>
          </w:tcPr>
          <w:p w14:paraId="21CAA812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170" w:type="dxa"/>
          </w:tcPr>
          <w:p w14:paraId="769E6FCF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530" w:type="dxa"/>
            <w:vAlign w:val="center"/>
          </w:tcPr>
          <w:p w14:paraId="37345E06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2070" w:type="dxa"/>
          </w:tcPr>
          <w:p w14:paraId="6F07CF8A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260" w:type="dxa"/>
          </w:tcPr>
          <w:p w14:paraId="19B1C64A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200B9A" w:rsidRPr="00C473C6" w14:paraId="681FDA87" w14:textId="77777777" w:rsidTr="00120963">
        <w:tc>
          <w:tcPr>
            <w:tcW w:w="3258" w:type="dxa"/>
            <w:vAlign w:val="center"/>
          </w:tcPr>
          <w:p w14:paraId="21BF649D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EQ-5D Index</w:t>
            </w: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* (0 – 1 best) </w:t>
            </w:r>
          </w:p>
        </w:tc>
        <w:tc>
          <w:tcPr>
            <w:tcW w:w="1170" w:type="dxa"/>
            <w:vAlign w:val="center"/>
          </w:tcPr>
          <w:p w14:paraId="46838CDD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0.80</w:t>
            </w:r>
          </w:p>
        </w:tc>
        <w:tc>
          <w:tcPr>
            <w:tcW w:w="1530" w:type="dxa"/>
            <w:vAlign w:val="center"/>
          </w:tcPr>
          <w:p w14:paraId="3FBFCC1B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0.63 (0.23)</w:t>
            </w:r>
          </w:p>
        </w:tc>
        <w:tc>
          <w:tcPr>
            <w:tcW w:w="2070" w:type="dxa"/>
          </w:tcPr>
          <w:p w14:paraId="3C060F23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0.69 [0.5 – 0.8]</w:t>
            </w:r>
          </w:p>
        </w:tc>
        <w:tc>
          <w:tcPr>
            <w:tcW w:w="1260" w:type="dxa"/>
          </w:tcPr>
          <w:p w14:paraId="4F7F77B2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Linear</w:t>
            </w:r>
          </w:p>
        </w:tc>
      </w:tr>
      <w:tr w:rsidR="00200B9A" w:rsidRPr="00C473C6" w14:paraId="0D3D716F" w14:textId="77777777" w:rsidTr="00120963">
        <w:tc>
          <w:tcPr>
            <w:tcW w:w="3258" w:type="dxa"/>
            <w:vAlign w:val="center"/>
          </w:tcPr>
          <w:p w14:paraId="290F5858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bookmarkStart w:id="1" w:name="_Hlk132098408"/>
            <w:r w:rsidRPr="00C473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General health </w:t>
            </w:r>
          </w:p>
        </w:tc>
        <w:tc>
          <w:tcPr>
            <w:tcW w:w="1170" w:type="dxa"/>
            <w:vAlign w:val="center"/>
          </w:tcPr>
          <w:p w14:paraId="4CBCDFA4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530" w:type="dxa"/>
            <w:vAlign w:val="center"/>
          </w:tcPr>
          <w:p w14:paraId="04DC6ED9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38.5 (22.4)</w:t>
            </w:r>
          </w:p>
        </w:tc>
        <w:tc>
          <w:tcPr>
            <w:tcW w:w="2070" w:type="dxa"/>
          </w:tcPr>
          <w:p w14:paraId="17952D43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35.0 [21.0 – 50.0]</w:t>
            </w:r>
          </w:p>
        </w:tc>
        <w:tc>
          <w:tcPr>
            <w:tcW w:w="1260" w:type="dxa"/>
          </w:tcPr>
          <w:p w14:paraId="50F6202E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Linear</w:t>
            </w:r>
          </w:p>
        </w:tc>
      </w:tr>
      <w:tr w:rsidR="00200B9A" w:rsidRPr="00C473C6" w14:paraId="7751FB16" w14:textId="77777777" w:rsidTr="00120963">
        <w:tc>
          <w:tcPr>
            <w:tcW w:w="3258" w:type="dxa"/>
            <w:vAlign w:val="center"/>
          </w:tcPr>
          <w:p w14:paraId="0935784F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QOL </w:t>
            </w:r>
          </w:p>
        </w:tc>
        <w:tc>
          <w:tcPr>
            <w:tcW w:w="1170" w:type="dxa"/>
            <w:vAlign w:val="center"/>
          </w:tcPr>
          <w:p w14:paraId="63551F07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530" w:type="dxa"/>
            <w:vAlign w:val="center"/>
          </w:tcPr>
          <w:p w14:paraId="53942F73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37.9 (24.2)</w:t>
            </w:r>
          </w:p>
        </w:tc>
        <w:tc>
          <w:tcPr>
            <w:tcW w:w="2070" w:type="dxa"/>
          </w:tcPr>
          <w:p w14:paraId="76ED3BCC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35.0 [20.0 – 50.0]</w:t>
            </w:r>
          </w:p>
        </w:tc>
        <w:tc>
          <w:tcPr>
            <w:tcW w:w="1260" w:type="dxa"/>
          </w:tcPr>
          <w:p w14:paraId="061BE5F7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Linear</w:t>
            </w:r>
          </w:p>
        </w:tc>
      </w:tr>
      <w:tr w:rsidR="00200B9A" w:rsidRPr="00C473C6" w14:paraId="74B59B14" w14:textId="77777777" w:rsidTr="00120963">
        <w:tc>
          <w:tcPr>
            <w:tcW w:w="3258" w:type="dxa"/>
            <w:vAlign w:val="center"/>
          </w:tcPr>
          <w:p w14:paraId="1F1A6A57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PGI</w:t>
            </w:r>
          </w:p>
        </w:tc>
        <w:tc>
          <w:tcPr>
            <w:tcW w:w="1170" w:type="dxa"/>
            <w:vAlign w:val="center"/>
          </w:tcPr>
          <w:p w14:paraId="536E3C15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530" w:type="dxa"/>
            <w:vAlign w:val="center"/>
          </w:tcPr>
          <w:p w14:paraId="4703DF79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26.3 (14.6)</w:t>
            </w:r>
          </w:p>
        </w:tc>
        <w:tc>
          <w:tcPr>
            <w:tcW w:w="2070" w:type="dxa"/>
          </w:tcPr>
          <w:p w14:paraId="7AA109BB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25.0 [</w:t>
            </w:r>
            <w:proofErr w:type="gramStart"/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17.0  –</w:t>
            </w:r>
            <w:proofErr w:type="gramEnd"/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34.0] </w:t>
            </w:r>
          </w:p>
        </w:tc>
        <w:tc>
          <w:tcPr>
            <w:tcW w:w="1260" w:type="dxa"/>
          </w:tcPr>
          <w:p w14:paraId="0EFF56E7" w14:textId="77777777" w:rsidR="00200B9A" w:rsidRPr="00C473C6" w:rsidRDefault="00200B9A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Linear</w:t>
            </w:r>
          </w:p>
        </w:tc>
      </w:tr>
    </w:tbl>
    <w:bookmarkEnd w:id="1"/>
    <w:p w14:paraId="760B532F" w14:textId="77777777" w:rsidR="00200B9A" w:rsidRPr="00C473C6" w:rsidRDefault="00200B9A" w:rsidP="00200B9A">
      <w:pPr>
        <w:tabs>
          <w:tab w:val="left" w:pos="3165"/>
        </w:tabs>
        <w:rPr>
          <w:rFonts w:ascii="Times New Roman" w:hAnsi="Times New Roman" w:cs="Times New Roman"/>
          <w:color w:val="000000"/>
          <w:sz w:val="22"/>
          <w:szCs w:val="22"/>
        </w:rPr>
      </w:pPr>
      <w:r w:rsidRPr="00C473C6">
        <w:rPr>
          <w:rFonts w:ascii="Times New Roman" w:hAnsi="Times New Roman" w:cs="Times New Roman"/>
          <w:color w:val="000000"/>
          <w:sz w:val="22"/>
          <w:szCs w:val="22"/>
        </w:rPr>
        <w:t xml:space="preserve">* </w:t>
      </w:r>
      <w:proofErr w:type="gramStart"/>
      <w:r w:rsidRPr="00C473C6">
        <w:rPr>
          <w:rFonts w:ascii="Times New Roman" w:hAnsi="Times New Roman" w:cs="Times New Roman"/>
          <w:color w:val="000000"/>
          <w:sz w:val="22"/>
          <w:szCs w:val="22"/>
        </w:rPr>
        <w:t>age</w:t>
      </w:r>
      <w:proofErr w:type="gramEnd"/>
      <w:r w:rsidRPr="00C473C6">
        <w:rPr>
          <w:rFonts w:ascii="Times New Roman" w:hAnsi="Times New Roman" w:cs="Times New Roman"/>
          <w:color w:val="000000"/>
          <w:sz w:val="22"/>
          <w:szCs w:val="22"/>
        </w:rPr>
        <w:t xml:space="preserve"> effect, older is better </w:t>
      </w:r>
    </w:p>
    <w:p w14:paraId="2B833B45" w14:textId="77777777" w:rsidR="00200B9A" w:rsidRPr="00C473C6" w:rsidRDefault="00200B9A" w:rsidP="00200B9A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C473C6">
        <w:rPr>
          <w:rFonts w:ascii="Times New Roman" w:hAnsi="Times New Roman" w:cs="Times New Roman"/>
          <w:sz w:val="22"/>
          <w:szCs w:val="22"/>
        </w:rPr>
        <w:t xml:space="preserve">Norms for RAND-36 are from </w:t>
      </w:r>
      <w:proofErr w:type="spellStart"/>
      <w:r w:rsidRPr="00C473C6">
        <w:rPr>
          <w:rFonts w:ascii="Times New Roman" w:hAnsi="Times New Roman" w:cs="Times New Roman"/>
          <w:sz w:val="22"/>
          <w:szCs w:val="22"/>
        </w:rPr>
        <w:t>Hopman</w:t>
      </w:r>
      <w:proofErr w:type="spellEnd"/>
      <w:r w:rsidRPr="00C473C6">
        <w:rPr>
          <w:rFonts w:ascii="Times New Roman" w:hAnsi="Times New Roman" w:cs="Times New Roman"/>
          <w:sz w:val="22"/>
          <w:szCs w:val="22"/>
        </w:rPr>
        <w:t xml:space="preserve"> et al.</w:t>
      </w:r>
      <w:r w:rsidRPr="00C473C6">
        <w:rPr>
          <w:rFonts w:ascii="Times New Roman" w:hAnsi="Times New Roman" w:cs="Times New Roman"/>
          <w:sz w:val="22"/>
          <w:szCs w:val="22"/>
        </w:rPr>
        <w:fldChar w:fldCharType="begin"/>
      </w:r>
      <w:r>
        <w:rPr>
          <w:rFonts w:ascii="Times New Roman" w:hAnsi="Times New Roman" w:cs="Times New Roman"/>
          <w:sz w:val="22"/>
          <w:szCs w:val="22"/>
        </w:rPr>
        <w:instrText xml:space="preserve"> ADDIN EN.CITE &lt;EndNote&gt;&lt;Cite&gt;&lt;Author&gt;Hopman&lt;/Author&gt;&lt;Year&gt;2000&lt;/Year&gt;&lt;RecNum&gt;2210&lt;/RecNum&gt;&lt;DisplayText&gt;(36)&lt;/DisplayText&gt;&lt;record&gt;&lt;rec-number&gt;2210&lt;/rec-number&gt;&lt;foreign-keys&gt;&lt;key app="EN" db-id="f095xp9x65a0zwesdv5psttpw5fptftertpx" timestamp="1601821929"&gt;2210&lt;/key&gt;&lt;/foreign-keys&gt;&lt;ref-type name="Journal Article"&gt;17&lt;/ref-type&gt;&lt;contributors&gt;&lt;authors&gt;&lt;author&gt;Hopman, W. M.&lt;/author&gt;&lt;author&gt;Towheed, T.&lt;/author&gt;&lt;author&gt;Anastassiades, T.&lt;/author&gt;&lt;author&gt;Tenenhouse, A.&lt;/author&gt;&lt;author&gt;Poliquin, S.&lt;/author&gt;&lt;author&gt;Berger, C.&lt;/author&gt;&lt;author&gt;Joseph, L.&lt;/author&gt;&lt;author&gt;Brown, J. P.&lt;/author&gt;&lt;author&gt;Murray, T. M.&lt;/author&gt;&lt;author&gt;Adachi, J. D.&lt;/author&gt;&lt;author&gt;Hanley, D. A.&lt;/author&gt;&lt;author&gt;Papadimitropoulos, E.&lt;/author&gt;&lt;/authors&gt;&lt;/contributors&gt;&lt;titles&gt;&lt;title&gt;Canadian normative data for the SF-36 health survey&lt;/title&gt;&lt;secondary-title&gt;Canadian Medical Association Journal&lt;/secondary-title&gt;&lt;/titles&gt;&lt;periodical&gt;&lt;full-title&gt;Canadian Medical Association Journal&lt;/full-title&gt;&lt;/periodical&gt;&lt;pages&gt;265-271&lt;/pages&gt;&lt;volume&gt;163&lt;/volume&gt;&lt;number&gt;3&lt;/number&gt;&lt;keywords&gt;&lt;keyword&gt;normative data&lt;/keyword&gt;&lt;keyword&gt;survey&lt;/keyword&gt;&lt;keyword&gt;Medical Outcomes Study&lt;/keyword&gt;&lt;keyword&gt;outcomes&lt;/keyword&gt;&lt;keyword&gt;outcome&lt;/keyword&gt;&lt;keyword&gt;sf-36&lt;/keyword&gt;&lt;keyword&gt;health-related quality of life&lt;/keyword&gt;&lt;keyword&gt;Health related quality of life&lt;/keyword&gt;&lt;keyword&gt;quality of life&lt;/keyword&gt;&lt;keyword&gt;age&lt;/keyword&gt;&lt;keyword&gt;have&lt;/keyword&gt;&lt;keyword&gt;canada&lt;/keyword&gt;&lt;keyword&gt;Methods&lt;/keyword&gt;&lt;keyword&gt;osteoporosis&lt;/keyword&gt;&lt;keyword&gt;Cohort Studies&lt;/keyword&gt;&lt;keyword&gt;women&lt;/keyword&gt;&lt;keyword&gt;aged&lt;/keyword&gt;&lt;keyword&gt;2&lt;/keyword&gt;&lt;keyword&gt;Health&lt;/keyword&gt;&lt;keyword&gt;health status&lt;/keyword&gt;&lt;keyword&gt;status&lt;/keyword&gt;&lt;/keywords&gt;&lt;dates&gt;&lt;year&gt;2000&lt;/year&gt;&lt;/dates&gt;&lt;urls&gt;&lt;/urls&gt;&lt;/record&gt;&lt;/Cite&gt;&lt;/EndNote&gt;</w:instrText>
      </w:r>
      <w:r w:rsidRPr="00C473C6"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sz w:val="22"/>
          <w:szCs w:val="22"/>
        </w:rPr>
        <w:t>(36)</w:t>
      </w:r>
      <w:r w:rsidRPr="00C473C6">
        <w:rPr>
          <w:rFonts w:ascii="Times New Roman" w:hAnsi="Times New Roman" w:cs="Times New Roman"/>
          <w:sz w:val="22"/>
          <w:szCs w:val="22"/>
        </w:rPr>
        <w:fldChar w:fldCharType="end"/>
      </w:r>
      <w:r w:rsidRPr="00C473C6">
        <w:rPr>
          <w:rFonts w:ascii="Times New Roman" w:hAnsi="Times New Roman" w:cs="Times New Roman"/>
          <w:sz w:val="22"/>
          <w:szCs w:val="22"/>
        </w:rPr>
        <w:t>; Norms for EQ-5D Utility are from Poder et al.</w:t>
      </w:r>
      <w:r w:rsidRPr="00C473C6">
        <w:rPr>
          <w:rFonts w:ascii="Times New Roman" w:hAnsi="Times New Roman" w:cs="Times New Roman"/>
          <w:color w:val="000000"/>
          <w:sz w:val="22"/>
          <w:szCs w:val="22"/>
        </w:rPr>
        <w:fldChar w:fldCharType="begin">
          <w:fldData xml:space="preserve">PEVuZE5vdGU+PENpdGU+PEF1dGhvcj5Qb2RlcjwvQXV0aG9yPjxZZWFyPjIwMjA8L1llYXI+PFJl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</w:fldData>
        </w:fldChar>
      </w:r>
      <w:r>
        <w:rPr>
          <w:rFonts w:ascii="Times New Roman" w:hAnsi="Times New Roman" w:cs="Times New Roman"/>
          <w:color w:val="000000"/>
          <w:sz w:val="22"/>
          <w:szCs w:val="22"/>
        </w:rPr>
        <w:instrText xml:space="preserve"> ADDIN EN.CITE </w:instrText>
      </w:r>
      <w:r>
        <w:rPr>
          <w:rFonts w:ascii="Times New Roman" w:hAnsi="Times New Roman" w:cs="Times New Roman"/>
          <w:color w:val="000000"/>
          <w:sz w:val="22"/>
          <w:szCs w:val="22"/>
        </w:rPr>
        <w:fldChar w:fldCharType="begin">
          <w:fldData xml:space="preserve">PEVuZE5vdGU+PENpdGU+PEF1dGhvcj5Qb2RlcjwvQXV0aG9yPjxZZWFyPjIwMjA8L1llYXI+PFJl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</w:fldData>
        </w:fldChar>
      </w:r>
      <w:r>
        <w:rPr>
          <w:rFonts w:ascii="Times New Roman" w:hAnsi="Times New Roman" w:cs="Times New Roman"/>
          <w:color w:val="000000"/>
          <w:sz w:val="22"/>
          <w:szCs w:val="22"/>
        </w:rPr>
        <w:instrText xml:space="preserve"> ADDIN EN.CITE.DATA </w:instrTex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  <w:fldChar w:fldCharType="end"/>
      </w:r>
      <w:r w:rsidRPr="00C473C6">
        <w:rPr>
          <w:rFonts w:ascii="Times New Roman" w:hAnsi="Times New Roman" w:cs="Times New Roman"/>
          <w:color w:val="000000"/>
          <w:sz w:val="22"/>
          <w:szCs w:val="22"/>
        </w:rPr>
      </w:r>
      <w:r w:rsidRPr="00C473C6">
        <w:rPr>
          <w:rFonts w:ascii="Times New Roman" w:hAnsi="Times New Roman" w:cs="Times New Roman"/>
          <w:color w:val="000000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color w:val="000000"/>
          <w:sz w:val="22"/>
          <w:szCs w:val="22"/>
        </w:rPr>
        <w:t>(37)</w:t>
      </w:r>
      <w:r w:rsidRPr="00C473C6">
        <w:rPr>
          <w:rFonts w:ascii="Times New Roman" w:hAnsi="Times New Roman" w:cs="Times New Roman"/>
          <w:color w:val="000000"/>
          <w:sz w:val="22"/>
          <w:szCs w:val="22"/>
        </w:rPr>
        <w:fldChar w:fldCharType="end"/>
      </w:r>
    </w:p>
    <w:p w14:paraId="64859005" w14:textId="77777777" w:rsidR="00200B9A" w:rsidRPr="00C473C6" w:rsidRDefault="00200B9A" w:rsidP="00200B9A">
      <w:pPr>
        <w:tabs>
          <w:tab w:val="left" w:pos="3165"/>
        </w:tabs>
        <w:rPr>
          <w:rFonts w:ascii="Times New Roman" w:hAnsi="Times New Roman" w:cs="Times New Roman"/>
          <w:color w:val="000000"/>
          <w:sz w:val="22"/>
          <w:szCs w:val="22"/>
        </w:rPr>
      </w:pPr>
    </w:p>
    <w:p w14:paraId="6D9F8036" w14:textId="77777777" w:rsidR="00E90EE5" w:rsidRPr="00C473C6" w:rsidRDefault="00E90EE5" w:rsidP="00E90EE5">
      <w:pPr>
        <w:rPr>
          <w:rFonts w:ascii="Times New Roman" w:hAnsi="Times New Roman" w:cs="Times New Roman"/>
          <w:color w:val="000000"/>
          <w:sz w:val="22"/>
          <w:szCs w:val="22"/>
        </w:rPr>
      </w:pPr>
    </w:p>
    <w:sectPr w:rsidR="00E90EE5" w:rsidRPr="00C473C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D2831" w14:textId="77777777" w:rsidR="00BC0799" w:rsidRDefault="00BC0799" w:rsidP="00F346ED">
      <w:r>
        <w:separator/>
      </w:r>
    </w:p>
  </w:endnote>
  <w:endnote w:type="continuationSeparator" w:id="0">
    <w:p w14:paraId="6049D059" w14:textId="77777777" w:rsidR="00BC0799" w:rsidRDefault="00BC0799" w:rsidP="00F3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AE358" w14:textId="77777777" w:rsidR="00BC0799" w:rsidRDefault="00BC0799" w:rsidP="00F346ED">
      <w:r>
        <w:separator/>
      </w:r>
    </w:p>
  </w:footnote>
  <w:footnote w:type="continuationSeparator" w:id="0">
    <w:p w14:paraId="0F59B523" w14:textId="77777777" w:rsidR="00BC0799" w:rsidRDefault="00BC0799" w:rsidP="00F34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C04AD" w14:textId="4BEA0FD4" w:rsidR="00F346ED" w:rsidRDefault="00F346ED" w:rsidP="00F346ED">
    <w:pPr>
      <w:pStyle w:val="Heading1"/>
    </w:pPr>
    <w:r w:rsidRPr="001B3E1D">
      <w:rPr>
        <w:rFonts w:asciiTheme="majorBidi" w:hAnsiTheme="majorBidi"/>
        <w:color w:val="000000" w:themeColor="text1"/>
        <w:sz w:val="24"/>
        <w:szCs w:val="24"/>
      </w:rPr>
      <w:t xml:space="preserve">A patient-centered view of symptoms, functional impact, and priorities in post-COVID-19 syndrome:  Cross-sectional results from the Québec Action </w:t>
    </w:r>
    <w:proofErr w:type="spellStart"/>
    <w:r w:rsidRPr="001B3E1D">
      <w:rPr>
        <w:rFonts w:asciiTheme="majorBidi" w:hAnsiTheme="majorBidi"/>
        <w:color w:val="000000" w:themeColor="text1"/>
        <w:sz w:val="24"/>
        <w:szCs w:val="24"/>
      </w:rPr>
      <w:t>Post-COVID</w:t>
    </w:r>
    <w:proofErr w:type="spellEnd"/>
    <w:r w:rsidRPr="001B3E1D">
      <w:rPr>
        <w:rFonts w:asciiTheme="majorBidi" w:hAnsiTheme="majorBidi"/>
        <w:color w:val="000000" w:themeColor="text1"/>
        <w:sz w:val="24"/>
        <w:szCs w:val="24"/>
      </w:rPr>
      <w:t xml:space="preserve"> cohort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6ED"/>
    <w:rsid w:val="001D3DB9"/>
    <w:rsid w:val="00200B9A"/>
    <w:rsid w:val="00562A3F"/>
    <w:rsid w:val="00BA791E"/>
    <w:rsid w:val="00BC0799"/>
    <w:rsid w:val="00E90EE5"/>
    <w:rsid w:val="00F3446B"/>
    <w:rsid w:val="00F3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EC527"/>
  <w15:chartTrackingRefBased/>
  <w15:docId w15:val="{A0075F7E-6B99-4FC9-94C5-B752D45B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6ED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46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46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46ED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346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46ED"/>
    <w:rPr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346E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Mayo, Prof.</dc:creator>
  <cp:keywords/>
  <dc:description/>
  <cp:lastModifiedBy>Nancy Mayo, Prof.</cp:lastModifiedBy>
  <cp:revision>3</cp:revision>
  <dcterms:created xsi:type="dcterms:W3CDTF">2023-05-28T00:38:00Z</dcterms:created>
  <dcterms:modified xsi:type="dcterms:W3CDTF">2023-05-28T00:38:00Z</dcterms:modified>
</cp:coreProperties>
</file>