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EBBD0" w14:textId="77777777" w:rsidR="00A419C4" w:rsidRDefault="00A419C4" w:rsidP="00A419C4">
      <w:pPr>
        <w:rPr>
          <w:b/>
          <w:bCs/>
          <w:lang w:val="en-GB"/>
        </w:rPr>
      </w:pPr>
      <w:r>
        <w:rPr>
          <w:b/>
          <w:bCs/>
          <w:lang w:val="en-GB"/>
        </w:rPr>
        <w:t>Supplementary material</w:t>
      </w:r>
    </w:p>
    <w:p w14:paraId="4F181AC4" w14:textId="77777777" w:rsidR="00A419C4" w:rsidRDefault="00A419C4" w:rsidP="00A419C4">
      <w:pPr>
        <w:rPr>
          <w:lang w:val="en-GB"/>
        </w:rPr>
      </w:pPr>
    </w:p>
    <w:p w14:paraId="6AC7A2F3" w14:textId="77777777" w:rsidR="00A419C4" w:rsidRDefault="00A419C4" w:rsidP="00A419C4">
      <w:r>
        <w:rPr>
          <w:b/>
          <w:bCs/>
          <w:lang w:val="en-GB"/>
        </w:rPr>
        <w:t>Table S1.</w:t>
      </w:r>
      <w:r>
        <w:rPr>
          <w:lang w:val="en-GB"/>
        </w:rPr>
        <w:t xml:space="preserve"> Variance analysis of the prevalence of antibiotic resistance genes depending on the isolation and taxonomic parameters</w:t>
      </w:r>
    </w:p>
    <w:tbl>
      <w:tblPr>
        <w:tblW w:w="87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"/>
        <w:gridCol w:w="1450"/>
        <w:gridCol w:w="1276"/>
        <w:gridCol w:w="1276"/>
        <w:gridCol w:w="1134"/>
        <w:gridCol w:w="1512"/>
        <w:gridCol w:w="47"/>
        <w:gridCol w:w="1087"/>
      </w:tblGrid>
      <w:tr w:rsidR="00A419C4" w14:paraId="08BA2C7D" w14:textId="77777777" w:rsidTr="00611848">
        <w:trPr>
          <w:trHeight w:val="288"/>
        </w:trPr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C324A4" w14:textId="77777777" w:rsidR="00A419C4" w:rsidRDefault="00A419C4" w:rsidP="00611848">
            <w:pPr>
              <w:suppressAutoHyphens w:val="0"/>
              <w:spacing w:after="0"/>
              <w:rPr>
                <w:rFonts w:eastAsia="Times New Roman" w:cs="Calibri"/>
                <w:lang w:val="en-GB" w:eastAsia="hu-HU"/>
              </w:rPr>
            </w:pPr>
            <w:r>
              <w:rPr>
                <w:rFonts w:eastAsia="Times New Roman" w:cs="Calibri"/>
                <w:lang w:val="en-GB" w:eastAsia="hu-HU"/>
              </w:rPr>
              <w:t>Genes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614B78" w14:textId="77777777" w:rsidR="00A419C4" w:rsidRDefault="00A419C4" w:rsidP="00611848">
            <w:pPr>
              <w:suppressAutoHyphens w:val="0"/>
              <w:spacing w:after="0"/>
              <w:jc w:val="center"/>
            </w:pPr>
            <w:r>
              <w:rPr>
                <w:rFonts w:eastAsia="Times New Roman" w:cs="Calibri"/>
                <w:color w:val="000000"/>
                <w:lang w:val="en-GB" w:eastAsia="hu-HU"/>
              </w:rPr>
              <w:t xml:space="preserve">MP </w:t>
            </w: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Suppl</w:t>
            </w:r>
            <w:r>
              <w:rPr>
                <w:rFonts w:eastAsia="Times New Roman" w:cs="Calibri"/>
                <w:color w:val="000000"/>
                <w:vertAlign w:val="superscript"/>
                <w:lang w:val="en-GB" w:eastAsia="hu-HU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9914A9" w14:textId="77777777" w:rsidR="00A419C4" w:rsidRDefault="00A419C4" w:rsidP="00611848">
            <w:pPr>
              <w:suppressAutoHyphens w:val="0"/>
              <w:spacing w:after="0"/>
              <w:jc w:val="center"/>
            </w:pPr>
            <w:r>
              <w:rPr>
                <w:rFonts w:eastAsia="Times New Roman" w:cs="Calibri"/>
                <w:color w:val="000000"/>
                <w:lang w:val="en-GB" w:eastAsia="hu-HU"/>
              </w:rPr>
              <w:t>T-</w:t>
            </w: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NT</w:t>
            </w:r>
            <w:r>
              <w:rPr>
                <w:rFonts w:eastAsia="Times New Roman" w:cs="Calibri"/>
                <w:color w:val="000000"/>
                <w:vertAlign w:val="superscript"/>
                <w:lang w:val="en-GB" w:eastAsia="hu-HU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BA579C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BFC8B2" w14:textId="77777777" w:rsidR="00A419C4" w:rsidRDefault="00A419C4" w:rsidP="00611848">
            <w:pPr>
              <w:suppressAutoHyphens w:val="0"/>
              <w:spacing w:after="0"/>
              <w:jc w:val="center"/>
            </w:pPr>
            <w:r>
              <w:rPr>
                <w:rFonts w:eastAsia="Times New Roman" w:cs="Calibri"/>
                <w:color w:val="000000"/>
                <w:lang w:val="en-GB" w:eastAsia="hu-HU"/>
              </w:rPr>
              <w:t>BF-</w:t>
            </w: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NBFB</w:t>
            </w:r>
            <w:r>
              <w:rPr>
                <w:rFonts w:eastAsia="Times New Roman" w:cs="Calibri"/>
                <w:color w:val="000000"/>
                <w:vertAlign w:val="superscript"/>
                <w:lang w:val="en-GB" w:eastAsia="hu-HU"/>
              </w:rPr>
              <w:t>a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834A61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Species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C92C6C" w14:textId="77777777" w:rsidR="00A419C4" w:rsidRDefault="00A419C4" w:rsidP="00611848">
            <w:pPr>
              <w:suppressAutoHyphens w:val="0"/>
              <w:spacing w:after="0"/>
              <w:jc w:val="center"/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DivI-II</w:t>
            </w:r>
            <w:r>
              <w:rPr>
                <w:rFonts w:eastAsia="Times New Roman" w:cs="Calibri"/>
                <w:color w:val="000000"/>
                <w:vertAlign w:val="superscript"/>
                <w:lang w:val="en-GB" w:eastAsia="hu-HU"/>
              </w:rPr>
              <w:t>a</w:t>
            </w:r>
            <w:proofErr w:type="spellEnd"/>
          </w:p>
        </w:tc>
      </w:tr>
      <w:tr w:rsidR="00A419C4" w14:paraId="7ECB2707" w14:textId="77777777" w:rsidTr="00611848">
        <w:trPr>
          <w:trHeight w:val="288"/>
        </w:trPr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49778C" w14:textId="77777777" w:rsidR="00A419C4" w:rsidRDefault="00A419C4" w:rsidP="00611848">
            <w:pPr>
              <w:suppressAutoHyphens w:val="0"/>
              <w:spacing w:after="0"/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</w:pPr>
            <w:r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  <w:t>cepA</w:t>
            </w:r>
          </w:p>
        </w:tc>
        <w:tc>
          <w:tcPr>
            <w:tcW w:w="145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7C2248" w14:textId="77777777" w:rsidR="00A419C4" w:rsidRDefault="00A419C4" w:rsidP="00611848">
            <w:pPr>
              <w:suppressAutoHyphens w:val="0"/>
              <w:spacing w:after="0"/>
              <w:jc w:val="center"/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</w:t>
            </w:r>
            <w:proofErr w:type="gramStart"/>
            <w:r>
              <w:rPr>
                <w:rFonts w:eastAsia="Times New Roman" w:cs="Calibri"/>
                <w:color w:val="000000"/>
                <w:lang w:val="en-GB" w:eastAsia="hu-HU"/>
              </w:rPr>
              <w:t>s.</w:t>
            </w:r>
            <w:r>
              <w:rPr>
                <w:rFonts w:eastAsia="Times New Roman" w:cs="Calibri"/>
                <w:color w:val="000000"/>
                <w:vertAlign w:val="superscript"/>
                <w:lang w:val="en-GB" w:eastAsia="hu-HU"/>
              </w:rPr>
              <w:t>b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BF7A1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979C4E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541463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&lt;0.001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9EC858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&lt;0.001</w:t>
            </w:r>
          </w:p>
        </w:tc>
        <w:tc>
          <w:tcPr>
            <w:tcW w:w="1087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78C284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0.005</w:t>
            </w:r>
          </w:p>
        </w:tc>
      </w:tr>
      <w:tr w:rsidR="00A419C4" w14:paraId="103C2CC5" w14:textId="77777777" w:rsidTr="00611848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A53905" w14:textId="77777777" w:rsidR="00A419C4" w:rsidRDefault="00A419C4" w:rsidP="00611848">
            <w:pPr>
              <w:suppressAutoHyphens w:val="0"/>
              <w:spacing w:after="0"/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  <w:t>cfxA</w:t>
            </w:r>
            <w:proofErr w:type="spellEnd"/>
          </w:p>
        </w:tc>
        <w:tc>
          <w:tcPr>
            <w:tcW w:w="145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8949DD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E35CFB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72DDC8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&lt;0.001</w:t>
            </w:r>
          </w:p>
        </w:tc>
        <w:tc>
          <w:tcPr>
            <w:tcW w:w="113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B2F7E8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&lt;0.001</w:t>
            </w:r>
          </w:p>
        </w:tc>
        <w:tc>
          <w:tcPr>
            <w:tcW w:w="155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DD463C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0.002</w:t>
            </w:r>
          </w:p>
        </w:tc>
        <w:tc>
          <w:tcPr>
            <w:tcW w:w="108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DC6C86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</w:tr>
      <w:tr w:rsidR="00A419C4" w14:paraId="6E47EAE8" w14:textId="77777777" w:rsidTr="00611848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8E3E1B" w14:textId="77777777" w:rsidR="00A419C4" w:rsidRDefault="00A419C4" w:rsidP="00611848">
            <w:pPr>
              <w:suppressAutoHyphens w:val="0"/>
              <w:spacing w:after="0"/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</w:pPr>
            <w:r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  <w:t>cfiA</w:t>
            </w:r>
          </w:p>
        </w:tc>
        <w:tc>
          <w:tcPr>
            <w:tcW w:w="145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F18905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225E5B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8AA538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F13F38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&lt;0.001</w:t>
            </w:r>
          </w:p>
        </w:tc>
        <w:tc>
          <w:tcPr>
            <w:tcW w:w="155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31412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08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F5D061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&lt;0.001</w:t>
            </w:r>
          </w:p>
        </w:tc>
      </w:tr>
      <w:tr w:rsidR="00A419C4" w14:paraId="07DE6C33" w14:textId="77777777" w:rsidTr="00611848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0BC608" w14:textId="77777777" w:rsidR="00A419C4" w:rsidRDefault="00A419C4" w:rsidP="00611848">
            <w:pPr>
              <w:suppressAutoHyphens w:val="0"/>
              <w:spacing w:after="0"/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</w:pPr>
            <w:r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  <w:t>erm</w:t>
            </w:r>
            <w:r w:rsidRPr="0042057E">
              <w:rPr>
                <w:rFonts w:eastAsia="Times New Roman" w:cs="Calibri"/>
                <w:color w:val="000000"/>
                <w:lang w:val="en-GB" w:eastAsia="hu-HU"/>
              </w:rPr>
              <w:t>(F)</w:t>
            </w:r>
          </w:p>
        </w:tc>
        <w:tc>
          <w:tcPr>
            <w:tcW w:w="145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B91592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0.003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7D54C3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2984B3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&lt;0.001</w:t>
            </w:r>
          </w:p>
        </w:tc>
        <w:tc>
          <w:tcPr>
            <w:tcW w:w="113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D481EC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0.009</w:t>
            </w:r>
          </w:p>
        </w:tc>
        <w:tc>
          <w:tcPr>
            <w:tcW w:w="155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890BBB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08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93EC56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</w:tr>
      <w:tr w:rsidR="00A419C4" w14:paraId="2B0B378D" w14:textId="77777777" w:rsidTr="00611848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E9828B" w14:textId="77777777" w:rsidR="00A419C4" w:rsidRDefault="00A419C4" w:rsidP="00611848">
            <w:pPr>
              <w:suppressAutoHyphens w:val="0"/>
              <w:spacing w:after="0"/>
            </w:pPr>
            <w:r>
              <w:rPr>
                <w:rFonts w:eastAsia="Times New Roman" w:cs="Calibri"/>
                <w:color w:val="000000"/>
                <w:lang w:val="en-GB" w:eastAsia="hu-HU"/>
              </w:rPr>
              <w:t>IS</w:t>
            </w:r>
            <w:r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  <w:t>4351</w:t>
            </w:r>
          </w:p>
        </w:tc>
        <w:tc>
          <w:tcPr>
            <w:tcW w:w="145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41FA2A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271E35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BEC852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17CF4C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788AD3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08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729001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</w:tr>
      <w:tr w:rsidR="00A419C4" w14:paraId="6A84C1B7" w14:textId="77777777" w:rsidTr="00611848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85EF71C" w14:textId="77777777" w:rsidR="00A419C4" w:rsidRDefault="00A419C4" w:rsidP="00611848">
            <w:pPr>
              <w:suppressAutoHyphens w:val="0"/>
              <w:spacing w:after="0"/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  <w:t>linA</w:t>
            </w:r>
            <w:proofErr w:type="spellEnd"/>
          </w:p>
        </w:tc>
        <w:tc>
          <w:tcPr>
            <w:tcW w:w="145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3AD3AD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D759E8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A0ECC0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A768ED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12A81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08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7891F8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</w:tr>
      <w:tr w:rsidR="00A419C4" w14:paraId="011F5501" w14:textId="77777777" w:rsidTr="00611848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087588" w14:textId="77777777" w:rsidR="00A419C4" w:rsidRDefault="00A419C4" w:rsidP="00611848">
            <w:pPr>
              <w:suppressAutoHyphens w:val="0"/>
              <w:spacing w:after="0"/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  <w:t>msrSA</w:t>
            </w:r>
            <w:proofErr w:type="spellEnd"/>
          </w:p>
        </w:tc>
        <w:tc>
          <w:tcPr>
            <w:tcW w:w="145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91930A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C295B2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F5747A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82499C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4EAA15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08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DFBB3F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</w:tr>
      <w:tr w:rsidR="00A419C4" w14:paraId="6ED4F78E" w14:textId="77777777" w:rsidTr="00611848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0CB73E" w14:textId="77777777" w:rsidR="00A419C4" w:rsidRDefault="00A419C4" w:rsidP="00611848">
            <w:pPr>
              <w:suppressAutoHyphens w:val="0"/>
              <w:spacing w:after="0"/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</w:pPr>
            <w:r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  <w:t>erm</w:t>
            </w:r>
            <w:r w:rsidRPr="0042057E">
              <w:rPr>
                <w:rFonts w:eastAsia="Times New Roman" w:cs="Calibri"/>
                <w:color w:val="000000"/>
                <w:lang w:val="en-GB" w:eastAsia="hu-HU"/>
              </w:rPr>
              <w:t>(B)</w:t>
            </w:r>
          </w:p>
        </w:tc>
        <w:tc>
          <w:tcPr>
            <w:tcW w:w="145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DEA1FC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F92B6F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040C41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56E5AA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5929C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08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C63B12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</w:tr>
      <w:tr w:rsidR="00A419C4" w14:paraId="69619047" w14:textId="77777777" w:rsidTr="00611848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29F081" w14:textId="77777777" w:rsidR="00A419C4" w:rsidRDefault="00A419C4" w:rsidP="00611848">
            <w:pPr>
              <w:suppressAutoHyphens w:val="0"/>
              <w:spacing w:after="0"/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</w:pPr>
            <w:r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  <w:t>erm</w:t>
            </w:r>
            <w:r w:rsidRPr="0042057E">
              <w:rPr>
                <w:rFonts w:eastAsia="Times New Roman" w:cs="Calibri"/>
                <w:color w:val="000000"/>
                <w:lang w:val="en-GB" w:eastAsia="hu-HU"/>
              </w:rPr>
              <w:t>(G)</w:t>
            </w:r>
          </w:p>
        </w:tc>
        <w:tc>
          <w:tcPr>
            <w:tcW w:w="145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FC70B0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7BD219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37F1D6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454FD2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140427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08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F03658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</w:tr>
      <w:tr w:rsidR="00A419C4" w14:paraId="2013F90A" w14:textId="77777777" w:rsidTr="00611848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E8EA7A" w14:textId="77777777" w:rsidR="00A419C4" w:rsidRDefault="00A419C4" w:rsidP="00611848">
            <w:pPr>
              <w:suppressAutoHyphens w:val="0"/>
              <w:spacing w:after="0"/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  <w:t>mef</w:t>
            </w:r>
            <w:proofErr w:type="spellEnd"/>
            <w:r w:rsidRPr="00C3061A">
              <w:rPr>
                <w:rFonts w:eastAsia="Times New Roman" w:cs="Calibri"/>
                <w:color w:val="000000"/>
                <w:lang w:val="en-GB" w:eastAsia="hu-HU"/>
              </w:rPr>
              <w:t>(A)</w:t>
            </w:r>
          </w:p>
        </w:tc>
        <w:tc>
          <w:tcPr>
            <w:tcW w:w="145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783FBC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31DAFA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AA6DD5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444304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CBEAF5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08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01B89C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</w:tr>
      <w:tr w:rsidR="00A419C4" w14:paraId="58027133" w14:textId="77777777" w:rsidTr="00611848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45A93C" w14:textId="77777777" w:rsidR="00A419C4" w:rsidRDefault="00A419C4" w:rsidP="00611848">
            <w:pPr>
              <w:suppressAutoHyphens w:val="0"/>
              <w:spacing w:after="0"/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  <w:t>bexA</w:t>
            </w:r>
            <w:proofErr w:type="spellEnd"/>
          </w:p>
        </w:tc>
        <w:tc>
          <w:tcPr>
            <w:tcW w:w="145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7A29E7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A66B38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6C1730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C27017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5312AD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&lt;0.001</w:t>
            </w:r>
          </w:p>
        </w:tc>
        <w:tc>
          <w:tcPr>
            <w:tcW w:w="108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00351D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</w:tr>
      <w:tr w:rsidR="00A419C4" w14:paraId="52C84BA9" w14:textId="77777777" w:rsidTr="00611848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BD9F4B" w14:textId="77777777" w:rsidR="00A419C4" w:rsidRDefault="00A419C4" w:rsidP="00611848">
            <w:pPr>
              <w:suppressAutoHyphens w:val="0"/>
              <w:spacing w:after="0"/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  <w:t>tet</w:t>
            </w:r>
            <w:proofErr w:type="spellEnd"/>
            <w:r w:rsidRPr="0042057E">
              <w:rPr>
                <w:rFonts w:eastAsia="Times New Roman" w:cs="Calibri"/>
                <w:color w:val="000000"/>
                <w:lang w:val="en-GB" w:eastAsia="hu-HU"/>
              </w:rPr>
              <w:t>(Q)</w:t>
            </w:r>
          </w:p>
        </w:tc>
        <w:tc>
          <w:tcPr>
            <w:tcW w:w="145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95046C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D76699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87BA5F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05B098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0.002</w:t>
            </w:r>
          </w:p>
        </w:tc>
        <w:tc>
          <w:tcPr>
            <w:tcW w:w="155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548824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08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F7AD82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</w:tr>
      <w:tr w:rsidR="00A419C4" w14:paraId="15AE7EA1" w14:textId="77777777" w:rsidTr="00611848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0B80C3" w14:textId="77777777" w:rsidR="00A419C4" w:rsidRDefault="00A419C4" w:rsidP="00611848">
            <w:pPr>
              <w:suppressAutoHyphens w:val="0"/>
              <w:spacing w:after="0"/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  <w:t>tet</w:t>
            </w:r>
            <w:proofErr w:type="spellEnd"/>
            <w:r w:rsidRPr="0042057E">
              <w:rPr>
                <w:rFonts w:eastAsia="Times New Roman" w:cs="Calibri"/>
                <w:color w:val="000000"/>
                <w:lang w:val="en-GB" w:eastAsia="hu-HU"/>
              </w:rPr>
              <w:t>(X)</w:t>
            </w:r>
          </w:p>
        </w:tc>
        <w:tc>
          <w:tcPr>
            <w:tcW w:w="145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57A808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D62A07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171067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&lt;0.001</w:t>
            </w:r>
          </w:p>
        </w:tc>
        <w:tc>
          <w:tcPr>
            <w:tcW w:w="113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DD32A8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ED3ECF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08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8F54A2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</w:tr>
      <w:tr w:rsidR="00A419C4" w14:paraId="352B079B" w14:textId="77777777" w:rsidTr="00611848">
        <w:trPr>
          <w:trHeight w:val="288"/>
        </w:trPr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3CADAB" w14:textId="77777777" w:rsidR="00A419C4" w:rsidRDefault="00A419C4" w:rsidP="00611848">
            <w:pPr>
              <w:suppressAutoHyphens w:val="0"/>
              <w:spacing w:after="0"/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  <w:t>tet</w:t>
            </w:r>
            <w:proofErr w:type="spellEnd"/>
            <w:r w:rsidRPr="0042057E">
              <w:rPr>
                <w:rFonts w:eastAsia="Times New Roman" w:cs="Calibri"/>
                <w:color w:val="000000"/>
                <w:lang w:val="en-GB" w:eastAsia="hu-HU"/>
              </w:rPr>
              <w:t>(X1)</w:t>
            </w:r>
          </w:p>
        </w:tc>
        <w:tc>
          <w:tcPr>
            <w:tcW w:w="145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DF73E4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6DD03D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DA88E8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C2F077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8FEA4F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087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1CB3D0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</w:tr>
    </w:tbl>
    <w:p w14:paraId="4ECFA55E" w14:textId="77777777" w:rsidR="00A419C4" w:rsidRDefault="00A419C4" w:rsidP="00A419C4">
      <w:pPr>
        <w:rPr>
          <w:lang w:val="en-GB"/>
        </w:rPr>
      </w:pPr>
    </w:p>
    <w:p w14:paraId="0F07DBBF" w14:textId="77777777" w:rsidR="00A419C4" w:rsidRDefault="00A419C4" w:rsidP="00A419C4">
      <w:pPr>
        <w:spacing w:after="0" w:line="480" w:lineRule="auto"/>
      </w:pPr>
      <w:r>
        <w:rPr>
          <w:vertAlign w:val="superscript"/>
          <w:lang w:val="en-GB"/>
        </w:rPr>
        <w:t>a</w:t>
      </w:r>
      <w:r>
        <w:rPr>
          <w:lang w:val="en-GB"/>
        </w:rPr>
        <w:t xml:space="preserve"> </w:t>
      </w:r>
      <w:proofErr w:type="gramStart"/>
      <w:r>
        <w:rPr>
          <w:lang w:val="en-GB"/>
        </w:rPr>
        <w:t>Table headings</w:t>
      </w:r>
      <w:proofErr w:type="gramEnd"/>
      <w:r>
        <w:rPr>
          <w:lang w:val="en-GB"/>
        </w:rPr>
        <w:t xml:space="preserve"> are as follows: MP </w:t>
      </w:r>
      <w:proofErr w:type="spellStart"/>
      <w:r>
        <w:rPr>
          <w:lang w:val="en-GB"/>
        </w:rPr>
        <w:t>Suppl</w:t>
      </w:r>
      <w:proofErr w:type="spellEnd"/>
      <w:r>
        <w:rPr>
          <w:lang w:val="en-GB"/>
        </w:rPr>
        <w:t xml:space="preserve"> – BCA with or without meropenem supplementation. T-NT – isolated from carbapenem-treated or non-treated patients. BF-NBFB – </w:t>
      </w:r>
      <w:r>
        <w:rPr>
          <w:i/>
          <w:iCs/>
          <w:lang w:val="en-GB"/>
        </w:rPr>
        <w:t>B. fragilis</w:t>
      </w:r>
      <w:r>
        <w:rPr>
          <w:lang w:val="en-GB"/>
        </w:rPr>
        <w:t xml:space="preserve"> or non-</w:t>
      </w:r>
      <w:r>
        <w:rPr>
          <w:i/>
          <w:iCs/>
          <w:lang w:val="en-GB"/>
        </w:rPr>
        <w:t>B. fragilis</w:t>
      </w:r>
      <w:r>
        <w:rPr>
          <w:lang w:val="en-GB"/>
        </w:rPr>
        <w:t xml:space="preserve"> </w:t>
      </w:r>
      <w:r>
        <w:rPr>
          <w:i/>
          <w:iCs/>
          <w:lang w:val="en-GB"/>
        </w:rPr>
        <w:t>Bacteroides</w:t>
      </w:r>
      <w:r>
        <w:rPr>
          <w:lang w:val="en-GB"/>
        </w:rPr>
        <w:t xml:space="preserve">. </w:t>
      </w:r>
      <w:proofErr w:type="spellStart"/>
      <w:r>
        <w:rPr>
          <w:lang w:val="en-GB"/>
        </w:rPr>
        <w:t>DivI</w:t>
      </w:r>
      <w:proofErr w:type="spellEnd"/>
      <w:r>
        <w:rPr>
          <w:lang w:val="en-GB"/>
        </w:rPr>
        <w:t xml:space="preserve">-II – genetic division I or II of </w:t>
      </w:r>
      <w:r>
        <w:rPr>
          <w:i/>
          <w:iCs/>
          <w:lang w:val="en-GB"/>
        </w:rPr>
        <w:t>B. fragilis</w:t>
      </w:r>
      <w:r>
        <w:rPr>
          <w:lang w:val="en-GB"/>
        </w:rPr>
        <w:t xml:space="preserve">. </w:t>
      </w:r>
      <w:r>
        <w:rPr>
          <w:vertAlign w:val="superscript"/>
          <w:lang w:val="en-GB"/>
        </w:rPr>
        <w:t>b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n.s</w:t>
      </w:r>
      <w:proofErr w:type="spellEnd"/>
      <w:r>
        <w:rPr>
          <w:lang w:val="en-GB"/>
        </w:rPr>
        <w:t>. – non-significant or the significance values are shown.</w:t>
      </w:r>
    </w:p>
    <w:p w14:paraId="3B85E4A3" w14:textId="77777777" w:rsidR="00A419C4" w:rsidRDefault="00A419C4" w:rsidP="00A419C4">
      <w:pPr>
        <w:spacing w:after="0" w:line="480" w:lineRule="auto"/>
        <w:rPr>
          <w:lang w:val="en-GB"/>
        </w:rPr>
      </w:pPr>
    </w:p>
    <w:p w14:paraId="395BEEBF" w14:textId="6DE0BFC6" w:rsidR="00A419C4" w:rsidRDefault="00A419C4" w:rsidP="00A419C4">
      <w:pPr>
        <w:spacing w:after="0" w:line="480" w:lineRule="auto"/>
        <w:jc w:val="both"/>
      </w:pPr>
      <w:r>
        <w:rPr>
          <w:lang w:val="en-GB"/>
        </w:rPr>
        <w:t xml:space="preserve">The above results express whether there were significant differences between of the patients’ and taxonomic groups by the Dunn’s method. Interestingly. more </w:t>
      </w:r>
      <w:proofErr w:type="spellStart"/>
      <w:r>
        <w:rPr>
          <w:i/>
          <w:iCs/>
          <w:lang w:val="en-GB"/>
        </w:rPr>
        <w:t>ermF</w:t>
      </w:r>
      <w:proofErr w:type="spellEnd"/>
      <w:r>
        <w:rPr>
          <w:lang w:val="en-GB"/>
        </w:rPr>
        <w:t xml:space="preserve"> genes could be found among the strains isolated on meropenem-supplemented agars while the carbapenem treatment did not lead </w:t>
      </w:r>
      <w:proofErr w:type="gramStart"/>
      <w:r>
        <w:rPr>
          <w:lang w:val="en-GB"/>
        </w:rPr>
        <w:t>to  elevations</w:t>
      </w:r>
      <w:proofErr w:type="gramEnd"/>
      <w:r>
        <w:rPr>
          <w:lang w:val="en-GB"/>
        </w:rPr>
        <w:t xml:space="preserve"> in the prevalence of any </w:t>
      </w:r>
      <w:r>
        <w:rPr>
          <w:rFonts w:cs="Calibri"/>
          <w:lang w:val="en-GB"/>
        </w:rPr>
        <w:t>β</w:t>
      </w:r>
      <w:r>
        <w:rPr>
          <w:lang w:val="en-GB"/>
        </w:rPr>
        <w:t xml:space="preserve">-lactamase genes. Country-specific differences were found for the </w:t>
      </w:r>
      <w:proofErr w:type="spellStart"/>
      <w:r>
        <w:rPr>
          <w:i/>
          <w:iCs/>
          <w:lang w:val="en-GB"/>
        </w:rPr>
        <w:t>cfxA</w:t>
      </w:r>
      <w:proofErr w:type="spellEnd"/>
      <w:r>
        <w:rPr>
          <w:lang w:val="en-GB"/>
        </w:rPr>
        <w:t xml:space="preserve"> (Hungary vs. Slovenia). </w:t>
      </w:r>
      <w:proofErr w:type="spellStart"/>
      <w:r>
        <w:rPr>
          <w:i/>
          <w:iCs/>
          <w:lang w:val="en-GB"/>
        </w:rPr>
        <w:t>ermF</w:t>
      </w:r>
      <w:proofErr w:type="spellEnd"/>
      <w:r>
        <w:rPr>
          <w:lang w:val="en-GB"/>
        </w:rPr>
        <w:t xml:space="preserve"> (Turkey vs. Slovenia) and </w:t>
      </w:r>
      <w:proofErr w:type="spellStart"/>
      <w:r>
        <w:rPr>
          <w:i/>
          <w:iCs/>
          <w:lang w:val="en-GB"/>
        </w:rPr>
        <w:t>tetX</w:t>
      </w:r>
      <w:proofErr w:type="spellEnd"/>
      <w:r>
        <w:rPr>
          <w:lang w:val="en-GB"/>
        </w:rPr>
        <w:t xml:space="preserve"> (Hungary vs. Belgium. Germany and Slovenia) genes. The </w:t>
      </w:r>
      <w:r>
        <w:rPr>
          <w:i/>
          <w:iCs/>
          <w:lang w:val="en-GB"/>
        </w:rPr>
        <w:t>B. fragilis</w:t>
      </w:r>
      <w:r>
        <w:rPr>
          <w:lang w:val="en-GB"/>
        </w:rPr>
        <w:t xml:space="preserve">-specific </w:t>
      </w:r>
      <w:r>
        <w:rPr>
          <w:i/>
          <w:iCs/>
          <w:lang w:val="en-GB"/>
        </w:rPr>
        <w:t>cepA</w:t>
      </w:r>
      <w:r>
        <w:rPr>
          <w:lang w:val="en-GB"/>
        </w:rPr>
        <w:t xml:space="preserve"> and </w:t>
      </w:r>
      <w:r>
        <w:rPr>
          <w:i/>
          <w:iCs/>
          <w:lang w:val="en-GB"/>
        </w:rPr>
        <w:t>cfiA</w:t>
      </w:r>
      <w:r>
        <w:rPr>
          <w:lang w:val="en-GB"/>
        </w:rPr>
        <w:t xml:space="preserve"> genes did show differences in the taxonomic groupings and among the genetic divisions of </w:t>
      </w:r>
      <w:r>
        <w:rPr>
          <w:i/>
          <w:iCs/>
          <w:lang w:val="en-GB"/>
        </w:rPr>
        <w:t>B. fragilis</w:t>
      </w:r>
      <w:r>
        <w:rPr>
          <w:lang w:val="en-GB"/>
        </w:rPr>
        <w:t xml:space="preserve">. There were more </w:t>
      </w:r>
      <w:proofErr w:type="spellStart"/>
      <w:r>
        <w:rPr>
          <w:i/>
          <w:iCs/>
          <w:lang w:val="en-GB"/>
        </w:rPr>
        <w:t>cfxA</w:t>
      </w:r>
      <w:proofErr w:type="spellEnd"/>
      <w:r>
        <w:rPr>
          <w:lang w:val="en-GB"/>
        </w:rPr>
        <w:t xml:space="preserve">. </w:t>
      </w:r>
      <w:proofErr w:type="spellStart"/>
      <w:r>
        <w:rPr>
          <w:i/>
          <w:iCs/>
          <w:lang w:val="en-GB"/>
        </w:rPr>
        <w:t>ermF</w:t>
      </w:r>
      <w:proofErr w:type="spellEnd"/>
      <w:r>
        <w:rPr>
          <w:lang w:val="en-GB"/>
        </w:rPr>
        <w:t xml:space="preserve"> and </w:t>
      </w:r>
      <w:proofErr w:type="spellStart"/>
      <w:r>
        <w:rPr>
          <w:i/>
          <w:iCs/>
          <w:lang w:val="en-GB"/>
        </w:rPr>
        <w:t>tetQ</w:t>
      </w:r>
      <w:proofErr w:type="spellEnd"/>
      <w:r>
        <w:rPr>
          <w:lang w:val="en-GB"/>
        </w:rPr>
        <w:t xml:space="preserve"> genes in non-fragilis </w:t>
      </w:r>
      <w:r>
        <w:rPr>
          <w:i/>
          <w:iCs/>
          <w:lang w:val="en-GB"/>
        </w:rPr>
        <w:t>Bacteroides.</w:t>
      </w:r>
      <w:r>
        <w:rPr>
          <w:lang w:val="en-GB"/>
        </w:rPr>
        <w:t xml:space="preserve"> </w:t>
      </w:r>
      <w:r>
        <w:rPr>
          <w:i/>
          <w:iCs/>
          <w:lang w:val="en-GB"/>
        </w:rPr>
        <w:t xml:space="preserve">P. </w:t>
      </w:r>
      <w:proofErr w:type="spellStart"/>
      <w:r>
        <w:rPr>
          <w:i/>
          <w:iCs/>
          <w:lang w:val="en-GB"/>
        </w:rPr>
        <w:t>distasonis</w:t>
      </w:r>
      <w:proofErr w:type="spellEnd"/>
      <w:r>
        <w:rPr>
          <w:lang w:val="en-GB"/>
        </w:rPr>
        <w:t xml:space="preserve"> contained more </w:t>
      </w:r>
      <w:proofErr w:type="spellStart"/>
      <w:r>
        <w:rPr>
          <w:i/>
          <w:iCs/>
          <w:lang w:val="en-GB"/>
        </w:rPr>
        <w:t>cfxA</w:t>
      </w:r>
      <w:proofErr w:type="spellEnd"/>
      <w:r>
        <w:rPr>
          <w:lang w:val="en-GB"/>
        </w:rPr>
        <w:t xml:space="preserve"> than </w:t>
      </w:r>
      <w:r>
        <w:rPr>
          <w:i/>
          <w:iCs/>
          <w:lang w:val="en-GB"/>
        </w:rPr>
        <w:t>B. fragilis</w:t>
      </w:r>
      <w:r>
        <w:rPr>
          <w:lang w:val="en-GB"/>
        </w:rPr>
        <w:t xml:space="preserve"> and </w:t>
      </w:r>
      <w:r>
        <w:rPr>
          <w:i/>
          <w:iCs/>
          <w:lang w:val="en-GB"/>
        </w:rPr>
        <w:t xml:space="preserve">B. </w:t>
      </w:r>
      <w:proofErr w:type="spellStart"/>
      <w:r>
        <w:rPr>
          <w:i/>
          <w:iCs/>
          <w:lang w:val="en-GB"/>
        </w:rPr>
        <w:t>thetaiotaomicron</w:t>
      </w:r>
      <w:proofErr w:type="spellEnd"/>
      <w:r>
        <w:rPr>
          <w:lang w:val="en-GB"/>
        </w:rPr>
        <w:t xml:space="preserve"> contained more </w:t>
      </w:r>
      <w:proofErr w:type="spellStart"/>
      <w:r>
        <w:rPr>
          <w:i/>
          <w:iCs/>
          <w:lang w:val="en-GB"/>
        </w:rPr>
        <w:t>bexA</w:t>
      </w:r>
      <w:proofErr w:type="spellEnd"/>
      <w:r>
        <w:rPr>
          <w:lang w:val="en-GB"/>
        </w:rPr>
        <w:t xml:space="preserve"> than </w:t>
      </w:r>
      <w:r>
        <w:rPr>
          <w:i/>
          <w:iCs/>
          <w:lang w:val="en-GB"/>
        </w:rPr>
        <w:t xml:space="preserve">P. </w:t>
      </w:r>
      <w:proofErr w:type="spellStart"/>
      <w:r>
        <w:rPr>
          <w:i/>
          <w:iCs/>
          <w:lang w:val="en-GB"/>
        </w:rPr>
        <w:t>distasonis</w:t>
      </w:r>
      <w:proofErr w:type="spellEnd"/>
      <w:r>
        <w:rPr>
          <w:lang w:val="en-GB"/>
        </w:rPr>
        <w:t xml:space="preserve">. </w:t>
      </w:r>
    </w:p>
    <w:sectPr w:rsidR="00A419C4">
      <w:pgSz w:w="11906" w:h="16838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9C4"/>
    <w:rsid w:val="00A4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838AA"/>
  <w15:chartTrackingRefBased/>
  <w15:docId w15:val="{DF042A99-0F01-455F-9729-9AD179AD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419C4"/>
    <w:pPr>
      <w:suppressAutoHyphens/>
      <w:autoSpaceDN w:val="0"/>
      <w:spacing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Sóki József</dc:creator>
  <cp:keywords/>
  <dc:description/>
  <cp:lastModifiedBy>Sóki József</cp:lastModifiedBy>
  <cp:revision>1</cp:revision>
  <dcterms:created xsi:type="dcterms:W3CDTF">2023-07-23T14:32:00Z</dcterms:created>
  <dcterms:modified xsi:type="dcterms:W3CDTF">2023-07-23T14:33:00Z</dcterms:modified>
</cp:coreProperties>
</file>