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A0293" w14:textId="77777777" w:rsidR="00753F3C" w:rsidRDefault="00753F3C" w:rsidP="00753F3C">
      <w:pPr>
        <w:spacing w:line="48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b/>
          <w:bCs/>
          <w:szCs w:val="21"/>
        </w:rPr>
        <w:t>Supplemental Figure 1</w:t>
      </w:r>
      <w:r>
        <w:rPr>
          <w:rFonts w:ascii="Times New Roman" w:eastAsia="SimSu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eastAsia="SimSun" w:hAnsi="Times New Roman" w:cs="Times New Roman"/>
          <w:szCs w:val="21"/>
        </w:rPr>
        <w:t>Consensus clustering of Diffuse large B cell lymphoma patients.</w:t>
      </w:r>
    </w:p>
    <w:p w14:paraId="5C01AF2C" w14:textId="77777777" w:rsidR="00753F3C" w:rsidRDefault="00753F3C" w:rsidP="00753F3C">
      <w:pPr>
        <w:spacing w:line="48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b/>
          <w:bCs/>
          <w:szCs w:val="21"/>
        </w:rPr>
        <w:t>Supplemental Figure</w:t>
      </w:r>
      <w:r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bCs/>
          <w:szCs w:val="21"/>
        </w:rPr>
        <w:t>2</w:t>
      </w:r>
      <w:r>
        <w:rPr>
          <w:rFonts w:ascii="Times New Roman" w:eastAsia="SimSun" w:hAnsi="Times New Roman" w:cs="Times New Roman" w:hint="eastAsia"/>
          <w:b/>
          <w:bCs/>
          <w:szCs w:val="21"/>
        </w:rPr>
        <w:t>.</w:t>
      </w:r>
      <w:r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szCs w:val="21"/>
        </w:rPr>
        <w:t>K</w:t>
      </w:r>
      <w:r>
        <w:rPr>
          <w:rFonts w:ascii="Times New Roman" w:eastAsia="SimSun" w:hAnsi="Times New Roman" w:cs="Times New Roman"/>
          <w:szCs w:val="21"/>
        </w:rPr>
        <w:t>egg analysis of the DEGs between the two clusters. (</w:t>
      </w:r>
      <w:r>
        <w:rPr>
          <w:rFonts w:ascii="Times New Roman" w:eastAsia="SimSun" w:hAnsi="Times New Roman" w:cs="Times New Roman" w:hint="eastAsia"/>
          <w:szCs w:val="21"/>
        </w:rPr>
        <w:t>A</w:t>
      </w:r>
      <w:r>
        <w:rPr>
          <w:rFonts w:ascii="Times New Roman" w:eastAsia="SimSun" w:hAnsi="Times New Roman" w:cs="Times New Roman"/>
          <w:szCs w:val="21"/>
        </w:rPr>
        <w:t>) cellular components enrichment analysis of the differentially expressed genes.</w:t>
      </w:r>
    </w:p>
    <w:p w14:paraId="47AA08CB" w14:textId="77777777" w:rsidR="00753F3C" w:rsidRDefault="00753F3C" w:rsidP="00753F3C">
      <w:pPr>
        <w:spacing w:line="48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b/>
          <w:bCs/>
          <w:szCs w:val="21"/>
        </w:rPr>
        <w:t>Supplemental Figure 3</w:t>
      </w:r>
      <w:r>
        <w:rPr>
          <w:rFonts w:ascii="Times New Roman" w:eastAsia="SimSu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eastAsia="SimSun" w:hAnsi="Times New Roman" w:cs="Times New Roman"/>
          <w:szCs w:val="21"/>
        </w:rPr>
        <w:t>Survival analysis of the four candidate genes.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(A-D)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FKBP4,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ENO2,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CHST1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and NUP133 were independently prognostic gene in Diffuse large B cell lymphoma patients.</w:t>
      </w:r>
    </w:p>
    <w:p w14:paraId="61203D78" w14:textId="77777777" w:rsidR="00753F3C" w:rsidRDefault="00753F3C" w:rsidP="00753F3C">
      <w:pPr>
        <w:spacing w:line="48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b/>
          <w:bCs/>
          <w:szCs w:val="21"/>
        </w:rPr>
        <w:t>Supplemental Figure 4.</w:t>
      </w:r>
      <w:r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Independence analysis of the risk model in the verifification cohort (A-D). Survival curve of patients regrouped according to CD20(A), bc12(B), bc16(C),and Ki67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 xml:space="preserve">score≥70%(D). </w:t>
      </w:r>
    </w:p>
    <w:p w14:paraId="2CE309C0" w14:textId="77777777" w:rsidR="00753F3C" w:rsidRDefault="00753F3C" w:rsidP="00753F3C">
      <w:pPr>
        <w:spacing w:line="480" w:lineRule="auto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An additional movie file shows this in more detail [see Additional file 1]</w:t>
      </w:r>
    </w:p>
    <w:p w14:paraId="16947023" w14:textId="77777777" w:rsidR="00E1715D" w:rsidRDefault="00753F3C"/>
    <w:sectPr w:rsidR="00E1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3C"/>
    <w:rsid w:val="001942F0"/>
    <w:rsid w:val="002C0857"/>
    <w:rsid w:val="003F01F8"/>
    <w:rsid w:val="00753F3C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6908"/>
  <w15:chartTrackingRefBased/>
  <w15:docId w15:val="{76B457AF-348B-49A1-9598-8DD425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3C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>Springer Nature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2023-07-27T19:41:00Z</dcterms:created>
  <dcterms:modified xsi:type="dcterms:W3CDTF">2023-07-27T19:43:00Z</dcterms:modified>
</cp:coreProperties>
</file>