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F0631B" w14:textId="27349196" w:rsidR="00EF1B87" w:rsidRDefault="00EF1B87" w:rsidP="00EF1B87">
      <w:pPr>
        <w:rPr>
          <w:rFonts w:ascii="Arial" w:hAnsi="Arial" w:cs="Arial"/>
          <w:color w:val="FF0000"/>
          <w:szCs w:val="21"/>
        </w:rPr>
      </w:pPr>
      <w:r>
        <w:rPr>
          <w:rFonts w:ascii="Arial" w:hAnsi="Arial" w:cs="Arial"/>
          <w:noProof/>
          <w:color w:val="FF0000"/>
          <w:szCs w:val="21"/>
        </w:rPr>
        <w:drawing>
          <wp:inline distT="0" distB="0" distL="0" distR="0" wp14:anchorId="50FF95AE" wp14:editId="473DC17C">
            <wp:extent cx="5278120" cy="31324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8120" cy="3132455"/>
                    </a:xfrm>
                    <a:prstGeom prst="rect">
                      <a:avLst/>
                    </a:prstGeom>
                    <a:noFill/>
                    <a:ln>
                      <a:noFill/>
                    </a:ln>
                  </pic:spPr>
                </pic:pic>
              </a:graphicData>
            </a:graphic>
          </wp:inline>
        </w:drawing>
      </w:r>
    </w:p>
    <w:p w14:paraId="5116EA49" w14:textId="77777777" w:rsidR="00EF1B87" w:rsidRDefault="00EF1B87" w:rsidP="00EF1B87">
      <w:pPr>
        <w:widowControl/>
        <w:rPr>
          <w:rFonts w:ascii="Arial" w:hAnsi="Arial" w:cs="Arial"/>
          <w:color w:val="000000"/>
          <w:szCs w:val="21"/>
          <w:shd w:val="clear" w:color="auto" w:fill="FFFFFF"/>
        </w:rPr>
      </w:pPr>
      <w:r>
        <w:rPr>
          <w:rFonts w:ascii="Arial" w:hAnsi="Arial" w:cs="Arial"/>
          <w:b/>
          <w:color w:val="000000" w:themeColor="text1"/>
          <w:szCs w:val="21"/>
        </w:rPr>
        <w:t xml:space="preserve">Fig.S1 </w:t>
      </w:r>
      <w:r>
        <w:rPr>
          <w:rFonts w:ascii="Arial" w:hAnsi="Arial" w:cs="Arial"/>
          <w:bCs/>
          <w:color w:val="000000"/>
          <w:szCs w:val="21"/>
          <w:shd w:val="clear" w:color="auto" w:fill="FFFFFF"/>
        </w:rPr>
        <w:t>During fibrosis, different populations of alveolar epithelial cells and alveolar macrophages emerged</w:t>
      </w:r>
      <w:r>
        <w:rPr>
          <w:rFonts w:ascii="Arial" w:hAnsi="Arial" w:cs="Arial"/>
          <w:color w:val="000000"/>
          <w:szCs w:val="21"/>
          <w:shd w:val="clear" w:color="auto" w:fill="FFFFFF"/>
        </w:rPr>
        <w:t>(</w:t>
      </w:r>
      <w:r>
        <w:rPr>
          <w:rFonts w:ascii="Arial" w:hAnsi="Arial" w:cs="Arial"/>
          <w:b/>
          <w:bCs/>
          <w:color w:val="000000"/>
          <w:szCs w:val="21"/>
          <w:shd w:val="clear" w:color="auto" w:fill="FFFFFF"/>
        </w:rPr>
        <w:t>A</w:t>
      </w:r>
      <w:r>
        <w:rPr>
          <w:rFonts w:ascii="Arial" w:hAnsi="Arial" w:cs="Arial"/>
          <w:color w:val="000000"/>
          <w:szCs w:val="21"/>
          <w:shd w:val="clear" w:color="auto" w:fill="FFFFFF"/>
        </w:rPr>
        <w:t>). Expression levels of inflammation- and fibrosis-related genes in 6 clusters of AT2 cells emerged during fibrosis(</w:t>
      </w:r>
      <w:r>
        <w:rPr>
          <w:rFonts w:ascii="Arial" w:hAnsi="Arial" w:cs="Arial"/>
          <w:b/>
          <w:bCs/>
          <w:color w:val="000000"/>
          <w:szCs w:val="21"/>
          <w:shd w:val="clear" w:color="auto" w:fill="FFFFFF"/>
        </w:rPr>
        <w:t>B</w:t>
      </w:r>
      <w:proofErr w:type="gramStart"/>
      <w:r>
        <w:rPr>
          <w:rFonts w:ascii="Arial" w:hAnsi="Arial" w:cs="Arial"/>
          <w:color w:val="000000"/>
          <w:szCs w:val="21"/>
          <w:shd w:val="clear" w:color="auto" w:fill="FFFFFF"/>
        </w:rPr>
        <w:t>).Expression</w:t>
      </w:r>
      <w:proofErr w:type="gramEnd"/>
      <w:r>
        <w:rPr>
          <w:rFonts w:ascii="Arial" w:hAnsi="Arial" w:cs="Arial"/>
          <w:color w:val="000000"/>
          <w:szCs w:val="21"/>
          <w:shd w:val="clear" w:color="auto" w:fill="FFFFFF"/>
        </w:rPr>
        <w:t xml:space="preserve"> levels of inflammation- and fibrosis-related genes in 4 clusters of AMS cells emerged during fibrosis</w:t>
      </w:r>
      <w:r>
        <w:rPr>
          <w:rFonts w:ascii="Arial" w:hAnsi="Arial" w:cs="Arial"/>
          <w:color w:val="000000" w:themeColor="text1"/>
          <w:szCs w:val="21"/>
        </w:rPr>
        <w:t xml:space="preserve">, separated by donor or pulmonary fibrosis </w:t>
      </w:r>
      <w:proofErr w:type="spellStart"/>
      <w:r>
        <w:rPr>
          <w:rFonts w:ascii="Arial" w:hAnsi="Arial" w:cs="Arial"/>
          <w:color w:val="000000" w:themeColor="text1"/>
          <w:szCs w:val="21"/>
        </w:rPr>
        <w:t>origin.Dot</w:t>
      </w:r>
      <w:proofErr w:type="spellEnd"/>
      <w:r>
        <w:rPr>
          <w:rFonts w:ascii="Arial" w:hAnsi="Arial" w:cs="Arial"/>
          <w:color w:val="000000" w:themeColor="text1"/>
          <w:szCs w:val="21"/>
        </w:rPr>
        <w:t xml:space="preserve"> size corresponds to the percentage of cells in the cluster expressing a gene, and dot color corresponds to the average expression level for the gene in the cluster.</w:t>
      </w:r>
    </w:p>
    <w:p w14:paraId="7726C683" w14:textId="77777777" w:rsidR="00EF1B87" w:rsidRDefault="00EF1B87" w:rsidP="00EF1B87">
      <w:pPr>
        <w:rPr>
          <w:rFonts w:ascii="Arial" w:hAnsi="Arial" w:cs="Arial"/>
          <w:color w:val="FF0000"/>
          <w:szCs w:val="21"/>
        </w:rPr>
      </w:pPr>
    </w:p>
    <w:p w14:paraId="259A812F" w14:textId="105FC25D" w:rsidR="00EF1B87" w:rsidRDefault="00EF1B87" w:rsidP="00EF1B87">
      <w:pPr>
        <w:rPr>
          <w:rFonts w:ascii="Arial" w:hAnsi="Arial" w:cs="Arial"/>
          <w:color w:val="FF0000"/>
          <w:szCs w:val="21"/>
        </w:rPr>
      </w:pPr>
      <w:r>
        <w:rPr>
          <w:rFonts w:ascii="Arial" w:hAnsi="Arial" w:cs="Arial"/>
          <w:noProof/>
          <w:color w:val="FF0000"/>
          <w:szCs w:val="21"/>
        </w:rPr>
        <w:lastRenderedPageBreak/>
        <w:drawing>
          <wp:inline distT="0" distB="0" distL="0" distR="0" wp14:anchorId="781E0BA6" wp14:editId="7E1BECFE">
            <wp:extent cx="5269230" cy="5821680"/>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9230" cy="5821680"/>
                    </a:xfrm>
                    <a:prstGeom prst="rect">
                      <a:avLst/>
                    </a:prstGeom>
                    <a:noFill/>
                    <a:ln>
                      <a:noFill/>
                    </a:ln>
                  </pic:spPr>
                </pic:pic>
              </a:graphicData>
            </a:graphic>
          </wp:inline>
        </w:drawing>
      </w:r>
    </w:p>
    <w:p w14:paraId="335AA9A3" w14:textId="77777777" w:rsidR="00EF1B87" w:rsidRDefault="00EF1B87" w:rsidP="00EF1B87">
      <w:pPr>
        <w:widowControl/>
        <w:rPr>
          <w:rFonts w:ascii="Arial" w:hAnsi="Arial" w:cs="Arial"/>
          <w:b/>
          <w:bCs/>
          <w:color w:val="000000"/>
          <w:szCs w:val="21"/>
          <w:shd w:val="clear" w:color="auto" w:fill="FFFFFF"/>
        </w:rPr>
      </w:pPr>
      <w:r>
        <w:rPr>
          <w:rFonts w:ascii="Arial" w:hAnsi="Arial" w:cs="Arial"/>
          <w:b/>
          <w:bCs/>
          <w:color w:val="000000"/>
          <w:szCs w:val="21"/>
          <w:shd w:val="clear" w:color="auto" w:fill="FFFFFF"/>
        </w:rPr>
        <w:t xml:space="preserve">Fig.S2 </w:t>
      </w:r>
      <w:r>
        <w:rPr>
          <w:rFonts w:ascii="Arial" w:hAnsi="Arial" w:cs="Arial"/>
          <w:color w:val="000000"/>
          <w:szCs w:val="21"/>
          <w:shd w:val="clear" w:color="auto" w:fill="FFFFFF"/>
        </w:rPr>
        <w:t>Expression and prognostic analysis of PRDXs in the BALF of IPF (</w:t>
      </w:r>
      <w:r>
        <w:rPr>
          <w:rFonts w:ascii="Arial" w:hAnsi="Arial" w:cs="Arial"/>
          <w:b/>
          <w:bCs/>
          <w:color w:val="000000"/>
          <w:szCs w:val="21"/>
          <w:shd w:val="clear" w:color="auto" w:fill="FFFFFF"/>
        </w:rPr>
        <w:t>A</w:t>
      </w:r>
      <w:proofErr w:type="gramStart"/>
      <w:r>
        <w:rPr>
          <w:rFonts w:ascii="Arial" w:hAnsi="Arial" w:cs="Arial"/>
          <w:color w:val="000000"/>
          <w:szCs w:val="21"/>
          <w:shd w:val="clear" w:color="auto" w:fill="FFFFFF"/>
        </w:rPr>
        <w:t>).Expression</w:t>
      </w:r>
      <w:proofErr w:type="gramEnd"/>
      <w:r>
        <w:rPr>
          <w:rFonts w:ascii="Arial" w:hAnsi="Arial" w:cs="Arial"/>
          <w:color w:val="000000"/>
          <w:szCs w:val="21"/>
          <w:shd w:val="clear" w:color="auto" w:fill="FFFFFF"/>
        </w:rPr>
        <w:t>, prognosis, and efficacy analysis of PRDX1 in the BALF of IPF patients(</w:t>
      </w:r>
      <w:r>
        <w:rPr>
          <w:rFonts w:ascii="Arial" w:hAnsi="Arial" w:cs="Arial"/>
          <w:b/>
          <w:bCs/>
          <w:color w:val="000000"/>
          <w:szCs w:val="21"/>
          <w:shd w:val="clear" w:color="auto" w:fill="FFFFFF"/>
        </w:rPr>
        <w:t>B</w:t>
      </w:r>
      <w:r>
        <w:rPr>
          <w:rFonts w:ascii="Arial" w:hAnsi="Arial" w:cs="Arial"/>
          <w:color w:val="000000"/>
          <w:szCs w:val="21"/>
          <w:shd w:val="clear" w:color="auto" w:fill="FFFFFF"/>
        </w:rPr>
        <w:t>).Expression, prognosis, and efficacy analysis of PRDX2 in the BALF of IPF patients(</w:t>
      </w:r>
      <w:r>
        <w:rPr>
          <w:rFonts w:ascii="Arial" w:hAnsi="Arial" w:cs="Arial"/>
          <w:b/>
          <w:bCs/>
          <w:color w:val="000000"/>
          <w:szCs w:val="21"/>
          <w:shd w:val="clear" w:color="auto" w:fill="FFFFFF"/>
        </w:rPr>
        <w:t>C</w:t>
      </w:r>
      <w:r>
        <w:rPr>
          <w:rFonts w:ascii="Arial" w:hAnsi="Arial" w:cs="Arial"/>
          <w:color w:val="000000"/>
          <w:szCs w:val="21"/>
          <w:shd w:val="clear" w:color="auto" w:fill="FFFFFF"/>
        </w:rPr>
        <w:t>).Expression, prognosis, and efficacy analysis of PRDX5 in the BALF of IPF patients(</w:t>
      </w:r>
      <w:r>
        <w:rPr>
          <w:rFonts w:ascii="Arial" w:hAnsi="Arial" w:cs="Arial"/>
          <w:b/>
          <w:bCs/>
          <w:color w:val="000000"/>
          <w:szCs w:val="21"/>
          <w:shd w:val="clear" w:color="auto" w:fill="FFFFFF"/>
        </w:rPr>
        <w:t>D</w:t>
      </w:r>
      <w:r>
        <w:rPr>
          <w:rFonts w:ascii="Arial" w:hAnsi="Arial" w:cs="Arial"/>
          <w:color w:val="000000"/>
          <w:szCs w:val="21"/>
          <w:shd w:val="clear" w:color="auto" w:fill="FFFFFF"/>
        </w:rPr>
        <w:t>).Expression, prognosis, and efficacy analysis of PRDX6 in the BALF of IPF patients.</w:t>
      </w:r>
    </w:p>
    <w:p w14:paraId="382AA995" w14:textId="77777777" w:rsidR="00EF1B87" w:rsidRDefault="00EF1B87" w:rsidP="00EF1B87">
      <w:pPr>
        <w:rPr>
          <w:rFonts w:ascii="Arial" w:hAnsi="Arial" w:cs="Arial"/>
          <w:color w:val="000000" w:themeColor="text1"/>
          <w:szCs w:val="21"/>
        </w:rPr>
      </w:pPr>
      <w:r>
        <w:rPr>
          <w:rFonts w:ascii="Arial" w:hAnsi="Arial" w:cs="Arial"/>
          <w:color w:val="000000" w:themeColor="text1"/>
          <w:szCs w:val="21"/>
        </w:rPr>
        <w:t>*, P&lt;0.05; **, P&lt;0.01; ***, P&lt;0.001; ns, not significant.</w:t>
      </w:r>
    </w:p>
    <w:p w14:paraId="57B88B06" w14:textId="77777777" w:rsidR="00EF1B87" w:rsidRDefault="00EF1B87" w:rsidP="00EF1B87">
      <w:pPr>
        <w:rPr>
          <w:rFonts w:ascii="Arial" w:hAnsi="Arial" w:cs="Arial"/>
          <w:color w:val="FF0000"/>
          <w:szCs w:val="21"/>
        </w:rPr>
      </w:pPr>
    </w:p>
    <w:p w14:paraId="5DBA5379" w14:textId="7448AB79" w:rsidR="00EF1B87" w:rsidRDefault="00EF1B87" w:rsidP="00EF1B87">
      <w:pPr>
        <w:rPr>
          <w:rFonts w:ascii="Arial" w:hAnsi="Arial" w:cs="Arial"/>
          <w:color w:val="FF0000"/>
          <w:szCs w:val="21"/>
        </w:rPr>
      </w:pPr>
      <w:r>
        <w:rPr>
          <w:rFonts w:ascii="Arial" w:hAnsi="Arial" w:cs="Arial"/>
          <w:noProof/>
          <w:color w:val="FF0000"/>
          <w:szCs w:val="21"/>
        </w:rPr>
        <w:lastRenderedPageBreak/>
        <w:drawing>
          <wp:inline distT="0" distB="0" distL="0" distR="0" wp14:anchorId="33B1DE89" wp14:editId="0776D150">
            <wp:extent cx="5278120" cy="76504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8120" cy="7650480"/>
                    </a:xfrm>
                    <a:prstGeom prst="rect">
                      <a:avLst/>
                    </a:prstGeom>
                    <a:noFill/>
                    <a:ln>
                      <a:noFill/>
                    </a:ln>
                  </pic:spPr>
                </pic:pic>
              </a:graphicData>
            </a:graphic>
          </wp:inline>
        </w:drawing>
      </w:r>
    </w:p>
    <w:p w14:paraId="5021312E" w14:textId="77777777" w:rsidR="00EF1B87" w:rsidRDefault="00EF1B87" w:rsidP="00EF1B87">
      <w:pPr>
        <w:rPr>
          <w:rFonts w:ascii="Arial" w:hAnsi="Arial" w:cs="Arial"/>
          <w:b/>
          <w:bCs/>
          <w:color w:val="000000"/>
          <w:szCs w:val="21"/>
          <w:shd w:val="clear" w:color="auto" w:fill="FFFFFF"/>
        </w:rPr>
      </w:pPr>
      <w:r>
        <w:rPr>
          <w:rFonts w:ascii="Arial" w:hAnsi="Arial" w:cs="Arial"/>
          <w:b/>
          <w:bCs/>
          <w:color w:val="000000"/>
          <w:szCs w:val="21"/>
          <w:shd w:val="clear" w:color="auto" w:fill="FFFFFF"/>
        </w:rPr>
        <w:t xml:space="preserve">Fig.S3 </w:t>
      </w:r>
      <w:r>
        <w:rPr>
          <w:rFonts w:ascii="Arial" w:hAnsi="Arial" w:cs="Arial"/>
          <w:color w:val="000000"/>
          <w:szCs w:val="21"/>
          <w:shd w:val="clear" w:color="auto" w:fill="FFFFFF"/>
        </w:rPr>
        <w:t>Lung Tissue Pathology and Analysis(</w:t>
      </w:r>
      <w:r>
        <w:rPr>
          <w:rFonts w:ascii="Arial" w:hAnsi="Arial" w:cs="Arial"/>
          <w:b/>
          <w:bCs/>
          <w:color w:val="000000"/>
          <w:szCs w:val="21"/>
          <w:shd w:val="clear" w:color="auto" w:fill="FFFFFF"/>
        </w:rPr>
        <w:t>A</w:t>
      </w:r>
      <w:r>
        <w:rPr>
          <w:rFonts w:ascii="Arial" w:hAnsi="Arial" w:cs="Arial"/>
          <w:color w:val="000000"/>
          <w:szCs w:val="21"/>
          <w:shd w:val="clear" w:color="auto" w:fill="FFFFFF"/>
        </w:rPr>
        <w:t>).Images of fresh lung tissue and H&amp;E and Masson staining analysis in the two groups of mice(</w:t>
      </w:r>
      <w:r>
        <w:rPr>
          <w:rFonts w:ascii="Arial" w:hAnsi="Arial" w:cs="Arial"/>
          <w:b/>
          <w:bCs/>
          <w:color w:val="000000"/>
          <w:szCs w:val="21"/>
          <w:shd w:val="clear" w:color="auto" w:fill="FFFFFF"/>
        </w:rPr>
        <w:t>B</w:t>
      </w:r>
      <w:r>
        <w:rPr>
          <w:rFonts w:ascii="Arial" w:hAnsi="Arial" w:cs="Arial"/>
          <w:color w:val="000000"/>
          <w:szCs w:val="21"/>
          <w:shd w:val="clear" w:color="auto" w:fill="FFFFFF"/>
        </w:rPr>
        <w:t xml:space="preserve">).Bar graphs showing the number of silica nodules in mouse lung tissue, the percentage of nodules relative to the total area, and quantification of collagen </w:t>
      </w:r>
      <w:r>
        <w:rPr>
          <w:rFonts w:ascii="Arial" w:hAnsi="Arial" w:cs="Arial"/>
          <w:color w:val="000000"/>
          <w:szCs w:val="21"/>
          <w:shd w:val="clear" w:color="auto" w:fill="FFFFFF"/>
        </w:rPr>
        <w:lastRenderedPageBreak/>
        <w:t>content (each point represents one mouse)(</w:t>
      </w:r>
      <w:r>
        <w:rPr>
          <w:rFonts w:ascii="Arial" w:hAnsi="Arial" w:cs="Arial"/>
          <w:b/>
          <w:bCs/>
          <w:color w:val="000000"/>
          <w:szCs w:val="21"/>
          <w:shd w:val="clear" w:color="auto" w:fill="FFFFFF"/>
        </w:rPr>
        <w:t>C</w:t>
      </w:r>
      <w:r>
        <w:rPr>
          <w:rFonts w:ascii="Arial" w:hAnsi="Arial" w:cs="Arial"/>
          <w:color w:val="000000"/>
          <w:szCs w:val="21"/>
          <w:shd w:val="clear" w:color="auto" w:fill="FFFFFF"/>
        </w:rPr>
        <w:t>,</w:t>
      </w:r>
      <w:r>
        <w:rPr>
          <w:rFonts w:ascii="Arial" w:hAnsi="Arial" w:cs="Arial"/>
          <w:b/>
          <w:bCs/>
          <w:color w:val="000000"/>
          <w:szCs w:val="21"/>
          <w:shd w:val="clear" w:color="auto" w:fill="FFFFFF"/>
        </w:rPr>
        <w:t>D</w:t>
      </w:r>
      <w:r>
        <w:rPr>
          <w:rFonts w:ascii="Arial" w:hAnsi="Arial" w:cs="Arial"/>
          <w:color w:val="000000"/>
          <w:szCs w:val="21"/>
          <w:shd w:val="clear" w:color="auto" w:fill="FFFFFF"/>
        </w:rPr>
        <w:t>).Gene expression profiles of inflammation, fibrosis, and PRDXs in mouse lung tissue (triplicate experiments per group)(</w:t>
      </w:r>
      <w:r>
        <w:rPr>
          <w:rFonts w:ascii="Arial" w:hAnsi="Arial" w:cs="Arial"/>
          <w:b/>
          <w:bCs/>
          <w:color w:val="000000"/>
          <w:szCs w:val="21"/>
          <w:shd w:val="clear" w:color="auto" w:fill="FFFFFF"/>
        </w:rPr>
        <w:t>E</w:t>
      </w:r>
      <w:r>
        <w:rPr>
          <w:rFonts w:ascii="Arial" w:hAnsi="Arial" w:cs="Arial"/>
          <w:color w:val="000000"/>
          <w:szCs w:val="21"/>
          <w:shd w:val="clear" w:color="auto" w:fill="FFFFFF"/>
        </w:rPr>
        <w:t>).Correlation analysis of PRDXs expression with inflammation and fibrosis-related gene expression in mouse lung tissue, with color and intensity representing the magnitude of correlation (red indicating positive correlation, blue indicating negative correlation, and values indicating the Pearson correlation coefficient).</w:t>
      </w:r>
    </w:p>
    <w:p w14:paraId="2468A4F4" w14:textId="77777777" w:rsidR="00EF1B87" w:rsidRDefault="00EF1B87" w:rsidP="00EF1B87">
      <w:pPr>
        <w:rPr>
          <w:rFonts w:ascii="Arial" w:hAnsi="Arial" w:cs="Arial"/>
          <w:color w:val="000000" w:themeColor="text1"/>
          <w:szCs w:val="21"/>
        </w:rPr>
      </w:pPr>
      <w:r>
        <w:rPr>
          <w:rFonts w:ascii="Arial" w:hAnsi="Arial" w:cs="Arial"/>
          <w:color w:val="000000" w:themeColor="text1"/>
          <w:szCs w:val="21"/>
        </w:rPr>
        <w:t>*, P&lt;0.05; **, P&lt;0.01; ***, P&lt;0.001; ns, not significant.</w:t>
      </w:r>
    </w:p>
    <w:p w14:paraId="5D8CE60D" w14:textId="77777777" w:rsidR="00EF1B87" w:rsidRDefault="00EF1B87" w:rsidP="00EF1B87">
      <w:pPr>
        <w:rPr>
          <w:rFonts w:ascii="Arial" w:hAnsi="Arial" w:cs="Arial"/>
          <w:color w:val="FF0000"/>
          <w:szCs w:val="21"/>
        </w:rPr>
      </w:pPr>
    </w:p>
    <w:p w14:paraId="01627085" w14:textId="77777777" w:rsidR="00EF1B87" w:rsidRDefault="00EF1B87" w:rsidP="00EF1B87">
      <w:pPr>
        <w:rPr>
          <w:rFonts w:ascii="Arial" w:hAnsi="Arial" w:cs="Arial"/>
          <w:color w:val="FF0000"/>
          <w:szCs w:val="21"/>
        </w:rPr>
      </w:pPr>
    </w:p>
    <w:p w14:paraId="38835218" w14:textId="77777777" w:rsidR="00EF1B87" w:rsidRDefault="00EF1B87" w:rsidP="00EF1B87">
      <w:pPr>
        <w:rPr>
          <w:rFonts w:ascii="Arial" w:hAnsi="Arial" w:cs="Arial"/>
          <w:color w:val="FF0000"/>
          <w:szCs w:val="21"/>
        </w:rPr>
      </w:pPr>
    </w:p>
    <w:p w14:paraId="20F129E7" w14:textId="77777777" w:rsidR="00EF1B87" w:rsidRDefault="00EF1B87" w:rsidP="00EF1B87">
      <w:pPr>
        <w:rPr>
          <w:rFonts w:ascii="Arial" w:hAnsi="Arial" w:cs="Arial"/>
          <w:color w:val="FF0000"/>
          <w:szCs w:val="21"/>
        </w:rPr>
      </w:pPr>
    </w:p>
    <w:p w14:paraId="5EE15749" w14:textId="77777777" w:rsidR="00EF1B87" w:rsidRDefault="00EF1B87" w:rsidP="00EF1B87">
      <w:pPr>
        <w:rPr>
          <w:rFonts w:ascii="Arial" w:hAnsi="Arial" w:cs="Arial"/>
          <w:color w:val="FF0000"/>
          <w:szCs w:val="21"/>
        </w:rPr>
      </w:pPr>
    </w:p>
    <w:p w14:paraId="05DE7998" w14:textId="0AFE4332" w:rsidR="00EF1B87" w:rsidRDefault="00EF1B87" w:rsidP="00EF1B87">
      <w:pPr>
        <w:rPr>
          <w:rFonts w:ascii="Arial" w:hAnsi="Arial" w:cs="Arial"/>
          <w:color w:val="FF0000"/>
          <w:szCs w:val="21"/>
        </w:rPr>
      </w:pPr>
      <w:r>
        <w:rPr>
          <w:rFonts w:ascii="Arial" w:hAnsi="Arial" w:cs="Arial"/>
          <w:noProof/>
          <w:color w:val="FF0000"/>
          <w:szCs w:val="21"/>
        </w:rPr>
        <w:drawing>
          <wp:inline distT="0" distB="0" distL="0" distR="0" wp14:anchorId="49B2F1BB" wp14:editId="399457EF">
            <wp:extent cx="5278120" cy="15614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1561465"/>
                    </a:xfrm>
                    <a:prstGeom prst="rect">
                      <a:avLst/>
                    </a:prstGeom>
                    <a:noFill/>
                    <a:ln>
                      <a:noFill/>
                    </a:ln>
                  </pic:spPr>
                </pic:pic>
              </a:graphicData>
            </a:graphic>
          </wp:inline>
        </w:drawing>
      </w:r>
    </w:p>
    <w:p w14:paraId="42EB692D" w14:textId="77777777" w:rsidR="00EF1B87" w:rsidRDefault="00EF1B87" w:rsidP="00EF1B87">
      <w:pPr>
        <w:rPr>
          <w:rFonts w:ascii="Arial" w:hAnsi="Arial" w:cs="Arial"/>
          <w:b/>
          <w:bCs/>
          <w:color w:val="000000"/>
          <w:szCs w:val="21"/>
          <w:shd w:val="clear" w:color="auto" w:fill="FFFFFF"/>
        </w:rPr>
      </w:pPr>
      <w:r>
        <w:rPr>
          <w:rFonts w:ascii="Arial" w:hAnsi="Arial" w:cs="Arial"/>
          <w:b/>
          <w:color w:val="000000" w:themeColor="text1"/>
          <w:szCs w:val="21"/>
        </w:rPr>
        <w:t>Fig.S4</w:t>
      </w:r>
      <w:r>
        <w:rPr>
          <w:rFonts w:ascii="Arial" w:hAnsi="Arial" w:cs="Arial"/>
          <w:color w:val="000000" w:themeColor="text1"/>
          <w:szCs w:val="21"/>
        </w:rPr>
        <w:t xml:space="preserve"> </w:t>
      </w:r>
      <w:proofErr w:type="spellStart"/>
      <w:r>
        <w:rPr>
          <w:rFonts w:ascii="Arial" w:hAnsi="Arial" w:cs="Arial"/>
          <w:color w:val="000000"/>
          <w:szCs w:val="21"/>
          <w:shd w:val="clear" w:color="auto" w:fill="FFFFFF"/>
        </w:rPr>
        <w:t>Affects</w:t>
      </w:r>
      <w:proofErr w:type="spellEnd"/>
      <w:r>
        <w:rPr>
          <w:rFonts w:ascii="Arial" w:hAnsi="Arial" w:cs="Arial"/>
          <w:color w:val="000000"/>
          <w:szCs w:val="21"/>
          <w:shd w:val="clear" w:color="auto" w:fill="FFFFFF"/>
        </w:rPr>
        <w:t xml:space="preserve"> of </w:t>
      </w:r>
      <w:proofErr w:type="spellStart"/>
      <w:r>
        <w:rPr>
          <w:rFonts w:ascii="Arial" w:hAnsi="Arial" w:cs="Arial"/>
          <w:color w:val="000000"/>
          <w:szCs w:val="21"/>
          <w:shd w:val="clear" w:color="auto" w:fill="FFFFFF"/>
        </w:rPr>
        <w:t>si_NC</w:t>
      </w:r>
      <w:proofErr w:type="spellEnd"/>
      <w:r>
        <w:rPr>
          <w:rFonts w:ascii="Arial" w:hAnsi="Arial" w:cs="Arial"/>
          <w:color w:val="000000"/>
          <w:szCs w:val="21"/>
          <w:shd w:val="clear" w:color="auto" w:fill="FFFFFF"/>
        </w:rPr>
        <w:t xml:space="preserve"> on the Expression of Inflammatory Factors in AMS and PBMC cells(</w:t>
      </w:r>
      <w:r>
        <w:rPr>
          <w:rFonts w:ascii="Arial" w:hAnsi="Arial" w:cs="Arial"/>
          <w:b/>
          <w:bCs/>
          <w:color w:val="000000"/>
          <w:szCs w:val="21"/>
          <w:shd w:val="clear" w:color="auto" w:fill="FFFFFF"/>
        </w:rPr>
        <w:t>A</w:t>
      </w:r>
      <w:proofErr w:type="gramStart"/>
      <w:r>
        <w:rPr>
          <w:rFonts w:ascii="Arial" w:hAnsi="Arial" w:cs="Arial"/>
          <w:color w:val="000000"/>
          <w:szCs w:val="21"/>
          <w:shd w:val="clear" w:color="auto" w:fill="FFFFFF"/>
        </w:rPr>
        <w:t>).Effects</w:t>
      </w:r>
      <w:proofErr w:type="gramEnd"/>
      <w:r>
        <w:rPr>
          <w:rFonts w:ascii="Arial" w:hAnsi="Arial" w:cs="Arial"/>
          <w:color w:val="000000"/>
          <w:szCs w:val="21"/>
          <w:shd w:val="clear" w:color="auto" w:fill="FFFFFF"/>
        </w:rPr>
        <w:t xml:space="preserve"> of </w:t>
      </w:r>
      <w:proofErr w:type="spellStart"/>
      <w:r>
        <w:rPr>
          <w:rFonts w:ascii="Arial" w:hAnsi="Arial" w:cs="Arial"/>
          <w:color w:val="000000"/>
          <w:szCs w:val="21"/>
          <w:shd w:val="clear" w:color="auto" w:fill="FFFFFF"/>
        </w:rPr>
        <w:t>si_NC</w:t>
      </w:r>
      <w:proofErr w:type="spellEnd"/>
      <w:r>
        <w:rPr>
          <w:rFonts w:ascii="Arial" w:hAnsi="Arial" w:cs="Arial"/>
          <w:color w:val="000000"/>
          <w:szCs w:val="21"/>
          <w:shd w:val="clear" w:color="auto" w:fill="FFFFFF"/>
        </w:rPr>
        <w:t xml:space="preserve"> on the expression of inflammatory factors in BLM-treated AMS cells (triplicate experiments per group)(</w:t>
      </w:r>
      <w:r>
        <w:rPr>
          <w:rFonts w:ascii="Arial" w:hAnsi="Arial" w:cs="Arial"/>
          <w:b/>
          <w:bCs/>
          <w:color w:val="000000"/>
          <w:szCs w:val="21"/>
          <w:shd w:val="clear" w:color="auto" w:fill="FFFFFF"/>
        </w:rPr>
        <w:t>B</w:t>
      </w:r>
      <w:r>
        <w:rPr>
          <w:rFonts w:ascii="Arial" w:hAnsi="Arial" w:cs="Arial"/>
          <w:color w:val="000000"/>
          <w:szCs w:val="21"/>
          <w:shd w:val="clear" w:color="auto" w:fill="FFFFFF"/>
        </w:rPr>
        <w:t xml:space="preserve">).Effects of </w:t>
      </w:r>
      <w:proofErr w:type="spellStart"/>
      <w:r>
        <w:rPr>
          <w:rFonts w:ascii="Arial" w:hAnsi="Arial" w:cs="Arial"/>
          <w:color w:val="000000"/>
          <w:szCs w:val="21"/>
          <w:shd w:val="clear" w:color="auto" w:fill="FFFFFF"/>
        </w:rPr>
        <w:t>si_NC</w:t>
      </w:r>
      <w:proofErr w:type="spellEnd"/>
      <w:r>
        <w:rPr>
          <w:rFonts w:ascii="Arial" w:hAnsi="Arial" w:cs="Arial"/>
          <w:color w:val="000000"/>
          <w:szCs w:val="21"/>
          <w:shd w:val="clear" w:color="auto" w:fill="FFFFFF"/>
        </w:rPr>
        <w:t xml:space="preserve"> on the expression of inflammatory factors in BLM-treated PBMC-m cells (triplicate experiments per group).</w:t>
      </w:r>
    </w:p>
    <w:p w14:paraId="5C2EBC96" w14:textId="77777777" w:rsidR="00EF1B87" w:rsidRDefault="00EF1B87" w:rsidP="00EF1B87">
      <w:pPr>
        <w:rPr>
          <w:rFonts w:ascii="Arial" w:hAnsi="Arial" w:cs="Arial"/>
          <w:color w:val="FF0000"/>
          <w:szCs w:val="21"/>
        </w:rPr>
      </w:pPr>
    </w:p>
    <w:p w14:paraId="6956258A"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B87"/>
    <w:rsid w:val="00AD1398"/>
    <w:rsid w:val="00EF1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73F6A"/>
  <w15:chartTrackingRefBased/>
  <w15:docId w15:val="{A0096FC6-7A16-48DE-BCED-9ABFCC7A8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B87"/>
    <w:pPr>
      <w:widowControl w:val="0"/>
      <w:spacing w:after="0" w:line="240" w:lineRule="auto"/>
      <w:jc w:val="both"/>
    </w:pPr>
    <w:rPr>
      <w:rFonts w:eastAsiaTheme="minorEastAsia"/>
      <w:kern w:val="2"/>
      <w:sz w:val="21"/>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132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331</Words>
  <Characters>1892</Characters>
  <Application>Microsoft Office Word</Application>
  <DocSecurity>0</DocSecurity>
  <Lines>15</Lines>
  <Paragraphs>4</Paragraphs>
  <ScaleCrop>false</ScaleCrop>
  <Company>Springer Nature</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2023-08-04T10:25:00Z</dcterms:created>
  <dcterms:modified xsi:type="dcterms:W3CDTF">2023-08-04T10:25:00Z</dcterms:modified>
</cp:coreProperties>
</file>