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DB7C9" w14:textId="77777777" w:rsidR="00886D2E" w:rsidRDefault="00886D2E" w:rsidP="00886D2E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 1</w:t>
      </w:r>
      <w:r>
        <w:rPr>
          <w:rFonts w:ascii="Times New Roman" w:hAnsi="Times New Roman" w:cs="Times New Roman"/>
          <w:szCs w:val="21"/>
        </w:rPr>
        <w:t>. Baseline characteristics of patients.</w:t>
      </w:r>
    </w:p>
    <w:p w14:paraId="4B407342" w14:textId="4A5813ED" w:rsidR="00886D2E" w:rsidRDefault="00886D2E" w:rsidP="00886D2E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7F26FF3" wp14:editId="38E528B9">
            <wp:extent cx="5276850" cy="6296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291A2" w14:textId="77777777" w:rsidR="00886D2E" w:rsidRDefault="00886D2E" w:rsidP="00886D2E">
      <w:pPr>
        <w:jc w:val="left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BMI, body mass index; IQR, interquartile range; OR, odds ratio; ACCI, Age-adjusted Charlson Comorbidity Index; NSAIDs, non-steroidal anti-inflammatory drugs; SD, standard deviation.</w:t>
      </w:r>
    </w:p>
    <w:p w14:paraId="43D7DB96" w14:textId="77777777" w:rsidR="001760E5" w:rsidRDefault="00886D2E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2E"/>
    <w:rsid w:val="006E225C"/>
    <w:rsid w:val="00886D2E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DEFC5"/>
  <w15:chartTrackingRefBased/>
  <w15:docId w15:val="{DD1E0B07-DF21-48D1-9638-059D37F1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D2E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81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>Springer Nature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2023-07-28T13:28:00Z</dcterms:created>
  <dcterms:modified xsi:type="dcterms:W3CDTF">2023-07-28T13:29:00Z</dcterms:modified>
</cp:coreProperties>
</file>