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55AC7" w14:textId="0D0952BC" w:rsidR="00104A5D" w:rsidRPr="00F26789" w:rsidRDefault="00104A5D" w:rsidP="00104A5D">
      <w:pPr>
        <w:spacing w:line="360" w:lineRule="auto"/>
        <w:rPr>
          <w:rFonts w:ascii="Times New Roman" w:hAnsi="Times New Roman" w:cs="Times New Roman"/>
          <w:sz w:val="24"/>
          <w:szCs w:val="24"/>
        </w:rPr>
      </w:pPr>
      <w:r w:rsidRPr="00F26789">
        <w:rPr>
          <w:rFonts w:ascii="Times New Roman" w:hAnsi="Times New Roman" w:cs="Times New Roman"/>
          <w:noProof/>
          <w:sz w:val="24"/>
          <w:szCs w:val="24"/>
        </w:rPr>
        <w:drawing>
          <wp:inline distT="0" distB="0" distL="0" distR="0" wp14:anchorId="6D0E2FFF" wp14:editId="5454348F">
            <wp:extent cx="5274310" cy="2620645"/>
            <wp:effectExtent l="0" t="0" r="254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620645"/>
                    </a:xfrm>
                    <a:prstGeom prst="rect">
                      <a:avLst/>
                    </a:prstGeom>
                    <a:noFill/>
                    <a:ln>
                      <a:noFill/>
                    </a:ln>
                  </pic:spPr>
                </pic:pic>
              </a:graphicData>
            </a:graphic>
          </wp:inline>
        </w:drawing>
      </w:r>
      <w:r w:rsidRPr="00F26789">
        <w:rPr>
          <w:rFonts w:ascii="Times New Roman" w:hAnsi="Times New Roman" w:cs="Times New Roman"/>
          <w:sz w:val="24"/>
          <w:szCs w:val="24"/>
        </w:rPr>
        <w:t xml:space="preserve">Figure S1. The landscape of 10 </w:t>
      </w:r>
      <w:proofErr w:type="spellStart"/>
      <w:r w:rsidRPr="00F26789">
        <w:rPr>
          <w:rFonts w:ascii="Times New Roman" w:hAnsi="Times New Roman" w:cs="Times New Roman"/>
          <w:sz w:val="24"/>
          <w:szCs w:val="24"/>
        </w:rPr>
        <w:t>cuproptosis</w:t>
      </w:r>
      <w:proofErr w:type="spellEnd"/>
      <w:r w:rsidRPr="00F26789">
        <w:rPr>
          <w:rFonts w:ascii="Times New Roman" w:hAnsi="Times New Roman" w:cs="Times New Roman"/>
          <w:sz w:val="24"/>
          <w:szCs w:val="24"/>
        </w:rPr>
        <w:t xml:space="preserve"> regulators in melanoma. The mRNA expression levels of (A) MTF1, (B) CDKN2A, (C) LIPT1, (D) GLS, (E) DLD, (F) FDX1, (G) DLAT, (H) LIAS, (I) PDHA1, and (J) PDHB in control and </w:t>
      </w:r>
      <w:r w:rsidR="004B03C6" w:rsidRPr="00F26789">
        <w:rPr>
          <w:rFonts w:ascii="Times New Roman" w:hAnsi="Times New Roman" w:cs="Times New Roman"/>
          <w:color w:val="000000"/>
          <w:kern w:val="0"/>
          <w:sz w:val="24"/>
          <w:szCs w:val="24"/>
        </w:rPr>
        <w:t>melanoma</w:t>
      </w:r>
      <w:r w:rsidRPr="00F26789">
        <w:rPr>
          <w:rFonts w:ascii="Times New Roman" w:hAnsi="Times New Roman" w:cs="Times New Roman"/>
          <w:color w:val="000000"/>
          <w:kern w:val="0"/>
          <w:sz w:val="24"/>
          <w:szCs w:val="24"/>
        </w:rPr>
        <w:t>-bearing mice</w:t>
      </w:r>
      <w:r w:rsidRPr="00F26789">
        <w:rPr>
          <w:rFonts w:ascii="Times New Roman" w:hAnsi="Times New Roman" w:cs="Times New Roman"/>
          <w:sz w:val="24"/>
          <w:szCs w:val="24"/>
        </w:rPr>
        <w:t>.</w:t>
      </w:r>
    </w:p>
    <w:p w14:paraId="78584F11" w14:textId="77777777" w:rsidR="00104A5D" w:rsidRDefault="00104A5D" w:rsidP="00104A5D">
      <w:pPr>
        <w:spacing w:line="360" w:lineRule="auto"/>
        <w:rPr>
          <w:rFonts w:ascii="Times New Roman" w:hAnsi="Times New Roman" w:cs="Times New Roman"/>
          <w:noProof/>
          <w:sz w:val="24"/>
          <w:szCs w:val="24"/>
        </w:rPr>
      </w:pPr>
      <w:r w:rsidRPr="00F26789">
        <w:rPr>
          <w:rFonts w:ascii="Times New Roman" w:hAnsi="Times New Roman" w:cs="Times New Roman"/>
          <w:noProof/>
          <w:sz w:val="24"/>
          <w:szCs w:val="24"/>
        </w:rPr>
        <w:t xml:space="preserve"> </w:t>
      </w:r>
      <w:r w:rsidRPr="00F26789">
        <w:rPr>
          <w:rFonts w:ascii="Times New Roman" w:hAnsi="Times New Roman" w:cs="Times New Roman"/>
          <w:noProof/>
          <w:sz w:val="24"/>
          <w:szCs w:val="24"/>
        </w:rPr>
        <w:lastRenderedPageBreak/>
        <w:drawing>
          <wp:inline distT="0" distB="0" distL="0" distR="0" wp14:anchorId="3D713395" wp14:editId="3AD4A89B">
            <wp:extent cx="5274310" cy="5760085"/>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5760085"/>
                    </a:xfrm>
                    <a:prstGeom prst="rect">
                      <a:avLst/>
                    </a:prstGeom>
                    <a:noFill/>
                    <a:ln>
                      <a:noFill/>
                    </a:ln>
                  </pic:spPr>
                </pic:pic>
              </a:graphicData>
            </a:graphic>
          </wp:inline>
        </w:drawing>
      </w:r>
    </w:p>
    <w:p w14:paraId="3DD2B7B7" w14:textId="77777777" w:rsidR="00B104C9" w:rsidRPr="00F26789" w:rsidRDefault="00B104C9" w:rsidP="00104A5D">
      <w:pPr>
        <w:spacing w:line="360" w:lineRule="auto"/>
        <w:rPr>
          <w:rFonts w:ascii="Times New Roman" w:hAnsi="Times New Roman" w:cs="Times New Roman"/>
          <w:sz w:val="24"/>
          <w:szCs w:val="24"/>
        </w:rPr>
      </w:pPr>
    </w:p>
    <w:p w14:paraId="6EDE4A04" w14:textId="0C809368" w:rsidR="00104A5D" w:rsidRDefault="00104A5D" w:rsidP="00104A5D">
      <w:pPr>
        <w:spacing w:line="360" w:lineRule="auto"/>
        <w:rPr>
          <w:rFonts w:ascii="Times New Roman" w:hAnsi="Times New Roman" w:cs="Times New Roman"/>
          <w:sz w:val="24"/>
          <w:szCs w:val="24"/>
        </w:rPr>
      </w:pPr>
      <w:r w:rsidRPr="00F26789">
        <w:rPr>
          <w:rFonts w:ascii="Times New Roman" w:hAnsi="Times New Roman" w:cs="Times New Roman"/>
          <w:sz w:val="24"/>
          <w:szCs w:val="24"/>
        </w:rPr>
        <w:t xml:space="preserve">Figure S2. The 10 </w:t>
      </w:r>
      <w:proofErr w:type="spellStart"/>
      <w:r w:rsidRPr="00F26789">
        <w:rPr>
          <w:rFonts w:ascii="Times New Roman" w:hAnsi="Times New Roman" w:cs="Times New Roman"/>
          <w:sz w:val="24"/>
          <w:szCs w:val="24"/>
        </w:rPr>
        <w:t>cuproptosis</w:t>
      </w:r>
      <w:proofErr w:type="spellEnd"/>
      <w:r w:rsidRPr="00F26789">
        <w:rPr>
          <w:rFonts w:ascii="Times New Roman" w:hAnsi="Times New Roman" w:cs="Times New Roman"/>
          <w:sz w:val="24"/>
          <w:szCs w:val="24"/>
        </w:rPr>
        <w:t xml:space="preserve"> regulators correlated with clinicopathological features. </w:t>
      </w:r>
      <w:r w:rsidR="00927DD4">
        <w:rPr>
          <w:rFonts w:ascii="Times New Roman" w:hAnsi="Times New Roman" w:cs="Times New Roman"/>
          <w:sz w:val="24"/>
          <w:szCs w:val="24"/>
        </w:rPr>
        <w:t>Interc</w:t>
      </w:r>
      <w:r w:rsidRPr="00F26789">
        <w:rPr>
          <w:rFonts w:ascii="Times New Roman" w:hAnsi="Times New Roman" w:cs="Times New Roman"/>
          <w:sz w:val="24"/>
          <w:szCs w:val="24"/>
        </w:rPr>
        <w:t xml:space="preserve">orrelation between 10 </w:t>
      </w:r>
      <w:proofErr w:type="spellStart"/>
      <w:r w:rsidRPr="00F26789">
        <w:rPr>
          <w:rFonts w:ascii="Times New Roman" w:hAnsi="Times New Roman" w:cs="Times New Roman"/>
          <w:sz w:val="24"/>
          <w:szCs w:val="24"/>
        </w:rPr>
        <w:t>cuproptosis</w:t>
      </w:r>
      <w:proofErr w:type="spellEnd"/>
      <w:r w:rsidRPr="00F26789">
        <w:rPr>
          <w:rFonts w:ascii="Times New Roman" w:hAnsi="Times New Roman" w:cs="Times New Roman"/>
          <w:sz w:val="24"/>
          <w:szCs w:val="24"/>
        </w:rPr>
        <w:t xml:space="preserve"> regulators and age (A) and gender (B). Kaplan-Meier survival plots show OS of melanoma subjects with high (blue lines) and low (red lines) expression of the 10 </w:t>
      </w:r>
      <w:proofErr w:type="spellStart"/>
      <w:r w:rsidRPr="00F26789">
        <w:rPr>
          <w:rFonts w:ascii="Times New Roman" w:hAnsi="Times New Roman" w:cs="Times New Roman"/>
          <w:sz w:val="24"/>
          <w:szCs w:val="24"/>
        </w:rPr>
        <w:t>cuproptosis</w:t>
      </w:r>
      <w:proofErr w:type="spellEnd"/>
      <w:r w:rsidRPr="00F26789">
        <w:rPr>
          <w:rFonts w:ascii="Times New Roman" w:hAnsi="Times New Roman" w:cs="Times New Roman"/>
          <w:sz w:val="24"/>
          <w:szCs w:val="24"/>
        </w:rPr>
        <w:t xml:space="preserve"> regulators. Kaplan-Meier survival curves for (C) MTF1, (D) CDKN2A, (E) LIPT1, (F) GLS, (G) DLD, (H) FDX1, (I) DLAT, (J) LIAS, (K) PDHA1, and (L) PDHB. p &lt; 0.05 by log rank test.</w:t>
      </w:r>
    </w:p>
    <w:p w14:paraId="70958758" w14:textId="77777777" w:rsidR="00AF6D3B" w:rsidRDefault="00AF6D3B" w:rsidP="00AF6D3B">
      <w:pPr>
        <w:spacing w:line="360" w:lineRule="auto"/>
        <w:rPr>
          <w:noProof/>
        </w:rPr>
      </w:pPr>
      <w:r>
        <w:rPr>
          <w:noProof/>
        </w:rPr>
        <w:lastRenderedPageBreak/>
        <w:drawing>
          <wp:inline distT="0" distB="0" distL="0" distR="0" wp14:anchorId="36DFAD79" wp14:editId="3E0EC25D">
            <wp:extent cx="5274310" cy="389953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899535"/>
                    </a:xfrm>
                    <a:prstGeom prst="rect">
                      <a:avLst/>
                    </a:prstGeom>
                    <a:noFill/>
                    <a:ln>
                      <a:noFill/>
                    </a:ln>
                  </pic:spPr>
                </pic:pic>
              </a:graphicData>
            </a:graphic>
          </wp:inline>
        </w:drawing>
      </w:r>
    </w:p>
    <w:p w14:paraId="33762B4A" w14:textId="77777777" w:rsidR="00AF6D3B" w:rsidRDefault="00AF6D3B" w:rsidP="00AF6D3B">
      <w:pPr>
        <w:spacing w:line="360" w:lineRule="auto"/>
        <w:rPr>
          <w:noProof/>
        </w:rPr>
      </w:pPr>
    </w:p>
    <w:p w14:paraId="57677426" w14:textId="77777777" w:rsidR="00AF6D3B" w:rsidRPr="00E31A69" w:rsidRDefault="00AF6D3B" w:rsidP="00AF6D3B">
      <w:pPr>
        <w:spacing w:line="360" w:lineRule="auto"/>
        <w:rPr>
          <w:rFonts w:ascii="Times New Roman" w:hAnsi="Times New Roman" w:cs="Times New Roman"/>
          <w:sz w:val="24"/>
          <w:szCs w:val="24"/>
        </w:rPr>
      </w:pPr>
      <w:r>
        <w:rPr>
          <w:rFonts w:ascii="Times New Roman" w:hAnsi="Times New Roman" w:cs="Times New Roman"/>
          <w:sz w:val="24"/>
          <w:szCs w:val="24"/>
        </w:rPr>
        <w:t>Figure</w:t>
      </w:r>
      <w:r w:rsidRPr="000662C3">
        <w:rPr>
          <w:rFonts w:ascii="Times New Roman" w:hAnsi="Times New Roman" w:cs="Times New Roman"/>
          <w:sz w:val="24"/>
          <w:szCs w:val="24"/>
        </w:rPr>
        <w:t xml:space="preserve"> </w:t>
      </w:r>
      <w:r>
        <w:rPr>
          <w:rFonts w:ascii="Times New Roman" w:hAnsi="Times New Roman" w:cs="Times New Roman"/>
          <w:sz w:val="24"/>
          <w:szCs w:val="24"/>
        </w:rPr>
        <w:t>S3</w:t>
      </w:r>
      <w:r w:rsidRPr="000662C3">
        <w:rPr>
          <w:rFonts w:ascii="Times New Roman" w:hAnsi="Times New Roman" w:cs="Times New Roman"/>
          <w:sz w:val="24"/>
          <w:szCs w:val="24"/>
        </w:rPr>
        <w:t>.</w:t>
      </w:r>
      <w:r w:rsidRPr="00DC0A68">
        <w:rPr>
          <w:rFonts w:ascii="Times New Roman" w:hAnsi="Times New Roman" w:cs="Times New Roman"/>
          <w:sz w:val="24"/>
          <w:szCs w:val="24"/>
        </w:rPr>
        <w:t xml:space="preserve"> </w:t>
      </w:r>
      <w:bookmarkStart w:id="0" w:name="OLE_LINK22"/>
      <w:r w:rsidRPr="00BB381C">
        <w:rPr>
          <w:rFonts w:ascii="Times New Roman" w:hAnsi="Times New Roman" w:cs="Times New Roman"/>
          <w:noProof/>
          <w:color w:val="000000" w:themeColor="text1"/>
          <w:sz w:val="24"/>
          <w:szCs w:val="24"/>
        </w:rPr>
        <w:t xml:space="preserve">Selection of </w:t>
      </w:r>
      <w:proofErr w:type="spellStart"/>
      <w:r w:rsidRPr="00BB381C">
        <w:rPr>
          <w:rFonts w:ascii="Times New Roman" w:hAnsi="Times New Roman" w:cs="Times New Roman"/>
          <w:color w:val="000000" w:themeColor="text1"/>
          <w:sz w:val="24"/>
          <w:szCs w:val="24"/>
        </w:rPr>
        <w:t>cuproptosis</w:t>
      </w:r>
      <w:proofErr w:type="spellEnd"/>
      <w:r w:rsidRPr="00BB381C">
        <w:rPr>
          <w:rFonts w:ascii="Times New Roman" w:hAnsi="Times New Roman" w:cs="Times New Roman"/>
          <w:color w:val="000000" w:themeColor="text1"/>
          <w:sz w:val="24"/>
          <w:szCs w:val="24"/>
        </w:rPr>
        <w:t>-related genes</w:t>
      </w:r>
      <w:r w:rsidRPr="00BB381C">
        <w:rPr>
          <w:rFonts w:ascii="Times New Roman" w:hAnsi="Times New Roman" w:cs="Times New Roman"/>
          <w:noProof/>
          <w:color w:val="000000" w:themeColor="text1"/>
          <w:sz w:val="24"/>
          <w:szCs w:val="24"/>
        </w:rPr>
        <w:t xml:space="preserve"> of melanoma</w:t>
      </w:r>
      <w:r w:rsidRPr="00BB381C">
        <w:rPr>
          <w:rFonts w:ascii="Times New Roman" w:hAnsi="Times New Roman" w:cs="Times New Roman" w:hint="eastAsia"/>
          <w:noProof/>
          <w:color w:val="000000" w:themeColor="text1"/>
          <w:sz w:val="24"/>
          <w:szCs w:val="24"/>
        </w:rPr>
        <w:t>.</w:t>
      </w:r>
      <w:r w:rsidRPr="00BB381C">
        <w:rPr>
          <w:rFonts w:ascii="Times New Roman" w:hAnsi="Times New Roman" w:cs="Times New Roman"/>
          <w:noProof/>
          <w:color w:val="000000" w:themeColor="text1"/>
          <w:sz w:val="24"/>
          <w:szCs w:val="24"/>
        </w:rPr>
        <w:t xml:space="preserve"> (A) The WGCNA clustering dendrogram for the 225 samples. (B) Analysisfor a wide range of soft-threshold powers (β). (C) Result of the different soft-threshold powers using mean connectivity. (D) The clustering dendrogram based on dissimilarity metric for variously expressed genes.</w:t>
      </w:r>
      <w:bookmarkEnd w:id="0"/>
    </w:p>
    <w:p w14:paraId="3C9E9A7F" w14:textId="77777777" w:rsidR="00B104C9" w:rsidRPr="00AF6D3B" w:rsidRDefault="00B104C9" w:rsidP="00104A5D">
      <w:pPr>
        <w:spacing w:line="360" w:lineRule="auto"/>
        <w:rPr>
          <w:rFonts w:ascii="Times New Roman" w:hAnsi="Times New Roman" w:cs="Times New Roman"/>
          <w:sz w:val="24"/>
          <w:szCs w:val="24"/>
        </w:rPr>
      </w:pPr>
    </w:p>
    <w:p w14:paraId="60CA6B9E" w14:textId="134DD8A3" w:rsidR="00104A5D" w:rsidRDefault="00104A5D" w:rsidP="00104A5D">
      <w:pPr>
        <w:spacing w:line="360" w:lineRule="auto"/>
        <w:rPr>
          <w:rFonts w:ascii="Times New Roman" w:hAnsi="Times New Roman" w:cs="Times New Roman"/>
          <w:noProof/>
          <w:sz w:val="24"/>
          <w:szCs w:val="24"/>
        </w:rPr>
      </w:pPr>
      <w:r w:rsidRPr="00F26789">
        <w:rPr>
          <w:rFonts w:ascii="Times New Roman" w:hAnsi="Times New Roman" w:cs="Times New Roman"/>
          <w:noProof/>
          <w:sz w:val="24"/>
          <w:szCs w:val="24"/>
        </w:rPr>
        <w:lastRenderedPageBreak/>
        <w:drawing>
          <wp:inline distT="0" distB="0" distL="0" distR="0" wp14:anchorId="0B55151C" wp14:editId="5A177BA2">
            <wp:extent cx="5274310" cy="335661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356610"/>
                    </a:xfrm>
                    <a:prstGeom prst="rect">
                      <a:avLst/>
                    </a:prstGeom>
                    <a:noFill/>
                    <a:ln>
                      <a:noFill/>
                    </a:ln>
                  </pic:spPr>
                </pic:pic>
              </a:graphicData>
            </a:graphic>
          </wp:inline>
        </w:drawing>
      </w:r>
    </w:p>
    <w:p w14:paraId="0FDEDA79" w14:textId="77777777" w:rsidR="00927DD4" w:rsidRPr="00F26789" w:rsidRDefault="00927DD4" w:rsidP="00104A5D">
      <w:pPr>
        <w:spacing w:line="360" w:lineRule="auto"/>
        <w:rPr>
          <w:rFonts w:ascii="Times New Roman" w:hAnsi="Times New Roman" w:cs="Times New Roman"/>
          <w:sz w:val="24"/>
          <w:szCs w:val="24"/>
        </w:rPr>
      </w:pPr>
    </w:p>
    <w:p w14:paraId="508F8974" w14:textId="48976479" w:rsidR="00104A5D" w:rsidRPr="00F26789" w:rsidRDefault="00104A5D" w:rsidP="00104A5D">
      <w:pPr>
        <w:spacing w:line="360" w:lineRule="auto"/>
        <w:rPr>
          <w:rFonts w:ascii="Times New Roman" w:hAnsi="Times New Roman" w:cs="Times New Roman"/>
          <w:sz w:val="24"/>
          <w:szCs w:val="24"/>
        </w:rPr>
      </w:pPr>
      <w:r w:rsidRPr="00F26789">
        <w:rPr>
          <w:rFonts w:ascii="Times New Roman" w:hAnsi="Times New Roman" w:cs="Times New Roman"/>
          <w:sz w:val="24"/>
          <w:szCs w:val="24"/>
        </w:rPr>
        <w:t>Figure S</w:t>
      </w:r>
      <w:r w:rsidR="00AF6D3B">
        <w:rPr>
          <w:rFonts w:ascii="Times New Roman" w:hAnsi="Times New Roman" w:cs="Times New Roman"/>
          <w:sz w:val="24"/>
          <w:szCs w:val="24"/>
        </w:rPr>
        <w:t>4</w:t>
      </w:r>
      <w:r w:rsidRPr="00F26789">
        <w:rPr>
          <w:rFonts w:ascii="Times New Roman" w:hAnsi="Times New Roman" w:cs="Times New Roman"/>
          <w:sz w:val="24"/>
          <w:szCs w:val="24"/>
        </w:rPr>
        <w:t xml:space="preserve">. Construction and verification of the </w:t>
      </w:r>
      <w:r w:rsidR="00927DD4">
        <w:rPr>
          <w:rFonts w:ascii="Times New Roman" w:hAnsi="Times New Roman" w:cs="Times New Roman"/>
          <w:sz w:val="24"/>
          <w:szCs w:val="24"/>
        </w:rPr>
        <w:t>CGS</w:t>
      </w:r>
      <w:r w:rsidRPr="00F26789">
        <w:rPr>
          <w:rFonts w:ascii="Times New Roman" w:hAnsi="Times New Roman" w:cs="Times New Roman"/>
          <w:sz w:val="24"/>
          <w:szCs w:val="24"/>
        </w:rPr>
        <w:t xml:space="preserve"> in the </w:t>
      </w:r>
      <w:bookmarkStart w:id="1" w:name="_Hlk121080359"/>
      <w:r w:rsidRPr="00F26789">
        <w:rPr>
          <w:rFonts w:ascii="Times New Roman" w:hAnsi="Times New Roman" w:cs="Times New Roman"/>
          <w:sz w:val="24"/>
          <w:szCs w:val="24"/>
        </w:rPr>
        <w:t>TCGA validation dataset</w:t>
      </w:r>
      <w:bookmarkEnd w:id="1"/>
      <w:r w:rsidRPr="00F26789">
        <w:rPr>
          <w:rFonts w:ascii="Times New Roman" w:hAnsi="Times New Roman" w:cs="Times New Roman"/>
          <w:sz w:val="24"/>
          <w:szCs w:val="24"/>
        </w:rPr>
        <w:t xml:space="preserve">. (A) Principal component analysis for the genes that distinguish the </w:t>
      </w:r>
      <w:r w:rsidR="00927DD4">
        <w:rPr>
          <w:rFonts w:ascii="Times New Roman" w:hAnsi="Times New Roman" w:cs="Times New Roman" w:hint="eastAsia"/>
          <w:sz w:val="24"/>
          <w:szCs w:val="24"/>
        </w:rPr>
        <w:t>two</w:t>
      </w:r>
      <w:r w:rsidRPr="00F26789">
        <w:rPr>
          <w:rFonts w:ascii="Times New Roman" w:hAnsi="Times New Roman" w:cs="Times New Roman"/>
          <w:sz w:val="24"/>
          <w:szCs w:val="24"/>
        </w:rPr>
        <w:t xml:space="preserve"> groups. (B) Comparison of risk scores in living and dead patients. </w:t>
      </w:r>
      <w:r w:rsidR="00B104C9" w:rsidRPr="00B104C9">
        <w:rPr>
          <w:rFonts w:ascii="Times New Roman" w:hAnsi="Times New Roman" w:cs="Times New Roman"/>
          <w:sz w:val="24"/>
          <w:szCs w:val="24"/>
        </w:rPr>
        <w:t xml:space="preserve">(C) Kaplan-Meier survival curves depict the OS of two groups based on the CGS. (D) The accuracy of OS prediction is shown by time-dependent ROC curves. (E) Risk score distribution for the 225 melanoma patients. (F) The prognosis of 225 melanoma patients. </w:t>
      </w:r>
      <w:r w:rsidRPr="00F26789">
        <w:rPr>
          <w:rFonts w:ascii="Times New Roman" w:hAnsi="Times New Roman" w:cs="Times New Roman"/>
          <w:sz w:val="24"/>
          <w:szCs w:val="24"/>
        </w:rPr>
        <w:t xml:space="preserve"> </w:t>
      </w:r>
    </w:p>
    <w:p w14:paraId="3319B3D3" w14:textId="77777777" w:rsidR="006E0AEA" w:rsidRPr="00F26789" w:rsidRDefault="006E0AEA" w:rsidP="00104A5D">
      <w:pPr>
        <w:spacing w:line="360" w:lineRule="auto"/>
        <w:rPr>
          <w:rFonts w:ascii="Times New Roman" w:hAnsi="Times New Roman" w:cs="Times New Roman"/>
          <w:sz w:val="24"/>
          <w:szCs w:val="24"/>
        </w:rPr>
      </w:pPr>
    </w:p>
    <w:p w14:paraId="2D99070D" w14:textId="77777777" w:rsidR="00104A5D" w:rsidRPr="00F26789" w:rsidRDefault="00104A5D" w:rsidP="00104A5D">
      <w:pPr>
        <w:spacing w:line="360" w:lineRule="auto"/>
        <w:rPr>
          <w:rFonts w:ascii="Times New Roman" w:hAnsi="Times New Roman" w:cs="Times New Roman"/>
          <w:sz w:val="24"/>
          <w:szCs w:val="24"/>
        </w:rPr>
      </w:pPr>
      <w:r w:rsidRPr="00F26789">
        <w:rPr>
          <w:rFonts w:ascii="Times New Roman" w:hAnsi="Times New Roman" w:cs="Times New Roman"/>
          <w:noProof/>
          <w:sz w:val="24"/>
          <w:szCs w:val="24"/>
        </w:rPr>
        <w:drawing>
          <wp:inline distT="0" distB="0" distL="0" distR="0" wp14:anchorId="51EED2FD" wp14:editId="52210548">
            <wp:extent cx="5274310" cy="185293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1852930"/>
                    </a:xfrm>
                    <a:prstGeom prst="rect">
                      <a:avLst/>
                    </a:prstGeom>
                    <a:noFill/>
                    <a:ln>
                      <a:noFill/>
                    </a:ln>
                  </pic:spPr>
                </pic:pic>
              </a:graphicData>
            </a:graphic>
          </wp:inline>
        </w:drawing>
      </w:r>
    </w:p>
    <w:p w14:paraId="62B04461" w14:textId="20D54ECD" w:rsidR="00104A5D" w:rsidRPr="00F26789" w:rsidRDefault="00104A5D" w:rsidP="00104A5D">
      <w:pPr>
        <w:spacing w:line="360" w:lineRule="auto"/>
        <w:rPr>
          <w:rFonts w:ascii="Times New Roman" w:hAnsi="Times New Roman" w:cs="Times New Roman"/>
          <w:sz w:val="24"/>
          <w:szCs w:val="24"/>
        </w:rPr>
      </w:pPr>
      <w:r w:rsidRPr="00F26789">
        <w:rPr>
          <w:rFonts w:ascii="Times New Roman" w:hAnsi="Times New Roman" w:cs="Times New Roman"/>
          <w:sz w:val="24"/>
          <w:szCs w:val="24"/>
        </w:rPr>
        <w:t>Figure S</w:t>
      </w:r>
      <w:r w:rsidR="00AF6D3B">
        <w:rPr>
          <w:rFonts w:ascii="Times New Roman" w:hAnsi="Times New Roman" w:cs="Times New Roman"/>
          <w:sz w:val="24"/>
          <w:szCs w:val="24"/>
        </w:rPr>
        <w:t>5</w:t>
      </w:r>
      <w:r w:rsidRPr="00F26789">
        <w:rPr>
          <w:rFonts w:ascii="Times New Roman" w:hAnsi="Times New Roman" w:cs="Times New Roman"/>
          <w:sz w:val="24"/>
          <w:szCs w:val="24"/>
        </w:rPr>
        <w:t>. Univariate and multivariate cox regression analys</w:t>
      </w:r>
      <w:r w:rsidR="00927DD4">
        <w:rPr>
          <w:rFonts w:ascii="Times New Roman" w:hAnsi="Times New Roman" w:cs="Times New Roman"/>
          <w:sz w:val="24"/>
          <w:szCs w:val="24"/>
        </w:rPr>
        <w:t>e</w:t>
      </w:r>
      <w:r w:rsidRPr="00F26789">
        <w:rPr>
          <w:rFonts w:ascii="Times New Roman" w:hAnsi="Times New Roman" w:cs="Times New Roman"/>
          <w:sz w:val="24"/>
          <w:szCs w:val="24"/>
        </w:rPr>
        <w:t xml:space="preserve">s show the clinicopathological </w:t>
      </w:r>
      <w:r w:rsidR="00927DD4">
        <w:rPr>
          <w:rFonts w:ascii="Times New Roman" w:hAnsi="Times New Roman" w:cs="Times New Roman"/>
          <w:sz w:val="24"/>
          <w:szCs w:val="24"/>
        </w:rPr>
        <w:t>characteristic</w:t>
      </w:r>
      <w:r w:rsidRPr="00F26789">
        <w:rPr>
          <w:rFonts w:ascii="Times New Roman" w:hAnsi="Times New Roman" w:cs="Times New Roman"/>
          <w:sz w:val="24"/>
          <w:szCs w:val="24"/>
        </w:rPr>
        <w:t xml:space="preserve">s associated with OS among melanoma </w:t>
      </w:r>
      <w:r w:rsidR="00927DD4">
        <w:rPr>
          <w:rFonts w:ascii="Times New Roman" w:hAnsi="Times New Roman" w:cs="Times New Roman"/>
          <w:sz w:val="24"/>
          <w:szCs w:val="24"/>
        </w:rPr>
        <w:t>patient</w:t>
      </w:r>
      <w:r w:rsidRPr="00F26789">
        <w:rPr>
          <w:rFonts w:ascii="Times New Roman" w:hAnsi="Times New Roman" w:cs="Times New Roman"/>
          <w:sz w:val="24"/>
          <w:szCs w:val="24"/>
        </w:rPr>
        <w:t xml:space="preserve">s in the TCGA validation dataset. </w:t>
      </w:r>
    </w:p>
    <w:p w14:paraId="2C1E3D49" w14:textId="77777777" w:rsidR="00927DD4" w:rsidRPr="00F26789" w:rsidRDefault="00927DD4" w:rsidP="00104A5D">
      <w:pPr>
        <w:spacing w:line="360" w:lineRule="auto"/>
        <w:rPr>
          <w:rFonts w:ascii="Times New Roman" w:hAnsi="Times New Roman" w:cs="Times New Roman"/>
          <w:sz w:val="24"/>
          <w:szCs w:val="24"/>
        </w:rPr>
      </w:pPr>
    </w:p>
    <w:p w14:paraId="27673D82" w14:textId="77777777" w:rsidR="00104A5D" w:rsidRDefault="00104A5D" w:rsidP="00104A5D">
      <w:pPr>
        <w:spacing w:line="360" w:lineRule="auto"/>
        <w:rPr>
          <w:rFonts w:ascii="Times New Roman" w:hAnsi="Times New Roman" w:cs="Times New Roman"/>
          <w:sz w:val="24"/>
          <w:szCs w:val="24"/>
        </w:rPr>
      </w:pPr>
      <w:r w:rsidRPr="00F26789">
        <w:rPr>
          <w:rFonts w:ascii="Times New Roman" w:hAnsi="Times New Roman" w:cs="Times New Roman"/>
          <w:noProof/>
          <w:sz w:val="24"/>
          <w:szCs w:val="24"/>
        </w:rPr>
        <w:lastRenderedPageBreak/>
        <w:drawing>
          <wp:inline distT="0" distB="0" distL="0" distR="0" wp14:anchorId="24211971" wp14:editId="24D9B7C1">
            <wp:extent cx="5274310" cy="3741420"/>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741420"/>
                    </a:xfrm>
                    <a:prstGeom prst="rect">
                      <a:avLst/>
                    </a:prstGeom>
                    <a:noFill/>
                    <a:ln>
                      <a:noFill/>
                    </a:ln>
                  </pic:spPr>
                </pic:pic>
              </a:graphicData>
            </a:graphic>
          </wp:inline>
        </w:drawing>
      </w:r>
    </w:p>
    <w:p w14:paraId="73A76BEB" w14:textId="77777777" w:rsidR="00927DD4" w:rsidRPr="00F26789" w:rsidRDefault="00927DD4" w:rsidP="00104A5D">
      <w:pPr>
        <w:spacing w:line="360" w:lineRule="auto"/>
        <w:rPr>
          <w:rFonts w:ascii="Times New Roman" w:hAnsi="Times New Roman" w:cs="Times New Roman"/>
          <w:sz w:val="24"/>
          <w:szCs w:val="24"/>
        </w:rPr>
      </w:pPr>
    </w:p>
    <w:p w14:paraId="3EAF5CCC" w14:textId="6DF5BCF7" w:rsidR="00104A5D" w:rsidRPr="00F26789" w:rsidRDefault="00104A5D" w:rsidP="00104A5D">
      <w:pPr>
        <w:spacing w:line="360" w:lineRule="auto"/>
        <w:rPr>
          <w:rFonts w:ascii="Times New Roman" w:hAnsi="Times New Roman" w:cs="Times New Roman"/>
          <w:sz w:val="24"/>
          <w:szCs w:val="24"/>
        </w:rPr>
      </w:pPr>
      <w:r w:rsidRPr="00F26789">
        <w:rPr>
          <w:rFonts w:ascii="Times New Roman" w:hAnsi="Times New Roman" w:cs="Times New Roman"/>
          <w:sz w:val="24"/>
          <w:szCs w:val="24"/>
        </w:rPr>
        <w:t>Figure S</w:t>
      </w:r>
      <w:r w:rsidR="00AF6D3B">
        <w:rPr>
          <w:rFonts w:ascii="Times New Roman" w:hAnsi="Times New Roman" w:cs="Times New Roman"/>
          <w:sz w:val="24"/>
          <w:szCs w:val="24"/>
        </w:rPr>
        <w:t>6</w:t>
      </w:r>
      <w:r w:rsidRPr="00F26789">
        <w:rPr>
          <w:rFonts w:ascii="Times New Roman" w:hAnsi="Times New Roman" w:cs="Times New Roman"/>
          <w:sz w:val="24"/>
          <w:szCs w:val="24"/>
        </w:rPr>
        <w:t xml:space="preserve">. Establishment and </w:t>
      </w:r>
      <w:r w:rsidR="00927DD4">
        <w:rPr>
          <w:rFonts w:ascii="Times New Roman" w:hAnsi="Times New Roman" w:cs="Times New Roman"/>
          <w:sz w:val="24"/>
          <w:szCs w:val="24"/>
        </w:rPr>
        <w:t>affirmation</w:t>
      </w:r>
      <w:r w:rsidRPr="00F26789">
        <w:rPr>
          <w:rFonts w:ascii="Times New Roman" w:hAnsi="Times New Roman" w:cs="Times New Roman"/>
          <w:sz w:val="24"/>
          <w:szCs w:val="24"/>
        </w:rPr>
        <w:t xml:space="preserve"> of the nomogram for predicting OS of melanoma subjects in the TCGA validation dataset. (A) Nomogram with gender, age, recurrence, T</w:t>
      </w:r>
      <w:r w:rsidR="00927DD4">
        <w:rPr>
          <w:rFonts w:ascii="Times New Roman" w:hAnsi="Times New Roman" w:cs="Times New Roman"/>
          <w:sz w:val="24"/>
          <w:szCs w:val="24"/>
        </w:rPr>
        <w:t>N</w:t>
      </w:r>
      <w:r w:rsidRPr="00F26789">
        <w:rPr>
          <w:rFonts w:ascii="Times New Roman" w:hAnsi="Times New Roman" w:cs="Times New Roman"/>
          <w:sz w:val="24"/>
          <w:szCs w:val="24"/>
        </w:rPr>
        <w:t>M stage</w:t>
      </w:r>
      <w:r w:rsidR="00927DD4">
        <w:rPr>
          <w:rFonts w:ascii="Times New Roman" w:hAnsi="Times New Roman" w:cs="Times New Roman"/>
          <w:sz w:val="24"/>
          <w:szCs w:val="24"/>
        </w:rPr>
        <w:t>s</w:t>
      </w:r>
      <w:r w:rsidRPr="00F26789">
        <w:rPr>
          <w:rFonts w:ascii="Times New Roman" w:hAnsi="Times New Roman" w:cs="Times New Roman"/>
          <w:sz w:val="24"/>
          <w:szCs w:val="24"/>
        </w:rPr>
        <w:t xml:space="preserve">, and risk score for predicting the 1-year, 3-year, and 5-year OS among melanoma patients. (B) Decision curve analysis shows roles of clinicopathological parameters predicting OS on the basis of the nomogram. (C-E) </w:t>
      </w:r>
      <w:r w:rsidR="00B104C9">
        <w:rPr>
          <w:rFonts w:ascii="Times New Roman" w:hAnsi="Times New Roman" w:cs="Times New Roman"/>
          <w:sz w:val="24"/>
          <w:szCs w:val="24"/>
        </w:rPr>
        <w:t>T</w:t>
      </w:r>
      <w:r w:rsidRPr="00F26789">
        <w:rPr>
          <w:rFonts w:ascii="Times New Roman" w:hAnsi="Times New Roman" w:cs="Times New Roman"/>
          <w:sz w:val="24"/>
          <w:szCs w:val="24"/>
        </w:rPr>
        <w:t xml:space="preserve">he comparison between nomogram-predicted and the actual 1-year, 3-year, and 5-year OS. (F) The accuracy of OS prediction </w:t>
      </w:r>
      <w:r w:rsidR="00B104C9" w:rsidRPr="00B104C9">
        <w:rPr>
          <w:rFonts w:ascii="Times New Roman" w:hAnsi="Times New Roman" w:cs="Times New Roman"/>
          <w:sz w:val="24"/>
          <w:szCs w:val="24"/>
        </w:rPr>
        <w:t>in accordance with</w:t>
      </w:r>
      <w:r w:rsidRPr="00F26789">
        <w:rPr>
          <w:rFonts w:ascii="Times New Roman" w:hAnsi="Times New Roman" w:cs="Times New Roman"/>
          <w:sz w:val="24"/>
          <w:szCs w:val="24"/>
        </w:rPr>
        <w:t xml:space="preserve"> the nomogram.</w:t>
      </w:r>
    </w:p>
    <w:p w14:paraId="02EC8E8E" w14:textId="4825A00C" w:rsidR="006E0AEA" w:rsidRPr="00F26789" w:rsidRDefault="006E0AEA" w:rsidP="00104A5D">
      <w:pPr>
        <w:spacing w:line="360" w:lineRule="auto"/>
        <w:rPr>
          <w:rFonts w:ascii="Times New Roman" w:hAnsi="Times New Roman" w:cs="Times New Roman"/>
          <w:sz w:val="24"/>
          <w:szCs w:val="24"/>
        </w:rPr>
      </w:pPr>
    </w:p>
    <w:p w14:paraId="6679CA9F" w14:textId="77777777" w:rsidR="006E0AEA" w:rsidRPr="00F26789" w:rsidRDefault="006E0AEA" w:rsidP="00104A5D">
      <w:pPr>
        <w:spacing w:line="360" w:lineRule="auto"/>
        <w:rPr>
          <w:rFonts w:ascii="Times New Roman" w:hAnsi="Times New Roman" w:cs="Times New Roman"/>
          <w:sz w:val="24"/>
          <w:szCs w:val="24"/>
        </w:rPr>
      </w:pPr>
    </w:p>
    <w:p w14:paraId="6887DD44" w14:textId="77777777" w:rsidR="00104A5D" w:rsidRPr="00F26789" w:rsidRDefault="00104A5D" w:rsidP="00104A5D">
      <w:pPr>
        <w:spacing w:line="360" w:lineRule="auto"/>
        <w:rPr>
          <w:rFonts w:ascii="Times New Roman" w:hAnsi="Times New Roman" w:cs="Times New Roman"/>
          <w:color w:val="000000" w:themeColor="text1"/>
          <w:sz w:val="24"/>
          <w:szCs w:val="24"/>
        </w:rPr>
      </w:pPr>
      <w:r w:rsidRPr="00F26789">
        <w:rPr>
          <w:rFonts w:ascii="Times New Roman" w:hAnsi="Times New Roman" w:cs="Times New Roman"/>
          <w:noProof/>
          <w:sz w:val="24"/>
          <w:szCs w:val="24"/>
        </w:rPr>
        <w:drawing>
          <wp:inline distT="0" distB="0" distL="0" distR="0" wp14:anchorId="4F6B2754" wp14:editId="5CD08E8A">
            <wp:extent cx="4806950" cy="14795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06950" cy="1479550"/>
                    </a:xfrm>
                    <a:prstGeom prst="rect">
                      <a:avLst/>
                    </a:prstGeom>
                    <a:noFill/>
                    <a:ln>
                      <a:noFill/>
                    </a:ln>
                  </pic:spPr>
                </pic:pic>
              </a:graphicData>
            </a:graphic>
          </wp:inline>
        </w:drawing>
      </w:r>
    </w:p>
    <w:p w14:paraId="3F406DC4" w14:textId="2A84F08E" w:rsidR="00104A5D" w:rsidRPr="00F26789" w:rsidRDefault="00104A5D" w:rsidP="00104A5D">
      <w:pPr>
        <w:spacing w:line="360" w:lineRule="auto"/>
        <w:rPr>
          <w:rFonts w:ascii="Times New Roman" w:hAnsi="Times New Roman" w:cs="Times New Roman"/>
          <w:sz w:val="24"/>
          <w:szCs w:val="24"/>
        </w:rPr>
      </w:pPr>
      <w:r w:rsidRPr="00F26789">
        <w:rPr>
          <w:rFonts w:ascii="Times New Roman" w:hAnsi="Times New Roman" w:cs="Times New Roman"/>
          <w:sz w:val="24"/>
          <w:szCs w:val="24"/>
        </w:rPr>
        <w:t>Figure S</w:t>
      </w:r>
      <w:r w:rsidR="00AF6D3B">
        <w:rPr>
          <w:rFonts w:ascii="Times New Roman" w:hAnsi="Times New Roman" w:cs="Times New Roman"/>
          <w:sz w:val="24"/>
          <w:szCs w:val="24"/>
        </w:rPr>
        <w:t>7</w:t>
      </w:r>
      <w:r w:rsidRPr="00F26789">
        <w:rPr>
          <w:rFonts w:ascii="Times New Roman" w:hAnsi="Times New Roman" w:cs="Times New Roman"/>
          <w:sz w:val="24"/>
          <w:szCs w:val="24"/>
        </w:rPr>
        <w:t xml:space="preserve">. Correlation analysis of the risk score with immune cell infiltration and TGFB3. TGFB3 was significantly correlated with OS (A), risk scores (B). The </w:t>
      </w:r>
      <w:r w:rsidRPr="00F26789">
        <w:rPr>
          <w:rFonts w:ascii="Times New Roman" w:hAnsi="Times New Roman" w:cs="Times New Roman"/>
          <w:sz w:val="24"/>
          <w:szCs w:val="24"/>
        </w:rPr>
        <w:lastRenderedPageBreak/>
        <w:t>expression level of TGFB3 in different risk groups (C).</w:t>
      </w:r>
    </w:p>
    <w:p w14:paraId="6BF37481" w14:textId="77777777" w:rsidR="006E0AEA" w:rsidRPr="00F26789" w:rsidRDefault="006E0AEA" w:rsidP="00104A5D">
      <w:pPr>
        <w:spacing w:line="360" w:lineRule="auto"/>
        <w:rPr>
          <w:rFonts w:ascii="Times New Roman" w:hAnsi="Times New Roman" w:cs="Times New Roman"/>
          <w:sz w:val="24"/>
          <w:szCs w:val="24"/>
        </w:rPr>
      </w:pPr>
    </w:p>
    <w:p w14:paraId="25BFDFE8" w14:textId="4006C997" w:rsidR="00104A5D" w:rsidRDefault="0098282E" w:rsidP="00104A5D">
      <w:pPr>
        <w:spacing w:line="360" w:lineRule="auto"/>
        <w:rPr>
          <w:rFonts w:ascii="Times New Roman" w:hAnsi="Times New Roman" w:cs="Times New Roman"/>
          <w:sz w:val="24"/>
          <w:szCs w:val="24"/>
        </w:rPr>
      </w:pPr>
      <w:r>
        <w:rPr>
          <w:noProof/>
        </w:rPr>
        <w:drawing>
          <wp:inline distT="0" distB="0" distL="0" distR="0" wp14:anchorId="459C1862" wp14:editId="51443089">
            <wp:extent cx="3235325" cy="1554480"/>
            <wp:effectExtent l="0" t="0" r="0" b="0"/>
            <wp:docPr id="68745658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35325" cy="1554480"/>
                    </a:xfrm>
                    <a:prstGeom prst="rect">
                      <a:avLst/>
                    </a:prstGeom>
                    <a:noFill/>
                    <a:ln>
                      <a:noFill/>
                    </a:ln>
                  </pic:spPr>
                </pic:pic>
              </a:graphicData>
            </a:graphic>
          </wp:inline>
        </w:drawing>
      </w:r>
    </w:p>
    <w:p w14:paraId="615ED771" w14:textId="77777777" w:rsidR="00B104C9" w:rsidRPr="00F26789" w:rsidRDefault="00B104C9" w:rsidP="00104A5D">
      <w:pPr>
        <w:spacing w:line="360" w:lineRule="auto"/>
        <w:rPr>
          <w:rFonts w:ascii="Times New Roman" w:hAnsi="Times New Roman" w:cs="Times New Roman"/>
          <w:sz w:val="24"/>
          <w:szCs w:val="24"/>
        </w:rPr>
      </w:pPr>
    </w:p>
    <w:p w14:paraId="4CFD89BE" w14:textId="22256793" w:rsidR="00104A5D" w:rsidRDefault="00104A5D" w:rsidP="00104A5D">
      <w:pPr>
        <w:spacing w:line="360" w:lineRule="auto"/>
        <w:rPr>
          <w:rFonts w:ascii="Times New Roman" w:hAnsi="Times New Roman" w:cs="Times New Roman"/>
          <w:sz w:val="24"/>
          <w:szCs w:val="24"/>
        </w:rPr>
      </w:pPr>
      <w:r w:rsidRPr="00F26789">
        <w:rPr>
          <w:rFonts w:ascii="Times New Roman" w:hAnsi="Times New Roman" w:cs="Times New Roman"/>
          <w:sz w:val="24"/>
          <w:szCs w:val="24"/>
        </w:rPr>
        <w:t>Figure S</w:t>
      </w:r>
      <w:r w:rsidR="00AF6D3B">
        <w:rPr>
          <w:rFonts w:ascii="Times New Roman" w:hAnsi="Times New Roman" w:cs="Times New Roman"/>
          <w:sz w:val="24"/>
          <w:szCs w:val="24"/>
        </w:rPr>
        <w:t>8</w:t>
      </w:r>
      <w:r w:rsidRPr="00F26789">
        <w:rPr>
          <w:rFonts w:ascii="Times New Roman" w:hAnsi="Times New Roman" w:cs="Times New Roman"/>
          <w:sz w:val="24"/>
          <w:szCs w:val="24"/>
        </w:rPr>
        <w:t xml:space="preserve">. </w:t>
      </w:r>
      <w:bookmarkStart w:id="2" w:name="_Hlk140575903"/>
      <w:r w:rsidRPr="00F26789">
        <w:rPr>
          <w:rFonts w:ascii="Times New Roman" w:hAnsi="Times New Roman" w:cs="Times New Roman"/>
          <w:sz w:val="24"/>
          <w:szCs w:val="24"/>
        </w:rPr>
        <w:t xml:space="preserve">Kaplan-Meier OS curves and PFI curves for </w:t>
      </w:r>
      <w:r w:rsidR="00B104C9">
        <w:rPr>
          <w:rFonts w:ascii="Times New Roman" w:hAnsi="Times New Roman" w:cs="Times New Roman"/>
          <w:sz w:val="24"/>
          <w:szCs w:val="24"/>
        </w:rPr>
        <w:t>two</w:t>
      </w:r>
      <w:r w:rsidRPr="00F26789">
        <w:rPr>
          <w:rFonts w:ascii="Times New Roman" w:hAnsi="Times New Roman" w:cs="Times New Roman"/>
          <w:sz w:val="24"/>
          <w:szCs w:val="24"/>
        </w:rPr>
        <w:t xml:space="preserve"> groups</w:t>
      </w:r>
      <w:bookmarkEnd w:id="2"/>
      <w:r w:rsidRPr="00F26789">
        <w:rPr>
          <w:rFonts w:ascii="Times New Roman" w:hAnsi="Times New Roman" w:cs="Times New Roman"/>
          <w:sz w:val="24"/>
          <w:szCs w:val="24"/>
        </w:rPr>
        <w:t xml:space="preserve"> in the verification datasets (</w:t>
      </w:r>
      <w:r w:rsidR="0098282E">
        <w:rPr>
          <w:rFonts w:ascii="Times New Roman" w:hAnsi="Times New Roman" w:cs="Times New Roman"/>
          <w:sz w:val="24"/>
          <w:szCs w:val="24"/>
        </w:rPr>
        <w:t>A</w:t>
      </w:r>
      <w:r w:rsidRPr="00F26789">
        <w:rPr>
          <w:rFonts w:ascii="Times New Roman" w:hAnsi="Times New Roman" w:cs="Times New Roman"/>
          <w:sz w:val="24"/>
          <w:szCs w:val="24"/>
        </w:rPr>
        <w:t>-</w:t>
      </w:r>
      <w:r w:rsidR="0098282E">
        <w:rPr>
          <w:rFonts w:ascii="Times New Roman" w:hAnsi="Times New Roman" w:cs="Times New Roman"/>
          <w:sz w:val="24"/>
          <w:szCs w:val="24"/>
        </w:rPr>
        <w:t>B</w:t>
      </w:r>
      <w:r w:rsidRPr="00F26789">
        <w:rPr>
          <w:rFonts w:ascii="Times New Roman" w:hAnsi="Times New Roman" w:cs="Times New Roman"/>
          <w:sz w:val="24"/>
          <w:szCs w:val="24"/>
        </w:rPr>
        <w:t xml:space="preserve">). </w:t>
      </w:r>
    </w:p>
    <w:p w14:paraId="12FDEB10" w14:textId="77777777" w:rsidR="001462D7" w:rsidRPr="00F26789" w:rsidRDefault="001462D7" w:rsidP="00104A5D">
      <w:pPr>
        <w:spacing w:line="360" w:lineRule="auto"/>
        <w:rPr>
          <w:rFonts w:ascii="Times New Roman" w:hAnsi="Times New Roman" w:cs="Times New Roman"/>
          <w:sz w:val="24"/>
          <w:szCs w:val="24"/>
        </w:rPr>
      </w:pPr>
    </w:p>
    <w:p w14:paraId="359A1C49" w14:textId="727AF96C" w:rsidR="00104A5D" w:rsidRDefault="00426708" w:rsidP="00104A5D">
      <w:pPr>
        <w:spacing w:line="360" w:lineRule="auto"/>
        <w:rPr>
          <w:rFonts w:ascii="Times New Roman" w:hAnsi="Times New Roman" w:cs="Times New Roman"/>
          <w:sz w:val="24"/>
          <w:szCs w:val="24"/>
        </w:rPr>
      </w:pPr>
      <w:r>
        <w:rPr>
          <w:noProof/>
        </w:rPr>
        <w:drawing>
          <wp:inline distT="0" distB="0" distL="0" distR="0" wp14:anchorId="60F70FA6" wp14:editId="211E6059">
            <wp:extent cx="5274310" cy="3134360"/>
            <wp:effectExtent l="0" t="0" r="0" b="0"/>
            <wp:docPr id="18779585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3134360"/>
                    </a:xfrm>
                    <a:prstGeom prst="rect">
                      <a:avLst/>
                    </a:prstGeom>
                    <a:noFill/>
                    <a:ln>
                      <a:noFill/>
                    </a:ln>
                  </pic:spPr>
                </pic:pic>
              </a:graphicData>
            </a:graphic>
          </wp:inline>
        </w:drawing>
      </w:r>
    </w:p>
    <w:p w14:paraId="1E49CD2E" w14:textId="77777777" w:rsidR="00B104C9" w:rsidRPr="00F26789" w:rsidRDefault="00B104C9" w:rsidP="00104A5D">
      <w:pPr>
        <w:spacing w:line="360" w:lineRule="auto"/>
        <w:rPr>
          <w:rFonts w:ascii="Times New Roman" w:hAnsi="Times New Roman" w:cs="Times New Roman"/>
          <w:sz w:val="24"/>
          <w:szCs w:val="24"/>
        </w:rPr>
      </w:pPr>
    </w:p>
    <w:p w14:paraId="388CD9F1" w14:textId="490656E9" w:rsidR="00104A5D" w:rsidRPr="00E41236" w:rsidRDefault="00104A5D" w:rsidP="00104A5D">
      <w:pPr>
        <w:spacing w:line="360" w:lineRule="auto"/>
        <w:rPr>
          <w:rFonts w:ascii="Times New Roman" w:hAnsi="Times New Roman" w:cs="Times New Roman"/>
          <w:sz w:val="24"/>
          <w:szCs w:val="24"/>
        </w:rPr>
      </w:pPr>
      <w:r w:rsidRPr="00F26789">
        <w:rPr>
          <w:rFonts w:ascii="Times New Roman" w:hAnsi="Times New Roman" w:cs="Times New Roman"/>
          <w:sz w:val="24"/>
          <w:szCs w:val="24"/>
        </w:rPr>
        <w:t>Figure S</w:t>
      </w:r>
      <w:r w:rsidR="00AF6D3B">
        <w:rPr>
          <w:rFonts w:ascii="Times New Roman" w:hAnsi="Times New Roman" w:cs="Times New Roman"/>
          <w:sz w:val="24"/>
          <w:szCs w:val="24"/>
        </w:rPr>
        <w:t>9</w:t>
      </w:r>
      <w:r w:rsidRPr="00F26789">
        <w:rPr>
          <w:rFonts w:ascii="Times New Roman" w:hAnsi="Times New Roman" w:cs="Times New Roman"/>
          <w:sz w:val="24"/>
          <w:szCs w:val="24"/>
        </w:rPr>
        <w:t>. Association betw</w:t>
      </w:r>
      <w:r w:rsidRPr="00B104C9">
        <w:rPr>
          <w:rFonts w:ascii="Times New Roman" w:hAnsi="Times New Roman" w:cs="Times New Roman"/>
          <w:color w:val="000000" w:themeColor="text1"/>
          <w:sz w:val="24"/>
          <w:szCs w:val="24"/>
        </w:rPr>
        <w:t>een PPIC expression and CD8</w:t>
      </w:r>
      <w:r w:rsidRPr="00B104C9">
        <w:rPr>
          <w:rFonts w:ascii="Times New Roman" w:hAnsi="Times New Roman" w:cs="Times New Roman"/>
          <w:color w:val="000000" w:themeColor="text1"/>
          <w:sz w:val="24"/>
          <w:szCs w:val="24"/>
          <w:vertAlign w:val="superscript"/>
        </w:rPr>
        <w:t>+</w:t>
      </w:r>
      <w:r w:rsidRPr="00B104C9">
        <w:rPr>
          <w:rFonts w:ascii="Times New Roman" w:hAnsi="Times New Roman" w:cs="Times New Roman"/>
          <w:color w:val="000000" w:themeColor="text1"/>
          <w:sz w:val="24"/>
          <w:szCs w:val="24"/>
        </w:rPr>
        <w:t xml:space="preserve">T cells. </w:t>
      </w:r>
      <w:r w:rsidR="00B104C9" w:rsidRPr="00B104C9">
        <w:rPr>
          <w:rFonts w:ascii="Times New Roman" w:hAnsi="Times New Roman" w:cs="Times New Roman"/>
          <w:color w:val="000000" w:themeColor="text1"/>
          <w:sz w:val="24"/>
          <w:szCs w:val="24"/>
        </w:rPr>
        <w:t xml:space="preserve">(A) A comparison of immune infiltration between two groups demonstrated the percentage abundance of tumor-infiltrating immune cells. </w:t>
      </w:r>
      <w:r w:rsidRPr="00F26789">
        <w:rPr>
          <w:rFonts w:ascii="Times New Roman" w:hAnsi="Times New Roman" w:cs="Times New Roman"/>
          <w:sz w:val="24"/>
          <w:szCs w:val="24"/>
        </w:rPr>
        <w:t>(</w:t>
      </w:r>
      <w:r w:rsidR="00426708">
        <w:rPr>
          <w:rFonts w:ascii="Times New Roman" w:hAnsi="Times New Roman" w:cs="Times New Roman"/>
          <w:sz w:val="24"/>
          <w:szCs w:val="24"/>
        </w:rPr>
        <w:t>B</w:t>
      </w:r>
      <w:r w:rsidRPr="00F26789">
        <w:rPr>
          <w:rFonts w:ascii="Times New Roman" w:hAnsi="Times New Roman" w:cs="Times New Roman"/>
          <w:sz w:val="24"/>
          <w:szCs w:val="24"/>
        </w:rPr>
        <w:t xml:space="preserve">) The relationship between </w:t>
      </w:r>
      <w:r w:rsidRPr="00F26789">
        <w:rPr>
          <w:rFonts w:ascii="Times New Roman" w:hAnsi="Times New Roman" w:cs="Times New Roman"/>
          <w:color w:val="000000" w:themeColor="text1"/>
          <w:sz w:val="24"/>
          <w:szCs w:val="24"/>
        </w:rPr>
        <w:t>CD8</w:t>
      </w:r>
      <w:r w:rsidRPr="00F26789">
        <w:rPr>
          <w:rFonts w:ascii="Times New Roman" w:hAnsi="Times New Roman" w:cs="Times New Roman"/>
          <w:color w:val="000000" w:themeColor="text1"/>
          <w:sz w:val="24"/>
          <w:szCs w:val="24"/>
          <w:vertAlign w:val="superscript"/>
        </w:rPr>
        <w:t>+</w:t>
      </w:r>
      <w:r w:rsidRPr="00F26789">
        <w:rPr>
          <w:rFonts w:ascii="Times New Roman" w:hAnsi="Times New Roman" w:cs="Times New Roman"/>
          <w:color w:val="000000" w:themeColor="text1"/>
          <w:sz w:val="24"/>
          <w:szCs w:val="24"/>
        </w:rPr>
        <w:t>T cells</w:t>
      </w:r>
      <w:r w:rsidRPr="00F26789">
        <w:rPr>
          <w:rFonts w:ascii="Times New Roman" w:hAnsi="Times New Roman" w:cs="Times New Roman"/>
          <w:sz w:val="24"/>
          <w:szCs w:val="24"/>
        </w:rPr>
        <w:t xml:space="preserve"> and the level of PPIC. </w:t>
      </w:r>
      <w:r w:rsidR="00E41236" w:rsidRPr="00F26789">
        <w:rPr>
          <w:rFonts w:ascii="Times New Roman" w:hAnsi="Times New Roman" w:cs="Times New Roman"/>
          <w:sz w:val="24"/>
          <w:szCs w:val="24"/>
        </w:rPr>
        <w:t>(</w:t>
      </w:r>
      <w:r w:rsidR="00C6387A">
        <w:rPr>
          <w:rFonts w:ascii="Times New Roman" w:hAnsi="Times New Roman" w:cs="Times New Roman"/>
          <w:sz w:val="24"/>
          <w:szCs w:val="24"/>
        </w:rPr>
        <w:t>C</w:t>
      </w:r>
      <w:r w:rsidR="00E41236">
        <w:rPr>
          <w:rFonts w:ascii="Times New Roman" w:hAnsi="Times New Roman" w:cs="Times New Roman"/>
          <w:sz w:val="24"/>
          <w:szCs w:val="24"/>
        </w:rPr>
        <w:t>-</w:t>
      </w:r>
      <w:r w:rsidR="00C6387A">
        <w:rPr>
          <w:rFonts w:ascii="Times New Roman" w:hAnsi="Times New Roman" w:cs="Times New Roman"/>
          <w:sz w:val="24"/>
          <w:szCs w:val="24"/>
        </w:rPr>
        <w:t>D</w:t>
      </w:r>
      <w:r w:rsidR="00E41236" w:rsidRPr="00F26789">
        <w:rPr>
          <w:rFonts w:ascii="Times New Roman" w:hAnsi="Times New Roman" w:cs="Times New Roman"/>
          <w:sz w:val="24"/>
          <w:szCs w:val="24"/>
        </w:rPr>
        <w:t xml:space="preserve">) Kaplan-Meier OS curves for </w:t>
      </w:r>
      <w:r w:rsidR="00E41236">
        <w:rPr>
          <w:rFonts w:ascii="Times New Roman" w:hAnsi="Times New Roman" w:cs="Times New Roman"/>
          <w:sz w:val="24"/>
          <w:szCs w:val="24"/>
        </w:rPr>
        <w:t>two</w:t>
      </w:r>
      <w:r w:rsidR="00E41236" w:rsidRPr="00F26789">
        <w:rPr>
          <w:rFonts w:ascii="Times New Roman" w:hAnsi="Times New Roman" w:cs="Times New Roman"/>
          <w:sz w:val="24"/>
          <w:szCs w:val="24"/>
        </w:rPr>
        <w:t xml:space="preserve"> groups</w:t>
      </w:r>
      <w:r w:rsidR="00E41236">
        <w:rPr>
          <w:rFonts w:ascii="Times New Roman" w:hAnsi="Times New Roman" w:cs="Times New Roman"/>
          <w:sz w:val="24"/>
          <w:szCs w:val="24"/>
        </w:rPr>
        <w:t xml:space="preserve">. </w:t>
      </w:r>
    </w:p>
    <w:p w14:paraId="67A55083" w14:textId="594E80BE" w:rsidR="00461055" w:rsidRPr="00F26789" w:rsidRDefault="00461055" w:rsidP="00207B8C">
      <w:pPr>
        <w:spacing w:line="360" w:lineRule="auto"/>
        <w:rPr>
          <w:rFonts w:ascii="Times New Roman" w:hAnsi="Times New Roman" w:cs="Times New Roman"/>
          <w:sz w:val="24"/>
          <w:szCs w:val="24"/>
        </w:rPr>
      </w:pPr>
    </w:p>
    <w:p w14:paraId="3DFEA9F2" w14:textId="31F5A743" w:rsidR="007D4D90" w:rsidRPr="00F26789" w:rsidRDefault="007D4D90" w:rsidP="007D4D90">
      <w:pPr>
        <w:rPr>
          <w:rFonts w:ascii="Times New Roman" w:hAnsi="Times New Roman" w:cs="Times New Roman"/>
          <w:sz w:val="24"/>
          <w:szCs w:val="24"/>
        </w:rPr>
      </w:pPr>
    </w:p>
    <w:p w14:paraId="0373D6E9" w14:textId="2B13B055" w:rsidR="007D4D90" w:rsidRPr="00F26789" w:rsidRDefault="007D4D90" w:rsidP="00F26789">
      <w:pPr>
        <w:spacing w:line="360" w:lineRule="auto"/>
        <w:rPr>
          <w:rFonts w:ascii="Times New Roman" w:hAnsi="Times New Roman" w:cs="Times New Roman"/>
          <w:color w:val="000000" w:themeColor="text1"/>
          <w:sz w:val="24"/>
          <w:szCs w:val="24"/>
        </w:rPr>
      </w:pPr>
    </w:p>
    <w:tbl>
      <w:tblPr>
        <w:tblStyle w:val="ae"/>
        <w:tblW w:w="0" w:type="auto"/>
        <w:tblLook w:val="04A0" w:firstRow="1" w:lastRow="0" w:firstColumn="1" w:lastColumn="0" w:noHBand="0" w:noVBand="1"/>
      </w:tblPr>
      <w:tblGrid>
        <w:gridCol w:w="1535"/>
        <w:gridCol w:w="1430"/>
        <w:gridCol w:w="1411"/>
        <w:gridCol w:w="1411"/>
        <w:gridCol w:w="1412"/>
        <w:gridCol w:w="1323"/>
      </w:tblGrid>
      <w:tr w:rsidR="007D4D90" w:rsidRPr="00F26789" w14:paraId="0AE1F07D" w14:textId="77777777" w:rsidTr="007D4D90">
        <w:trPr>
          <w:trHeight w:val="280"/>
        </w:trPr>
        <w:tc>
          <w:tcPr>
            <w:tcW w:w="8522" w:type="dxa"/>
            <w:gridSpan w:val="6"/>
            <w:noWrap/>
            <w:hideMark/>
          </w:tcPr>
          <w:p w14:paraId="6DCA7470"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b/>
                <w:bCs/>
                <w:sz w:val="24"/>
                <w:szCs w:val="24"/>
              </w:rPr>
              <w:lastRenderedPageBreak/>
              <w:t>Table S1.</w:t>
            </w:r>
            <w:r w:rsidRPr="00F26789">
              <w:rPr>
                <w:rFonts w:ascii="Times New Roman" w:hAnsi="Times New Roman" w:cs="Times New Roman"/>
                <w:sz w:val="24"/>
                <w:szCs w:val="24"/>
              </w:rPr>
              <w:t xml:space="preserve"> The cell types of different methods for immune and stromal cell infiltration analysis. </w:t>
            </w:r>
          </w:p>
        </w:tc>
      </w:tr>
      <w:tr w:rsidR="007D4D90" w:rsidRPr="00F26789" w14:paraId="7A982492" w14:textId="77777777" w:rsidTr="00BB5E70">
        <w:trPr>
          <w:trHeight w:val="280"/>
        </w:trPr>
        <w:tc>
          <w:tcPr>
            <w:tcW w:w="1461" w:type="dxa"/>
            <w:vMerge w:val="restart"/>
            <w:noWrap/>
            <w:hideMark/>
          </w:tcPr>
          <w:p w14:paraId="18D3B25F" w14:textId="77777777" w:rsidR="007D4D90" w:rsidRPr="00F26789" w:rsidRDefault="007D4D90" w:rsidP="0090360D">
            <w:pPr>
              <w:rPr>
                <w:rFonts w:ascii="Times New Roman" w:hAnsi="Times New Roman" w:cs="Times New Roman"/>
                <w:sz w:val="24"/>
                <w:szCs w:val="24"/>
              </w:rPr>
            </w:pPr>
            <w:proofErr w:type="spellStart"/>
            <w:r w:rsidRPr="00F26789">
              <w:rPr>
                <w:rFonts w:ascii="Times New Roman" w:hAnsi="Times New Roman" w:cs="Times New Roman"/>
                <w:sz w:val="24"/>
                <w:szCs w:val="24"/>
              </w:rPr>
              <w:t>ssGSEA</w:t>
            </w:r>
            <w:proofErr w:type="spellEnd"/>
            <w:r w:rsidRPr="00F26789">
              <w:rPr>
                <w:rFonts w:ascii="Times New Roman" w:hAnsi="Times New Roman" w:cs="Times New Roman"/>
                <w:sz w:val="24"/>
                <w:szCs w:val="24"/>
              </w:rPr>
              <w:t xml:space="preserve"> (28 cell types)</w:t>
            </w:r>
          </w:p>
        </w:tc>
        <w:tc>
          <w:tcPr>
            <w:tcW w:w="1529" w:type="dxa"/>
            <w:noWrap/>
            <w:hideMark/>
          </w:tcPr>
          <w:p w14:paraId="0C6E9A84"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Activated CD8 T cell</w:t>
            </w:r>
          </w:p>
        </w:tc>
        <w:tc>
          <w:tcPr>
            <w:tcW w:w="1345" w:type="dxa"/>
            <w:noWrap/>
            <w:hideMark/>
          </w:tcPr>
          <w:p w14:paraId="0A2A6FAE"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Central memory CD8 T cell</w:t>
            </w:r>
          </w:p>
        </w:tc>
        <w:tc>
          <w:tcPr>
            <w:tcW w:w="1429" w:type="dxa"/>
            <w:noWrap/>
            <w:hideMark/>
          </w:tcPr>
          <w:p w14:paraId="190B22C1"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 xml:space="preserve">Effector </w:t>
            </w:r>
            <w:proofErr w:type="spellStart"/>
            <w:r w:rsidRPr="00F26789">
              <w:rPr>
                <w:rFonts w:ascii="Times New Roman" w:hAnsi="Times New Roman" w:cs="Times New Roman"/>
                <w:sz w:val="24"/>
                <w:szCs w:val="24"/>
              </w:rPr>
              <w:t>memeory</w:t>
            </w:r>
            <w:proofErr w:type="spellEnd"/>
            <w:r w:rsidRPr="00F26789">
              <w:rPr>
                <w:rFonts w:ascii="Times New Roman" w:hAnsi="Times New Roman" w:cs="Times New Roman"/>
                <w:sz w:val="24"/>
                <w:szCs w:val="24"/>
              </w:rPr>
              <w:t xml:space="preserve"> CD8 T cell</w:t>
            </w:r>
          </w:p>
        </w:tc>
        <w:tc>
          <w:tcPr>
            <w:tcW w:w="1345" w:type="dxa"/>
            <w:noWrap/>
            <w:hideMark/>
          </w:tcPr>
          <w:p w14:paraId="5B4116F6"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Activated CD4 T cell</w:t>
            </w:r>
          </w:p>
        </w:tc>
        <w:tc>
          <w:tcPr>
            <w:tcW w:w="1413" w:type="dxa"/>
            <w:noWrap/>
            <w:hideMark/>
          </w:tcPr>
          <w:p w14:paraId="6B1AB4D4"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Central memory CD4 T cell</w:t>
            </w:r>
          </w:p>
        </w:tc>
      </w:tr>
      <w:tr w:rsidR="007D4D90" w:rsidRPr="00F26789" w14:paraId="06D2F8D5" w14:textId="77777777" w:rsidTr="00BB5E70">
        <w:trPr>
          <w:trHeight w:val="280"/>
        </w:trPr>
        <w:tc>
          <w:tcPr>
            <w:tcW w:w="1461" w:type="dxa"/>
            <w:vMerge/>
            <w:hideMark/>
          </w:tcPr>
          <w:p w14:paraId="39BFE31C" w14:textId="77777777" w:rsidR="007D4D90" w:rsidRPr="00F26789" w:rsidRDefault="007D4D90" w:rsidP="0090360D">
            <w:pPr>
              <w:rPr>
                <w:rFonts w:ascii="Times New Roman" w:hAnsi="Times New Roman" w:cs="Times New Roman"/>
                <w:sz w:val="24"/>
                <w:szCs w:val="24"/>
              </w:rPr>
            </w:pPr>
          </w:p>
        </w:tc>
        <w:tc>
          <w:tcPr>
            <w:tcW w:w="1529" w:type="dxa"/>
            <w:noWrap/>
            <w:hideMark/>
          </w:tcPr>
          <w:p w14:paraId="11787C92"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 follicular helper cell</w:t>
            </w:r>
          </w:p>
        </w:tc>
        <w:tc>
          <w:tcPr>
            <w:tcW w:w="1345" w:type="dxa"/>
            <w:noWrap/>
            <w:hideMark/>
          </w:tcPr>
          <w:p w14:paraId="564FA6E2"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Gamma delta T cell</w:t>
            </w:r>
          </w:p>
        </w:tc>
        <w:tc>
          <w:tcPr>
            <w:tcW w:w="1429" w:type="dxa"/>
            <w:noWrap/>
            <w:hideMark/>
          </w:tcPr>
          <w:p w14:paraId="48C20EA2"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Type 1 T helper cell</w:t>
            </w:r>
          </w:p>
        </w:tc>
        <w:tc>
          <w:tcPr>
            <w:tcW w:w="1345" w:type="dxa"/>
            <w:noWrap/>
            <w:hideMark/>
          </w:tcPr>
          <w:p w14:paraId="57B83138"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Type 17 T helper cell</w:t>
            </w:r>
          </w:p>
        </w:tc>
        <w:tc>
          <w:tcPr>
            <w:tcW w:w="1413" w:type="dxa"/>
            <w:noWrap/>
            <w:hideMark/>
          </w:tcPr>
          <w:p w14:paraId="50451F6A"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Type 2 T helper cell</w:t>
            </w:r>
          </w:p>
        </w:tc>
      </w:tr>
      <w:tr w:rsidR="007D4D90" w:rsidRPr="00F26789" w14:paraId="7137D265" w14:textId="77777777" w:rsidTr="00BB5E70">
        <w:trPr>
          <w:trHeight w:val="280"/>
        </w:trPr>
        <w:tc>
          <w:tcPr>
            <w:tcW w:w="1461" w:type="dxa"/>
            <w:vMerge/>
            <w:hideMark/>
          </w:tcPr>
          <w:p w14:paraId="66A0B641" w14:textId="77777777" w:rsidR="007D4D90" w:rsidRPr="00F26789" w:rsidRDefault="007D4D90" w:rsidP="0090360D">
            <w:pPr>
              <w:rPr>
                <w:rFonts w:ascii="Times New Roman" w:hAnsi="Times New Roman" w:cs="Times New Roman"/>
                <w:sz w:val="24"/>
                <w:szCs w:val="24"/>
              </w:rPr>
            </w:pPr>
          </w:p>
        </w:tc>
        <w:tc>
          <w:tcPr>
            <w:tcW w:w="1529" w:type="dxa"/>
            <w:noWrap/>
            <w:hideMark/>
          </w:tcPr>
          <w:p w14:paraId="3E7CC244"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Activated B cell</w:t>
            </w:r>
          </w:p>
        </w:tc>
        <w:tc>
          <w:tcPr>
            <w:tcW w:w="1345" w:type="dxa"/>
            <w:noWrap/>
            <w:hideMark/>
          </w:tcPr>
          <w:p w14:paraId="53357EB2"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Immature B cell</w:t>
            </w:r>
          </w:p>
        </w:tc>
        <w:tc>
          <w:tcPr>
            <w:tcW w:w="1429" w:type="dxa"/>
            <w:noWrap/>
            <w:hideMark/>
          </w:tcPr>
          <w:p w14:paraId="464A6441"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Memory B cell</w:t>
            </w:r>
          </w:p>
        </w:tc>
        <w:tc>
          <w:tcPr>
            <w:tcW w:w="1345" w:type="dxa"/>
            <w:noWrap/>
            <w:hideMark/>
          </w:tcPr>
          <w:p w14:paraId="2EF4F98A"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Natural killer cell</w:t>
            </w:r>
          </w:p>
        </w:tc>
        <w:tc>
          <w:tcPr>
            <w:tcW w:w="1413" w:type="dxa"/>
            <w:noWrap/>
            <w:hideMark/>
          </w:tcPr>
          <w:p w14:paraId="0715FA81"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Activated dendritic cell</w:t>
            </w:r>
          </w:p>
        </w:tc>
      </w:tr>
      <w:tr w:rsidR="007D4D90" w:rsidRPr="00F26789" w14:paraId="65E855B1" w14:textId="77777777" w:rsidTr="00BB5E70">
        <w:trPr>
          <w:trHeight w:val="280"/>
        </w:trPr>
        <w:tc>
          <w:tcPr>
            <w:tcW w:w="1461" w:type="dxa"/>
            <w:vMerge/>
            <w:hideMark/>
          </w:tcPr>
          <w:p w14:paraId="058F5AFD" w14:textId="77777777" w:rsidR="007D4D90" w:rsidRPr="00F26789" w:rsidRDefault="007D4D90" w:rsidP="0090360D">
            <w:pPr>
              <w:rPr>
                <w:rFonts w:ascii="Times New Roman" w:hAnsi="Times New Roman" w:cs="Times New Roman"/>
                <w:sz w:val="24"/>
                <w:szCs w:val="24"/>
              </w:rPr>
            </w:pPr>
          </w:p>
        </w:tc>
        <w:tc>
          <w:tcPr>
            <w:tcW w:w="1529" w:type="dxa"/>
            <w:noWrap/>
            <w:hideMark/>
          </w:tcPr>
          <w:p w14:paraId="67A25DC5"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Myeloid derived suppressor cell</w:t>
            </w:r>
          </w:p>
        </w:tc>
        <w:tc>
          <w:tcPr>
            <w:tcW w:w="1345" w:type="dxa"/>
            <w:noWrap/>
            <w:hideMark/>
          </w:tcPr>
          <w:p w14:paraId="5AF441CE"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Natural killer T cell</w:t>
            </w:r>
          </w:p>
        </w:tc>
        <w:tc>
          <w:tcPr>
            <w:tcW w:w="1429" w:type="dxa"/>
            <w:noWrap/>
            <w:hideMark/>
          </w:tcPr>
          <w:p w14:paraId="678D639C"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CD56bright natural killer cell</w:t>
            </w:r>
          </w:p>
        </w:tc>
        <w:tc>
          <w:tcPr>
            <w:tcW w:w="1345" w:type="dxa"/>
            <w:noWrap/>
            <w:hideMark/>
          </w:tcPr>
          <w:p w14:paraId="36334777"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Plasmacytoid dendritic cell</w:t>
            </w:r>
          </w:p>
        </w:tc>
        <w:tc>
          <w:tcPr>
            <w:tcW w:w="1413" w:type="dxa"/>
            <w:noWrap/>
            <w:hideMark/>
          </w:tcPr>
          <w:p w14:paraId="68497A5E"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Immature dendritic cell</w:t>
            </w:r>
          </w:p>
        </w:tc>
      </w:tr>
      <w:tr w:rsidR="007D4D90" w:rsidRPr="00F26789" w14:paraId="02F550F1" w14:textId="77777777" w:rsidTr="00BB5E70">
        <w:trPr>
          <w:trHeight w:val="280"/>
        </w:trPr>
        <w:tc>
          <w:tcPr>
            <w:tcW w:w="1461" w:type="dxa"/>
            <w:vMerge/>
            <w:hideMark/>
          </w:tcPr>
          <w:p w14:paraId="1D2C5692" w14:textId="77777777" w:rsidR="007D4D90" w:rsidRPr="00F26789" w:rsidRDefault="007D4D90" w:rsidP="0090360D">
            <w:pPr>
              <w:rPr>
                <w:rFonts w:ascii="Times New Roman" w:hAnsi="Times New Roman" w:cs="Times New Roman"/>
                <w:sz w:val="24"/>
                <w:szCs w:val="24"/>
              </w:rPr>
            </w:pPr>
          </w:p>
        </w:tc>
        <w:tc>
          <w:tcPr>
            <w:tcW w:w="1529" w:type="dxa"/>
            <w:noWrap/>
            <w:hideMark/>
          </w:tcPr>
          <w:p w14:paraId="4901EEC3"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Eosinophil</w:t>
            </w:r>
          </w:p>
        </w:tc>
        <w:tc>
          <w:tcPr>
            <w:tcW w:w="1345" w:type="dxa"/>
            <w:noWrap/>
            <w:hideMark/>
          </w:tcPr>
          <w:p w14:paraId="6A3192DE"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Mast cell</w:t>
            </w:r>
          </w:p>
        </w:tc>
        <w:tc>
          <w:tcPr>
            <w:tcW w:w="1429" w:type="dxa"/>
            <w:noWrap/>
            <w:hideMark/>
          </w:tcPr>
          <w:p w14:paraId="0ADC3B4C"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Monocyte</w:t>
            </w:r>
          </w:p>
        </w:tc>
        <w:tc>
          <w:tcPr>
            <w:tcW w:w="1345" w:type="dxa"/>
            <w:noWrap/>
            <w:hideMark/>
          </w:tcPr>
          <w:p w14:paraId="3DDB949F"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Neutrophil</w:t>
            </w:r>
          </w:p>
        </w:tc>
        <w:tc>
          <w:tcPr>
            <w:tcW w:w="1413" w:type="dxa"/>
            <w:noWrap/>
            <w:hideMark/>
          </w:tcPr>
          <w:p w14:paraId="2BE17294" w14:textId="3CEF4369"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 xml:space="preserve">Effector </w:t>
            </w:r>
            <w:proofErr w:type="spellStart"/>
            <w:r w:rsidRPr="00F26789">
              <w:rPr>
                <w:rFonts w:ascii="Times New Roman" w:hAnsi="Times New Roman" w:cs="Times New Roman"/>
                <w:sz w:val="24"/>
                <w:szCs w:val="24"/>
              </w:rPr>
              <w:t>memeory</w:t>
            </w:r>
            <w:proofErr w:type="spellEnd"/>
            <w:r w:rsidRPr="00F26789">
              <w:rPr>
                <w:rFonts w:ascii="Times New Roman" w:hAnsi="Times New Roman" w:cs="Times New Roman"/>
                <w:sz w:val="24"/>
                <w:szCs w:val="24"/>
              </w:rPr>
              <w:t xml:space="preserve"> CD4 T cell</w:t>
            </w:r>
          </w:p>
        </w:tc>
      </w:tr>
      <w:tr w:rsidR="007D4D90" w:rsidRPr="00F26789" w14:paraId="0B612234" w14:textId="77777777" w:rsidTr="00BB5E70">
        <w:trPr>
          <w:trHeight w:val="280"/>
        </w:trPr>
        <w:tc>
          <w:tcPr>
            <w:tcW w:w="1461" w:type="dxa"/>
            <w:vMerge/>
          </w:tcPr>
          <w:p w14:paraId="2CBE5E7E" w14:textId="77777777" w:rsidR="007D4D90" w:rsidRPr="00F26789" w:rsidRDefault="007D4D90" w:rsidP="0090360D">
            <w:pPr>
              <w:rPr>
                <w:rFonts w:ascii="Times New Roman" w:hAnsi="Times New Roman" w:cs="Times New Roman"/>
                <w:sz w:val="24"/>
                <w:szCs w:val="24"/>
              </w:rPr>
            </w:pPr>
          </w:p>
        </w:tc>
        <w:tc>
          <w:tcPr>
            <w:tcW w:w="1529" w:type="dxa"/>
            <w:noWrap/>
          </w:tcPr>
          <w:p w14:paraId="1E3BE357" w14:textId="68DD7408"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Regulatory T cell</w:t>
            </w:r>
          </w:p>
        </w:tc>
        <w:tc>
          <w:tcPr>
            <w:tcW w:w="1345" w:type="dxa"/>
            <w:noWrap/>
          </w:tcPr>
          <w:p w14:paraId="7A8D32BB" w14:textId="343AA748"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CD56dim natural killer cell</w:t>
            </w:r>
          </w:p>
        </w:tc>
        <w:tc>
          <w:tcPr>
            <w:tcW w:w="1429" w:type="dxa"/>
            <w:noWrap/>
          </w:tcPr>
          <w:p w14:paraId="15E01DA2" w14:textId="4B64083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Macrophage</w:t>
            </w:r>
          </w:p>
        </w:tc>
        <w:tc>
          <w:tcPr>
            <w:tcW w:w="1345" w:type="dxa"/>
            <w:noWrap/>
          </w:tcPr>
          <w:p w14:paraId="51DD8054" w14:textId="77777777" w:rsidR="007D4D90" w:rsidRPr="00F26789" w:rsidRDefault="007D4D90" w:rsidP="0090360D">
            <w:pPr>
              <w:rPr>
                <w:rFonts w:ascii="Times New Roman" w:hAnsi="Times New Roman" w:cs="Times New Roman"/>
                <w:sz w:val="24"/>
                <w:szCs w:val="24"/>
              </w:rPr>
            </w:pPr>
          </w:p>
        </w:tc>
        <w:tc>
          <w:tcPr>
            <w:tcW w:w="1413" w:type="dxa"/>
            <w:noWrap/>
          </w:tcPr>
          <w:p w14:paraId="3991045C" w14:textId="77777777" w:rsidR="007D4D90" w:rsidRPr="00F26789" w:rsidRDefault="007D4D90" w:rsidP="0090360D">
            <w:pPr>
              <w:rPr>
                <w:rFonts w:ascii="Times New Roman" w:hAnsi="Times New Roman" w:cs="Times New Roman"/>
                <w:sz w:val="24"/>
                <w:szCs w:val="24"/>
              </w:rPr>
            </w:pPr>
          </w:p>
        </w:tc>
      </w:tr>
      <w:tr w:rsidR="00F26789" w:rsidRPr="00F26789" w14:paraId="6F5DEBB5" w14:textId="77777777" w:rsidTr="00BB5E70">
        <w:trPr>
          <w:trHeight w:val="280"/>
        </w:trPr>
        <w:tc>
          <w:tcPr>
            <w:tcW w:w="1461" w:type="dxa"/>
            <w:vMerge w:val="restart"/>
            <w:noWrap/>
            <w:hideMark/>
          </w:tcPr>
          <w:p w14:paraId="182ED15F" w14:textId="77777777" w:rsidR="007D4D90" w:rsidRPr="00F26789" w:rsidRDefault="007D4D90" w:rsidP="0090360D">
            <w:pPr>
              <w:rPr>
                <w:rFonts w:ascii="Times New Roman" w:hAnsi="Times New Roman" w:cs="Times New Roman"/>
                <w:sz w:val="24"/>
                <w:szCs w:val="24"/>
              </w:rPr>
            </w:pPr>
            <w:proofErr w:type="spellStart"/>
            <w:r w:rsidRPr="00F26789">
              <w:rPr>
                <w:rFonts w:ascii="Times New Roman" w:hAnsi="Times New Roman" w:cs="Times New Roman"/>
                <w:sz w:val="24"/>
                <w:szCs w:val="24"/>
              </w:rPr>
              <w:t>CIBERSORTx</w:t>
            </w:r>
            <w:proofErr w:type="spellEnd"/>
            <w:r w:rsidRPr="00F26789">
              <w:rPr>
                <w:rFonts w:ascii="Times New Roman" w:hAnsi="Times New Roman" w:cs="Times New Roman"/>
                <w:sz w:val="24"/>
                <w:szCs w:val="24"/>
              </w:rPr>
              <w:t xml:space="preserve"> (22 cell types)</w:t>
            </w:r>
          </w:p>
        </w:tc>
        <w:tc>
          <w:tcPr>
            <w:tcW w:w="1529" w:type="dxa"/>
            <w:noWrap/>
            <w:hideMark/>
          </w:tcPr>
          <w:p w14:paraId="5722D63F"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B cells naive</w:t>
            </w:r>
          </w:p>
        </w:tc>
        <w:tc>
          <w:tcPr>
            <w:tcW w:w="1345" w:type="dxa"/>
            <w:noWrap/>
            <w:hideMark/>
          </w:tcPr>
          <w:p w14:paraId="6E820A39"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B cells memory</w:t>
            </w:r>
          </w:p>
        </w:tc>
        <w:tc>
          <w:tcPr>
            <w:tcW w:w="1429" w:type="dxa"/>
            <w:noWrap/>
            <w:hideMark/>
          </w:tcPr>
          <w:p w14:paraId="0DCF16A9"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Plasma cells</w:t>
            </w:r>
          </w:p>
        </w:tc>
        <w:tc>
          <w:tcPr>
            <w:tcW w:w="1345" w:type="dxa"/>
            <w:noWrap/>
            <w:hideMark/>
          </w:tcPr>
          <w:p w14:paraId="5CA4FEE0"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 cells CD8</w:t>
            </w:r>
          </w:p>
        </w:tc>
        <w:tc>
          <w:tcPr>
            <w:tcW w:w="1413" w:type="dxa"/>
            <w:noWrap/>
            <w:hideMark/>
          </w:tcPr>
          <w:p w14:paraId="40D2BB08"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 cells CD4 naive</w:t>
            </w:r>
          </w:p>
        </w:tc>
      </w:tr>
      <w:tr w:rsidR="00F26789" w:rsidRPr="00F26789" w14:paraId="6EFD4EA7" w14:textId="77777777" w:rsidTr="00BB5E70">
        <w:trPr>
          <w:trHeight w:val="280"/>
        </w:trPr>
        <w:tc>
          <w:tcPr>
            <w:tcW w:w="1461" w:type="dxa"/>
            <w:vMerge/>
            <w:hideMark/>
          </w:tcPr>
          <w:p w14:paraId="01287BBD" w14:textId="77777777" w:rsidR="007D4D90" w:rsidRPr="00F26789" w:rsidRDefault="007D4D90" w:rsidP="0090360D">
            <w:pPr>
              <w:rPr>
                <w:rFonts w:ascii="Times New Roman" w:hAnsi="Times New Roman" w:cs="Times New Roman"/>
                <w:sz w:val="24"/>
                <w:szCs w:val="24"/>
              </w:rPr>
            </w:pPr>
          </w:p>
        </w:tc>
        <w:tc>
          <w:tcPr>
            <w:tcW w:w="1529" w:type="dxa"/>
            <w:noWrap/>
            <w:hideMark/>
          </w:tcPr>
          <w:p w14:paraId="091FB43E"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 cells CD4 memory activated</w:t>
            </w:r>
          </w:p>
        </w:tc>
        <w:tc>
          <w:tcPr>
            <w:tcW w:w="1345" w:type="dxa"/>
            <w:noWrap/>
            <w:hideMark/>
          </w:tcPr>
          <w:p w14:paraId="205252F1"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 cells follicular helper</w:t>
            </w:r>
          </w:p>
        </w:tc>
        <w:tc>
          <w:tcPr>
            <w:tcW w:w="1429" w:type="dxa"/>
            <w:noWrap/>
            <w:hideMark/>
          </w:tcPr>
          <w:p w14:paraId="1144B12C"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 cells regulatory (Tregs)</w:t>
            </w:r>
          </w:p>
        </w:tc>
        <w:tc>
          <w:tcPr>
            <w:tcW w:w="1345" w:type="dxa"/>
            <w:noWrap/>
            <w:hideMark/>
          </w:tcPr>
          <w:p w14:paraId="134D9701"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 cells gamma delta</w:t>
            </w:r>
          </w:p>
        </w:tc>
        <w:tc>
          <w:tcPr>
            <w:tcW w:w="1413" w:type="dxa"/>
            <w:noWrap/>
            <w:hideMark/>
          </w:tcPr>
          <w:p w14:paraId="22A6AB10"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NK cells resting</w:t>
            </w:r>
          </w:p>
        </w:tc>
      </w:tr>
      <w:tr w:rsidR="00F26789" w:rsidRPr="00F26789" w14:paraId="4A752762" w14:textId="77777777" w:rsidTr="00BB5E70">
        <w:trPr>
          <w:trHeight w:val="280"/>
        </w:trPr>
        <w:tc>
          <w:tcPr>
            <w:tcW w:w="1461" w:type="dxa"/>
            <w:vMerge/>
            <w:hideMark/>
          </w:tcPr>
          <w:p w14:paraId="06BF49F4" w14:textId="77777777" w:rsidR="007D4D90" w:rsidRPr="00F26789" w:rsidRDefault="007D4D90" w:rsidP="0090360D">
            <w:pPr>
              <w:rPr>
                <w:rFonts w:ascii="Times New Roman" w:hAnsi="Times New Roman" w:cs="Times New Roman"/>
                <w:sz w:val="24"/>
                <w:szCs w:val="24"/>
              </w:rPr>
            </w:pPr>
          </w:p>
        </w:tc>
        <w:tc>
          <w:tcPr>
            <w:tcW w:w="1529" w:type="dxa"/>
            <w:noWrap/>
            <w:hideMark/>
          </w:tcPr>
          <w:p w14:paraId="7384D973"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Monocytes</w:t>
            </w:r>
          </w:p>
        </w:tc>
        <w:tc>
          <w:tcPr>
            <w:tcW w:w="1345" w:type="dxa"/>
            <w:noWrap/>
            <w:hideMark/>
          </w:tcPr>
          <w:p w14:paraId="4A96F960"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Macrophages M0</w:t>
            </w:r>
          </w:p>
        </w:tc>
        <w:tc>
          <w:tcPr>
            <w:tcW w:w="1429" w:type="dxa"/>
            <w:noWrap/>
            <w:hideMark/>
          </w:tcPr>
          <w:p w14:paraId="1CE9C798"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Macrophages M1</w:t>
            </w:r>
          </w:p>
        </w:tc>
        <w:tc>
          <w:tcPr>
            <w:tcW w:w="1345" w:type="dxa"/>
            <w:noWrap/>
            <w:hideMark/>
          </w:tcPr>
          <w:p w14:paraId="4F9AE563"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Macrophages M2</w:t>
            </w:r>
          </w:p>
        </w:tc>
        <w:tc>
          <w:tcPr>
            <w:tcW w:w="1413" w:type="dxa"/>
            <w:noWrap/>
            <w:hideMark/>
          </w:tcPr>
          <w:p w14:paraId="045EF8A3"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Dendritic cells resting</w:t>
            </w:r>
          </w:p>
        </w:tc>
      </w:tr>
      <w:tr w:rsidR="007D4D90" w:rsidRPr="00F26789" w14:paraId="08CEEB91" w14:textId="77777777" w:rsidTr="00BB5E70">
        <w:trPr>
          <w:trHeight w:val="280"/>
        </w:trPr>
        <w:tc>
          <w:tcPr>
            <w:tcW w:w="1461" w:type="dxa"/>
            <w:vMerge/>
          </w:tcPr>
          <w:p w14:paraId="207A4198" w14:textId="77777777" w:rsidR="007D4D90" w:rsidRPr="00F26789" w:rsidRDefault="007D4D90" w:rsidP="0090360D">
            <w:pPr>
              <w:rPr>
                <w:rFonts w:ascii="Times New Roman" w:hAnsi="Times New Roman" w:cs="Times New Roman"/>
                <w:sz w:val="24"/>
                <w:szCs w:val="24"/>
              </w:rPr>
            </w:pPr>
          </w:p>
        </w:tc>
        <w:tc>
          <w:tcPr>
            <w:tcW w:w="1529" w:type="dxa"/>
            <w:noWrap/>
          </w:tcPr>
          <w:p w14:paraId="0D3333F2" w14:textId="3ED0706A" w:rsidR="007D4D90" w:rsidRPr="00F26789" w:rsidRDefault="007D4D90" w:rsidP="007D4D90">
            <w:pPr>
              <w:jc w:val="center"/>
              <w:rPr>
                <w:rFonts w:ascii="Times New Roman" w:hAnsi="Times New Roman" w:cs="Times New Roman"/>
                <w:sz w:val="24"/>
                <w:szCs w:val="24"/>
              </w:rPr>
            </w:pPr>
            <w:r w:rsidRPr="00F26789">
              <w:rPr>
                <w:rFonts w:ascii="Times New Roman" w:hAnsi="Times New Roman" w:cs="Times New Roman"/>
                <w:sz w:val="24"/>
                <w:szCs w:val="24"/>
              </w:rPr>
              <w:t>T cells CD4 memory resting</w:t>
            </w:r>
          </w:p>
        </w:tc>
        <w:tc>
          <w:tcPr>
            <w:tcW w:w="1345" w:type="dxa"/>
            <w:noWrap/>
          </w:tcPr>
          <w:p w14:paraId="005C8896" w14:textId="228D2AFF"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NK cells activated</w:t>
            </w:r>
          </w:p>
        </w:tc>
        <w:tc>
          <w:tcPr>
            <w:tcW w:w="1429" w:type="dxa"/>
            <w:noWrap/>
          </w:tcPr>
          <w:p w14:paraId="78F08269" w14:textId="68A78F98" w:rsidR="007D4D90" w:rsidRPr="00F26789" w:rsidRDefault="00BB5E70" w:rsidP="0090360D">
            <w:pPr>
              <w:rPr>
                <w:rFonts w:ascii="Times New Roman" w:hAnsi="Times New Roman" w:cs="Times New Roman"/>
                <w:sz w:val="24"/>
                <w:szCs w:val="24"/>
              </w:rPr>
            </w:pPr>
            <w:r w:rsidRPr="00F26789">
              <w:rPr>
                <w:rFonts w:ascii="Times New Roman" w:hAnsi="Times New Roman" w:cs="Times New Roman"/>
                <w:sz w:val="24"/>
                <w:szCs w:val="24"/>
              </w:rPr>
              <w:t xml:space="preserve">Neutrophils </w:t>
            </w:r>
          </w:p>
        </w:tc>
        <w:tc>
          <w:tcPr>
            <w:tcW w:w="1345" w:type="dxa"/>
            <w:noWrap/>
          </w:tcPr>
          <w:p w14:paraId="3DC7DE86" w14:textId="45259960" w:rsidR="007D4D90" w:rsidRPr="00F26789" w:rsidRDefault="00BB5E70" w:rsidP="0090360D">
            <w:pPr>
              <w:rPr>
                <w:rFonts w:ascii="Times New Roman" w:hAnsi="Times New Roman" w:cs="Times New Roman"/>
                <w:sz w:val="24"/>
                <w:szCs w:val="24"/>
              </w:rPr>
            </w:pPr>
            <w:r w:rsidRPr="00F26789">
              <w:rPr>
                <w:rFonts w:ascii="Times New Roman" w:hAnsi="Times New Roman" w:cs="Times New Roman"/>
                <w:sz w:val="24"/>
                <w:szCs w:val="24"/>
              </w:rPr>
              <w:t>Dendritic cells activated</w:t>
            </w:r>
          </w:p>
        </w:tc>
        <w:tc>
          <w:tcPr>
            <w:tcW w:w="1413" w:type="dxa"/>
            <w:noWrap/>
          </w:tcPr>
          <w:p w14:paraId="66D6E54C" w14:textId="77777777" w:rsidR="00BB5E70" w:rsidRPr="00F26789" w:rsidRDefault="00BB5E70" w:rsidP="00BB5E70">
            <w:pPr>
              <w:widowControl/>
              <w:rPr>
                <w:rFonts w:ascii="Times New Roman" w:eastAsia="等线" w:hAnsi="Times New Roman" w:cs="Times New Roman"/>
                <w:color w:val="000000"/>
                <w:sz w:val="24"/>
                <w:szCs w:val="24"/>
              </w:rPr>
            </w:pPr>
            <w:r w:rsidRPr="00F26789">
              <w:rPr>
                <w:rFonts w:ascii="Times New Roman" w:eastAsia="等线" w:hAnsi="Times New Roman" w:cs="Times New Roman"/>
                <w:color w:val="000000"/>
                <w:sz w:val="24"/>
                <w:szCs w:val="24"/>
              </w:rPr>
              <w:t>Mast cells resting</w:t>
            </w:r>
          </w:p>
          <w:p w14:paraId="37B07D97" w14:textId="77777777" w:rsidR="007D4D90" w:rsidRPr="00F26789" w:rsidRDefault="007D4D90" w:rsidP="0090360D">
            <w:pPr>
              <w:rPr>
                <w:rFonts w:ascii="Times New Roman" w:hAnsi="Times New Roman" w:cs="Times New Roman"/>
                <w:sz w:val="24"/>
                <w:szCs w:val="24"/>
              </w:rPr>
            </w:pPr>
          </w:p>
        </w:tc>
      </w:tr>
      <w:tr w:rsidR="00BB5E70" w:rsidRPr="00F26789" w14:paraId="72153095" w14:textId="77777777" w:rsidTr="00BB5E70">
        <w:trPr>
          <w:trHeight w:val="280"/>
        </w:trPr>
        <w:tc>
          <w:tcPr>
            <w:tcW w:w="1461" w:type="dxa"/>
            <w:vMerge/>
          </w:tcPr>
          <w:p w14:paraId="130D2E3C" w14:textId="77777777" w:rsidR="00BB5E70" w:rsidRPr="00F26789" w:rsidRDefault="00BB5E70" w:rsidP="00BB5E70">
            <w:pPr>
              <w:rPr>
                <w:rFonts w:ascii="Times New Roman" w:hAnsi="Times New Roman" w:cs="Times New Roman"/>
                <w:sz w:val="24"/>
                <w:szCs w:val="24"/>
              </w:rPr>
            </w:pPr>
          </w:p>
        </w:tc>
        <w:tc>
          <w:tcPr>
            <w:tcW w:w="1529" w:type="dxa"/>
            <w:noWrap/>
          </w:tcPr>
          <w:p w14:paraId="7BB36492" w14:textId="56E88159" w:rsidR="00BB5E70" w:rsidRPr="00F26789" w:rsidRDefault="00BB5E70" w:rsidP="00BB5E70">
            <w:pPr>
              <w:rPr>
                <w:rFonts w:ascii="Times New Roman" w:hAnsi="Times New Roman" w:cs="Times New Roman"/>
                <w:sz w:val="24"/>
                <w:szCs w:val="24"/>
              </w:rPr>
            </w:pPr>
            <w:r w:rsidRPr="00F26789">
              <w:rPr>
                <w:rFonts w:ascii="Times New Roman" w:hAnsi="Times New Roman" w:cs="Times New Roman"/>
                <w:sz w:val="24"/>
                <w:szCs w:val="24"/>
              </w:rPr>
              <w:t>Mast cells activated</w:t>
            </w:r>
          </w:p>
        </w:tc>
        <w:tc>
          <w:tcPr>
            <w:tcW w:w="1345" w:type="dxa"/>
            <w:noWrap/>
          </w:tcPr>
          <w:p w14:paraId="2C263EC2" w14:textId="78910CDF" w:rsidR="00BB5E70" w:rsidRPr="00F26789" w:rsidRDefault="00BB5E70" w:rsidP="00BB5E70">
            <w:pPr>
              <w:rPr>
                <w:rFonts w:ascii="Times New Roman" w:hAnsi="Times New Roman" w:cs="Times New Roman"/>
                <w:sz w:val="24"/>
                <w:szCs w:val="24"/>
              </w:rPr>
            </w:pPr>
            <w:r w:rsidRPr="00F26789">
              <w:rPr>
                <w:rFonts w:ascii="Times New Roman" w:hAnsi="Times New Roman" w:cs="Times New Roman"/>
                <w:sz w:val="24"/>
                <w:szCs w:val="24"/>
              </w:rPr>
              <w:t>Eosinophils</w:t>
            </w:r>
          </w:p>
        </w:tc>
        <w:tc>
          <w:tcPr>
            <w:tcW w:w="1429" w:type="dxa"/>
            <w:noWrap/>
          </w:tcPr>
          <w:p w14:paraId="52426CEC" w14:textId="207A9F98" w:rsidR="00BB5E70" w:rsidRPr="00F26789" w:rsidRDefault="00BB5E70" w:rsidP="00BB5E70">
            <w:pPr>
              <w:rPr>
                <w:rFonts w:ascii="Times New Roman" w:hAnsi="Times New Roman" w:cs="Times New Roman"/>
                <w:sz w:val="24"/>
                <w:szCs w:val="24"/>
              </w:rPr>
            </w:pPr>
          </w:p>
        </w:tc>
        <w:tc>
          <w:tcPr>
            <w:tcW w:w="1345" w:type="dxa"/>
            <w:noWrap/>
          </w:tcPr>
          <w:p w14:paraId="59596868" w14:textId="77777777" w:rsidR="00BB5E70" w:rsidRPr="00F26789" w:rsidRDefault="00BB5E70" w:rsidP="00BB5E70">
            <w:pPr>
              <w:rPr>
                <w:rFonts w:ascii="Times New Roman" w:hAnsi="Times New Roman" w:cs="Times New Roman"/>
                <w:sz w:val="24"/>
                <w:szCs w:val="24"/>
              </w:rPr>
            </w:pPr>
          </w:p>
        </w:tc>
        <w:tc>
          <w:tcPr>
            <w:tcW w:w="1413" w:type="dxa"/>
            <w:noWrap/>
          </w:tcPr>
          <w:p w14:paraId="56075358" w14:textId="77777777" w:rsidR="00BB5E70" w:rsidRPr="00F26789" w:rsidRDefault="00BB5E70" w:rsidP="00BB5E70">
            <w:pPr>
              <w:rPr>
                <w:rFonts w:ascii="Times New Roman" w:hAnsi="Times New Roman" w:cs="Times New Roman"/>
                <w:sz w:val="24"/>
                <w:szCs w:val="24"/>
              </w:rPr>
            </w:pPr>
          </w:p>
        </w:tc>
      </w:tr>
      <w:tr w:rsidR="00F26789" w:rsidRPr="00F26789" w14:paraId="0B506E0A" w14:textId="77777777" w:rsidTr="00BB5E70">
        <w:trPr>
          <w:trHeight w:val="310"/>
        </w:trPr>
        <w:tc>
          <w:tcPr>
            <w:tcW w:w="1461" w:type="dxa"/>
            <w:vMerge w:val="restart"/>
            <w:noWrap/>
            <w:hideMark/>
          </w:tcPr>
          <w:p w14:paraId="186769B1" w14:textId="77777777" w:rsidR="00BB5E70" w:rsidRPr="00F26789" w:rsidRDefault="00BB5E70" w:rsidP="00BB5E70">
            <w:pPr>
              <w:rPr>
                <w:rFonts w:ascii="Times New Roman" w:hAnsi="Times New Roman" w:cs="Times New Roman"/>
                <w:sz w:val="24"/>
                <w:szCs w:val="24"/>
              </w:rPr>
            </w:pPr>
            <w:proofErr w:type="spellStart"/>
            <w:r w:rsidRPr="00F26789">
              <w:rPr>
                <w:rFonts w:ascii="Times New Roman" w:hAnsi="Times New Roman" w:cs="Times New Roman"/>
                <w:sz w:val="24"/>
                <w:szCs w:val="24"/>
              </w:rPr>
              <w:t>MCPcounter</w:t>
            </w:r>
            <w:proofErr w:type="spellEnd"/>
            <w:r w:rsidRPr="00F26789">
              <w:rPr>
                <w:rFonts w:ascii="Times New Roman" w:hAnsi="Times New Roman" w:cs="Times New Roman"/>
                <w:sz w:val="24"/>
                <w:szCs w:val="24"/>
              </w:rPr>
              <w:t xml:space="preserve"> (10 cell types)</w:t>
            </w:r>
          </w:p>
        </w:tc>
        <w:tc>
          <w:tcPr>
            <w:tcW w:w="1529" w:type="dxa"/>
            <w:noWrap/>
            <w:hideMark/>
          </w:tcPr>
          <w:p w14:paraId="524E6871" w14:textId="77777777" w:rsidR="00BB5E70" w:rsidRPr="00F26789" w:rsidRDefault="00BB5E70" w:rsidP="00BB5E70">
            <w:pPr>
              <w:rPr>
                <w:rFonts w:ascii="Times New Roman" w:hAnsi="Times New Roman" w:cs="Times New Roman"/>
                <w:sz w:val="24"/>
                <w:szCs w:val="24"/>
              </w:rPr>
            </w:pPr>
            <w:r w:rsidRPr="00F26789">
              <w:rPr>
                <w:rFonts w:ascii="Times New Roman" w:hAnsi="Times New Roman" w:cs="Times New Roman"/>
                <w:sz w:val="24"/>
                <w:szCs w:val="24"/>
              </w:rPr>
              <w:t>CD8 T cells</w:t>
            </w:r>
          </w:p>
        </w:tc>
        <w:tc>
          <w:tcPr>
            <w:tcW w:w="1345" w:type="dxa"/>
            <w:noWrap/>
            <w:hideMark/>
          </w:tcPr>
          <w:p w14:paraId="25099949" w14:textId="77777777" w:rsidR="00BB5E70" w:rsidRPr="00F26789" w:rsidRDefault="00BB5E70" w:rsidP="00BB5E70">
            <w:pPr>
              <w:rPr>
                <w:rFonts w:ascii="Times New Roman" w:hAnsi="Times New Roman" w:cs="Times New Roman"/>
                <w:sz w:val="24"/>
                <w:szCs w:val="24"/>
              </w:rPr>
            </w:pPr>
            <w:r w:rsidRPr="00F26789">
              <w:rPr>
                <w:rFonts w:ascii="Times New Roman" w:hAnsi="Times New Roman" w:cs="Times New Roman"/>
                <w:sz w:val="24"/>
                <w:szCs w:val="24"/>
              </w:rPr>
              <w:t>Cytotoxic lymphocytes</w:t>
            </w:r>
          </w:p>
        </w:tc>
        <w:tc>
          <w:tcPr>
            <w:tcW w:w="1429" w:type="dxa"/>
            <w:noWrap/>
            <w:hideMark/>
          </w:tcPr>
          <w:p w14:paraId="7C4A3E03" w14:textId="77777777" w:rsidR="00BB5E70" w:rsidRPr="00F26789" w:rsidRDefault="00BB5E70" w:rsidP="00BB5E70">
            <w:pPr>
              <w:rPr>
                <w:rFonts w:ascii="Times New Roman" w:hAnsi="Times New Roman" w:cs="Times New Roman"/>
                <w:sz w:val="24"/>
                <w:szCs w:val="24"/>
              </w:rPr>
            </w:pPr>
            <w:r w:rsidRPr="00F26789">
              <w:rPr>
                <w:rFonts w:ascii="Times New Roman" w:hAnsi="Times New Roman" w:cs="Times New Roman"/>
                <w:sz w:val="24"/>
                <w:szCs w:val="24"/>
              </w:rPr>
              <w:t>NK cells</w:t>
            </w:r>
          </w:p>
        </w:tc>
        <w:tc>
          <w:tcPr>
            <w:tcW w:w="1345" w:type="dxa"/>
            <w:noWrap/>
            <w:hideMark/>
          </w:tcPr>
          <w:p w14:paraId="4739F7A5" w14:textId="77777777" w:rsidR="00BB5E70" w:rsidRPr="00F26789" w:rsidRDefault="00BB5E70" w:rsidP="00BB5E70">
            <w:pPr>
              <w:rPr>
                <w:rFonts w:ascii="Times New Roman" w:hAnsi="Times New Roman" w:cs="Times New Roman"/>
                <w:sz w:val="24"/>
                <w:szCs w:val="24"/>
              </w:rPr>
            </w:pPr>
            <w:r w:rsidRPr="00F26789">
              <w:rPr>
                <w:rFonts w:ascii="Times New Roman" w:hAnsi="Times New Roman" w:cs="Times New Roman"/>
                <w:sz w:val="24"/>
                <w:szCs w:val="24"/>
              </w:rPr>
              <w:t>Monocytic lineage</w:t>
            </w:r>
          </w:p>
        </w:tc>
        <w:tc>
          <w:tcPr>
            <w:tcW w:w="1413" w:type="dxa"/>
            <w:noWrap/>
            <w:hideMark/>
          </w:tcPr>
          <w:p w14:paraId="15DE46D7" w14:textId="77777777" w:rsidR="00BB5E70" w:rsidRPr="00F26789" w:rsidRDefault="00BB5E70" w:rsidP="00BB5E70">
            <w:pPr>
              <w:rPr>
                <w:rFonts w:ascii="Times New Roman" w:hAnsi="Times New Roman" w:cs="Times New Roman"/>
                <w:sz w:val="24"/>
                <w:szCs w:val="24"/>
              </w:rPr>
            </w:pPr>
            <w:r w:rsidRPr="00F26789">
              <w:rPr>
                <w:rFonts w:ascii="Times New Roman" w:hAnsi="Times New Roman" w:cs="Times New Roman"/>
                <w:sz w:val="24"/>
                <w:szCs w:val="24"/>
              </w:rPr>
              <w:t>Myeloid dendritic cells</w:t>
            </w:r>
          </w:p>
        </w:tc>
      </w:tr>
      <w:tr w:rsidR="00F26789" w:rsidRPr="00F26789" w14:paraId="4663E9A3" w14:textId="77777777" w:rsidTr="00BB5E70">
        <w:trPr>
          <w:trHeight w:val="280"/>
        </w:trPr>
        <w:tc>
          <w:tcPr>
            <w:tcW w:w="1461" w:type="dxa"/>
            <w:vMerge/>
            <w:hideMark/>
          </w:tcPr>
          <w:p w14:paraId="279A377F" w14:textId="77777777" w:rsidR="00BB5E70" w:rsidRPr="00F26789" w:rsidRDefault="00BB5E70" w:rsidP="00BB5E70">
            <w:pPr>
              <w:rPr>
                <w:rFonts w:ascii="Times New Roman" w:hAnsi="Times New Roman" w:cs="Times New Roman"/>
                <w:sz w:val="24"/>
                <w:szCs w:val="24"/>
              </w:rPr>
            </w:pPr>
          </w:p>
        </w:tc>
        <w:tc>
          <w:tcPr>
            <w:tcW w:w="1529" w:type="dxa"/>
            <w:noWrap/>
            <w:hideMark/>
          </w:tcPr>
          <w:p w14:paraId="624FD003" w14:textId="77777777" w:rsidR="00BB5E70" w:rsidRPr="00F26789" w:rsidRDefault="00BB5E70" w:rsidP="00BB5E70">
            <w:pPr>
              <w:rPr>
                <w:rFonts w:ascii="Times New Roman" w:hAnsi="Times New Roman" w:cs="Times New Roman"/>
                <w:sz w:val="24"/>
                <w:szCs w:val="24"/>
              </w:rPr>
            </w:pPr>
            <w:r w:rsidRPr="00F26789">
              <w:rPr>
                <w:rFonts w:ascii="Times New Roman" w:hAnsi="Times New Roman" w:cs="Times New Roman"/>
                <w:sz w:val="24"/>
                <w:szCs w:val="24"/>
              </w:rPr>
              <w:t>Fibroblasts</w:t>
            </w:r>
          </w:p>
        </w:tc>
        <w:tc>
          <w:tcPr>
            <w:tcW w:w="1345" w:type="dxa"/>
            <w:noWrap/>
            <w:hideMark/>
          </w:tcPr>
          <w:p w14:paraId="2AEBEADE" w14:textId="77777777" w:rsidR="00BB5E70" w:rsidRPr="00F26789" w:rsidRDefault="00BB5E70" w:rsidP="00BB5E70">
            <w:pPr>
              <w:rPr>
                <w:rFonts w:ascii="Times New Roman" w:hAnsi="Times New Roman" w:cs="Times New Roman"/>
                <w:sz w:val="24"/>
                <w:szCs w:val="24"/>
              </w:rPr>
            </w:pPr>
            <w:r w:rsidRPr="00F26789">
              <w:rPr>
                <w:rFonts w:ascii="Times New Roman" w:hAnsi="Times New Roman" w:cs="Times New Roman"/>
                <w:sz w:val="24"/>
                <w:szCs w:val="24"/>
              </w:rPr>
              <w:t>Endothelial cells</w:t>
            </w:r>
          </w:p>
        </w:tc>
        <w:tc>
          <w:tcPr>
            <w:tcW w:w="1429" w:type="dxa"/>
            <w:noWrap/>
            <w:hideMark/>
          </w:tcPr>
          <w:p w14:paraId="379E1014" w14:textId="77777777" w:rsidR="00BB5E70" w:rsidRPr="00F26789" w:rsidRDefault="00BB5E70" w:rsidP="00BB5E70">
            <w:pPr>
              <w:rPr>
                <w:rFonts w:ascii="Times New Roman" w:hAnsi="Times New Roman" w:cs="Times New Roman"/>
                <w:sz w:val="24"/>
                <w:szCs w:val="24"/>
              </w:rPr>
            </w:pPr>
            <w:r w:rsidRPr="00F26789">
              <w:rPr>
                <w:rFonts w:ascii="Times New Roman" w:hAnsi="Times New Roman" w:cs="Times New Roman"/>
                <w:sz w:val="24"/>
                <w:szCs w:val="24"/>
              </w:rPr>
              <w:t>Neutrophils</w:t>
            </w:r>
          </w:p>
        </w:tc>
        <w:tc>
          <w:tcPr>
            <w:tcW w:w="1345" w:type="dxa"/>
            <w:noWrap/>
            <w:hideMark/>
          </w:tcPr>
          <w:p w14:paraId="45DBA968" w14:textId="77777777" w:rsidR="00BB5E70" w:rsidRPr="00F26789" w:rsidRDefault="00BB5E70" w:rsidP="00BB5E70">
            <w:pPr>
              <w:rPr>
                <w:rFonts w:ascii="Times New Roman" w:hAnsi="Times New Roman" w:cs="Times New Roman"/>
                <w:sz w:val="24"/>
                <w:szCs w:val="24"/>
              </w:rPr>
            </w:pPr>
            <w:r w:rsidRPr="00F26789">
              <w:rPr>
                <w:rFonts w:ascii="Times New Roman" w:hAnsi="Times New Roman" w:cs="Times New Roman"/>
                <w:sz w:val="24"/>
                <w:szCs w:val="24"/>
              </w:rPr>
              <w:t>NK cells</w:t>
            </w:r>
          </w:p>
        </w:tc>
        <w:tc>
          <w:tcPr>
            <w:tcW w:w="1413" w:type="dxa"/>
            <w:noWrap/>
            <w:hideMark/>
          </w:tcPr>
          <w:p w14:paraId="16FEC1F7" w14:textId="77777777" w:rsidR="00BB5E70" w:rsidRPr="00F26789" w:rsidRDefault="00BB5E70" w:rsidP="00BB5E70">
            <w:pPr>
              <w:rPr>
                <w:rFonts w:ascii="Times New Roman" w:hAnsi="Times New Roman" w:cs="Times New Roman"/>
                <w:sz w:val="24"/>
                <w:szCs w:val="24"/>
              </w:rPr>
            </w:pPr>
          </w:p>
        </w:tc>
      </w:tr>
    </w:tbl>
    <w:p w14:paraId="0206E1F1" w14:textId="77777777" w:rsidR="007D4D90" w:rsidRPr="00F26789" w:rsidRDefault="007D4D90" w:rsidP="007D4D90">
      <w:pPr>
        <w:rPr>
          <w:rFonts w:ascii="Times New Roman" w:hAnsi="Times New Roman" w:cs="Times New Roman"/>
          <w:sz w:val="24"/>
          <w:szCs w:val="24"/>
        </w:rPr>
      </w:pPr>
    </w:p>
    <w:p w14:paraId="5D169837" w14:textId="2D60836C" w:rsidR="007D4D90" w:rsidRPr="00F26789" w:rsidRDefault="00F26789" w:rsidP="007D4D90">
      <w:pPr>
        <w:rPr>
          <w:rFonts w:ascii="Times New Roman" w:hAnsi="Times New Roman" w:cs="Times New Roman"/>
          <w:sz w:val="24"/>
          <w:szCs w:val="24"/>
        </w:rPr>
      </w:pPr>
      <w:r w:rsidRPr="00F26789">
        <w:rPr>
          <w:rFonts w:ascii="Times New Roman" w:hAnsi="Times New Roman" w:cs="Times New Roman"/>
          <w:color w:val="000000" w:themeColor="text1"/>
          <w:sz w:val="24"/>
          <w:szCs w:val="24"/>
        </w:rPr>
        <w:t>Table S1. The cell types of different methods for immune and stromal cell infiltration analysis.</w:t>
      </w:r>
    </w:p>
    <w:p w14:paraId="258BF958" w14:textId="77777777" w:rsidR="00F26789" w:rsidRPr="00F26789" w:rsidRDefault="00F26789" w:rsidP="007D4D90">
      <w:pPr>
        <w:rPr>
          <w:rFonts w:ascii="Times New Roman" w:hAnsi="Times New Roman" w:cs="Times New Roman"/>
          <w:sz w:val="24"/>
          <w:szCs w:val="24"/>
        </w:rPr>
      </w:pPr>
    </w:p>
    <w:p w14:paraId="3F61A3BF" w14:textId="77777777" w:rsidR="00F26789" w:rsidRPr="00F26789" w:rsidRDefault="00F26789" w:rsidP="007D4D90">
      <w:pPr>
        <w:rPr>
          <w:rFonts w:ascii="Times New Roman" w:hAnsi="Times New Roman" w:cs="Times New Roman"/>
          <w:sz w:val="24"/>
          <w:szCs w:val="24"/>
        </w:rPr>
      </w:pPr>
    </w:p>
    <w:p w14:paraId="16505BED" w14:textId="77777777" w:rsidR="00F26789" w:rsidRPr="00F26789" w:rsidRDefault="00F26789" w:rsidP="007D4D90">
      <w:pPr>
        <w:rPr>
          <w:rFonts w:ascii="Times New Roman" w:hAnsi="Times New Roman" w:cs="Times New Roman"/>
          <w:sz w:val="24"/>
          <w:szCs w:val="24"/>
        </w:rPr>
      </w:pPr>
    </w:p>
    <w:p w14:paraId="64A0BE56" w14:textId="77777777" w:rsidR="00F26789" w:rsidRPr="00F26789" w:rsidRDefault="00F26789" w:rsidP="007D4D90">
      <w:pPr>
        <w:rPr>
          <w:rFonts w:ascii="Times New Roman" w:hAnsi="Times New Roman" w:cs="Times New Roman"/>
          <w:sz w:val="24"/>
          <w:szCs w:val="24"/>
        </w:rPr>
      </w:pPr>
    </w:p>
    <w:p w14:paraId="36D02458" w14:textId="77777777" w:rsidR="00F26789" w:rsidRPr="00F26789" w:rsidRDefault="00F26789" w:rsidP="007D4D90">
      <w:pPr>
        <w:rPr>
          <w:rFonts w:ascii="Times New Roman" w:hAnsi="Times New Roman" w:cs="Times New Roman"/>
          <w:sz w:val="24"/>
          <w:szCs w:val="24"/>
        </w:rPr>
      </w:pPr>
    </w:p>
    <w:p w14:paraId="5F56929F" w14:textId="77777777" w:rsidR="00F26789" w:rsidRPr="00F26789" w:rsidRDefault="00F26789" w:rsidP="007D4D90">
      <w:pPr>
        <w:rPr>
          <w:rFonts w:ascii="Times New Roman" w:hAnsi="Times New Roman" w:cs="Times New Roman"/>
          <w:sz w:val="24"/>
          <w:szCs w:val="24"/>
        </w:rPr>
      </w:pPr>
    </w:p>
    <w:p w14:paraId="1F261B3F" w14:textId="77777777" w:rsidR="00F26789" w:rsidRPr="00F26789" w:rsidRDefault="00F26789" w:rsidP="007D4D90">
      <w:pPr>
        <w:rPr>
          <w:rFonts w:ascii="Times New Roman" w:hAnsi="Times New Roman" w:cs="Times New Roman"/>
          <w:sz w:val="24"/>
          <w:szCs w:val="24"/>
        </w:rPr>
      </w:pPr>
    </w:p>
    <w:tbl>
      <w:tblPr>
        <w:tblStyle w:val="ae"/>
        <w:tblW w:w="8367" w:type="dxa"/>
        <w:tblLook w:val="04A0" w:firstRow="1" w:lastRow="0" w:firstColumn="1" w:lastColumn="0" w:noHBand="0" w:noVBand="1"/>
      </w:tblPr>
      <w:tblGrid>
        <w:gridCol w:w="1131"/>
        <w:gridCol w:w="3758"/>
        <w:gridCol w:w="3633"/>
      </w:tblGrid>
      <w:tr w:rsidR="007D4D90" w:rsidRPr="00F26789" w14:paraId="43069381" w14:textId="77777777" w:rsidTr="00F26789">
        <w:trPr>
          <w:trHeight w:val="280"/>
        </w:trPr>
        <w:tc>
          <w:tcPr>
            <w:tcW w:w="8367" w:type="dxa"/>
            <w:gridSpan w:val="3"/>
            <w:noWrap/>
            <w:hideMark/>
          </w:tcPr>
          <w:p w14:paraId="46DA62A1"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b/>
                <w:bCs/>
                <w:sz w:val="24"/>
                <w:szCs w:val="24"/>
              </w:rPr>
              <w:lastRenderedPageBreak/>
              <w:t>Table S2</w:t>
            </w:r>
            <w:r w:rsidRPr="00F26789">
              <w:rPr>
                <w:rFonts w:ascii="Times New Roman" w:hAnsi="Times New Roman" w:cs="Times New Roman"/>
                <w:sz w:val="24"/>
                <w:szCs w:val="24"/>
              </w:rPr>
              <w:t xml:space="preserve">. The primer sequences for </w:t>
            </w:r>
            <w:proofErr w:type="spellStart"/>
            <w:r w:rsidRPr="00F26789">
              <w:rPr>
                <w:rFonts w:ascii="Times New Roman" w:hAnsi="Times New Roman" w:cs="Times New Roman"/>
                <w:sz w:val="24"/>
                <w:szCs w:val="24"/>
              </w:rPr>
              <w:t>cuproptosis</w:t>
            </w:r>
            <w:proofErr w:type="spellEnd"/>
            <w:r w:rsidRPr="00F26789">
              <w:rPr>
                <w:rFonts w:ascii="Times New Roman" w:hAnsi="Times New Roman" w:cs="Times New Roman"/>
                <w:sz w:val="24"/>
                <w:szCs w:val="24"/>
              </w:rPr>
              <w:t xml:space="preserve"> regulators and GAPDH. </w:t>
            </w:r>
          </w:p>
        </w:tc>
      </w:tr>
      <w:tr w:rsidR="007D4D90" w:rsidRPr="00F26789" w14:paraId="49FDB1F5" w14:textId="77777777" w:rsidTr="00F26789">
        <w:trPr>
          <w:trHeight w:val="310"/>
        </w:trPr>
        <w:tc>
          <w:tcPr>
            <w:tcW w:w="1127" w:type="dxa"/>
            <w:noWrap/>
            <w:hideMark/>
          </w:tcPr>
          <w:p w14:paraId="6E558D9C"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Gene</w:t>
            </w:r>
          </w:p>
        </w:tc>
        <w:tc>
          <w:tcPr>
            <w:tcW w:w="3513" w:type="dxa"/>
            <w:noWrap/>
            <w:hideMark/>
          </w:tcPr>
          <w:p w14:paraId="63267A07"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Forward primer (5' to 3')</w:t>
            </w:r>
          </w:p>
        </w:tc>
        <w:tc>
          <w:tcPr>
            <w:tcW w:w="3727" w:type="dxa"/>
            <w:noWrap/>
            <w:hideMark/>
          </w:tcPr>
          <w:p w14:paraId="56244F29"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Reverse primer (5' to 3')</w:t>
            </w:r>
          </w:p>
        </w:tc>
      </w:tr>
      <w:tr w:rsidR="007D4D90" w:rsidRPr="00F26789" w14:paraId="6457934A" w14:textId="77777777" w:rsidTr="00F26789">
        <w:trPr>
          <w:trHeight w:val="280"/>
        </w:trPr>
        <w:tc>
          <w:tcPr>
            <w:tcW w:w="1127" w:type="dxa"/>
            <w:noWrap/>
            <w:hideMark/>
          </w:tcPr>
          <w:p w14:paraId="24A0EA95"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PDHA1</w:t>
            </w:r>
          </w:p>
        </w:tc>
        <w:tc>
          <w:tcPr>
            <w:tcW w:w="3513" w:type="dxa"/>
            <w:noWrap/>
            <w:hideMark/>
          </w:tcPr>
          <w:p w14:paraId="4C542328"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GAAATGTGACCTTCATCGGCT</w:t>
            </w:r>
          </w:p>
        </w:tc>
        <w:tc>
          <w:tcPr>
            <w:tcW w:w="3727" w:type="dxa"/>
            <w:noWrap/>
            <w:hideMark/>
          </w:tcPr>
          <w:p w14:paraId="52D584E1"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TGATCCGCCTTTAGCTCCATC</w:t>
            </w:r>
          </w:p>
        </w:tc>
      </w:tr>
      <w:tr w:rsidR="007D4D90" w:rsidRPr="00F26789" w14:paraId="5C00DD0D" w14:textId="77777777" w:rsidTr="00F26789">
        <w:trPr>
          <w:trHeight w:val="280"/>
        </w:trPr>
        <w:tc>
          <w:tcPr>
            <w:tcW w:w="1127" w:type="dxa"/>
            <w:noWrap/>
            <w:hideMark/>
          </w:tcPr>
          <w:p w14:paraId="0EBA58C6"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GLS</w:t>
            </w:r>
          </w:p>
        </w:tc>
        <w:tc>
          <w:tcPr>
            <w:tcW w:w="3513" w:type="dxa"/>
            <w:noWrap/>
            <w:hideMark/>
          </w:tcPr>
          <w:p w14:paraId="1DEC6412"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TGGTGCTGCTAATCAGGGTC</w:t>
            </w:r>
          </w:p>
        </w:tc>
        <w:tc>
          <w:tcPr>
            <w:tcW w:w="3727" w:type="dxa"/>
            <w:hideMark/>
          </w:tcPr>
          <w:p w14:paraId="10C7CC9A"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CCATAGCGGTTGTTCTCACAGA</w:t>
            </w:r>
          </w:p>
        </w:tc>
      </w:tr>
      <w:tr w:rsidR="007D4D90" w:rsidRPr="00F26789" w14:paraId="28A6EB82" w14:textId="77777777" w:rsidTr="00F26789">
        <w:trPr>
          <w:trHeight w:val="280"/>
        </w:trPr>
        <w:tc>
          <w:tcPr>
            <w:tcW w:w="1127" w:type="dxa"/>
            <w:noWrap/>
            <w:hideMark/>
          </w:tcPr>
          <w:p w14:paraId="282D22E7"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FDX1</w:t>
            </w:r>
          </w:p>
        </w:tc>
        <w:tc>
          <w:tcPr>
            <w:tcW w:w="3513" w:type="dxa"/>
            <w:noWrap/>
            <w:hideMark/>
          </w:tcPr>
          <w:p w14:paraId="66A0AFF6"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CAAGGGGAAAATTGGCGACTC</w:t>
            </w:r>
          </w:p>
        </w:tc>
        <w:tc>
          <w:tcPr>
            <w:tcW w:w="3727" w:type="dxa"/>
            <w:noWrap/>
            <w:hideMark/>
          </w:tcPr>
          <w:p w14:paraId="3D8B6B7A"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TTGGTCAGACAAACTTGGCAG</w:t>
            </w:r>
          </w:p>
        </w:tc>
      </w:tr>
      <w:tr w:rsidR="007D4D90" w:rsidRPr="00F26789" w14:paraId="18309E89" w14:textId="77777777" w:rsidTr="00F26789">
        <w:trPr>
          <w:trHeight w:val="280"/>
        </w:trPr>
        <w:tc>
          <w:tcPr>
            <w:tcW w:w="1127" w:type="dxa"/>
            <w:noWrap/>
            <w:hideMark/>
          </w:tcPr>
          <w:p w14:paraId="26A598F2"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MTF1</w:t>
            </w:r>
          </w:p>
        </w:tc>
        <w:tc>
          <w:tcPr>
            <w:tcW w:w="3513" w:type="dxa"/>
            <w:noWrap/>
            <w:hideMark/>
          </w:tcPr>
          <w:p w14:paraId="39E930AA"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GGAGCCATGGATTGCACTTTCG</w:t>
            </w:r>
          </w:p>
        </w:tc>
        <w:tc>
          <w:tcPr>
            <w:tcW w:w="3727" w:type="dxa"/>
            <w:noWrap/>
            <w:hideMark/>
          </w:tcPr>
          <w:p w14:paraId="41FCBECD"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CTGCTCTGGCTTTGCCTTGCT</w:t>
            </w:r>
          </w:p>
        </w:tc>
      </w:tr>
      <w:tr w:rsidR="007D4D90" w:rsidRPr="00F26789" w14:paraId="456EABA3" w14:textId="77777777" w:rsidTr="00F26789">
        <w:trPr>
          <w:trHeight w:val="280"/>
        </w:trPr>
        <w:tc>
          <w:tcPr>
            <w:tcW w:w="1127" w:type="dxa"/>
            <w:noWrap/>
            <w:hideMark/>
          </w:tcPr>
          <w:p w14:paraId="1C3E9C01"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LIPT1</w:t>
            </w:r>
          </w:p>
        </w:tc>
        <w:tc>
          <w:tcPr>
            <w:tcW w:w="3513" w:type="dxa"/>
            <w:noWrap/>
            <w:hideMark/>
          </w:tcPr>
          <w:p w14:paraId="28F3889D"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TTTGGTGCGTGTGAGGGAAC</w:t>
            </w:r>
          </w:p>
        </w:tc>
        <w:tc>
          <w:tcPr>
            <w:tcW w:w="3727" w:type="dxa"/>
            <w:hideMark/>
          </w:tcPr>
          <w:p w14:paraId="21CCB5FF"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GCACAGTCATATTGTCCATAGCC</w:t>
            </w:r>
          </w:p>
        </w:tc>
      </w:tr>
      <w:tr w:rsidR="007D4D90" w:rsidRPr="00F26789" w14:paraId="2F0C8FF5" w14:textId="77777777" w:rsidTr="00F26789">
        <w:trPr>
          <w:trHeight w:val="280"/>
        </w:trPr>
        <w:tc>
          <w:tcPr>
            <w:tcW w:w="1127" w:type="dxa"/>
            <w:noWrap/>
            <w:hideMark/>
          </w:tcPr>
          <w:p w14:paraId="41BB684D"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CDKN2A</w:t>
            </w:r>
          </w:p>
        </w:tc>
        <w:tc>
          <w:tcPr>
            <w:tcW w:w="3513" w:type="dxa"/>
            <w:noWrap/>
            <w:hideMark/>
          </w:tcPr>
          <w:p w14:paraId="4D9D34E1"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GGCTCCAACAACGAGGTCTAC</w:t>
            </w:r>
          </w:p>
        </w:tc>
        <w:tc>
          <w:tcPr>
            <w:tcW w:w="3727" w:type="dxa"/>
            <w:noWrap/>
            <w:hideMark/>
          </w:tcPr>
          <w:p w14:paraId="23026C97"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AGGTATTCTGACACATCCACCTT</w:t>
            </w:r>
          </w:p>
        </w:tc>
      </w:tr>
      <w:tr w:rsidR="007D4D90" w:rsidRPr="00F26789" w14:paraId="23A42240" w14:textId="77777777" w:rsidTr="00F26789">
        <w:trPr>
          <w:trHeight w:val="280"/>
        </w:trPr>
        <w:tc>
          <w:tcPr>
            <w:tcW w:w="1127" w:type="dxa"/>
            <w:noWrap/>
            <w:hideMark/>
          </w:tcPr>
          <w:p w14:paraId="0FFB7F33"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PDHB</w:t>
            </w:r>
          </w:p>
        </w:tc>
        <w:tc>
          <w:tcPr>
            <w:tcW w:w="3513" w:type="dxa"/>
            <w:noWrap/>
            <w:hideMark/>
          </w:tcPr>
          <w:p w14:paraId="3E4B8F29"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TGTGACCTTCATCGGCTAGAA</w:t>
            </w:r>
          </w:p>
        </w:tc>
        <w:tc>
          <w:tcPr>
            <w:tcW w:w="3727" w:type="dxa"/>
            <w:noWrap/>
            <w:hideMark/>
          </w:tcPr>
          <w:p w14:paraId="73BFE43E"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TGATCCGCCTTTAGCTCCATC</w:t>
            </w:r>
          </w:p>
        </w:tc>
      </w:tr>
      <w:tr w:rsidR="007D4D90" w:rsidRPr="00F26789" w14:paraId="240E654D" w14:textId="77777777" w:rsidTr="00F26789">
        <w:trPr>
          <w:trHeight w:val="280"/>
        </w:trPr>
        <w:tc>
          <w:tcPr>
            <w:tcW w:w="1127" w:type="dxa"/>
            <w:noWrap/>
            <w:hideMark/>
          </w:tcPr>
          <w:p w14:paraId="6AC2B150"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DLD</w:t>
            </w:r>
          </w:p>
        </w:tc>
        <w:tc>
          <w:tcPr>
            <w:tcW w:w="3513" w:type="dxa"/>
            <w:noWrap/>
            <w:hideMark/>
          </w:tcPr>
          <w:p w14:paraId="4A192F84"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AAGGTGAAGAGCATCATAACCCT</w:t>
            </w:r>
          </w:p>
        </w:tc>
        <w:tc>
          <w:tcPr>
            <w:tcW w:w="3727" w:type="dxa"/>
            <w:noWrap/>
            <w:hideMark/>
          </w:tcPr>
          <w:p w14:paraId="4340B28B"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TCACGCCTTTCATAACACATTCC</w:t>
            </w:r>
          </w:p>
        </w:tc>
      </w:tr>
      <w:tr w:rsidR="007D4D90" w:rsidRPr="00F26789" w14:paraId="160691BF" w14:textId="77777777" w:rsidTr="00F26789">
        <w:trPr>
          <w:trHeight w:val="280"/>
        </w:trPr>
        <w:tc>
          <w:tcPr>
            <w:tcW w:w="1127" w:type="dxa"/>
            <w:noWrap/>
            <w:hideMark/>
          </w:tcPr>
          <w:p w14:paraId="5750F68A"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DLAT</w:t>
            </w:r>
          </w:p>
        </w:tc>
        <w:tc>
          <w:tcPr>
            <w:tcW w:w="3513" w:type="dxa"/>
            <w:hideMark/>
          </w:tcPr>
          <w:p w14:paraId="580EF57B"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TAACAGTCCACTTCAAGAACCGA</w:t>
            </w:r>
          </w:p>
        </w:tc>
        <w:tc>
          <w:tcPr>
            <w:tcW w:w="3727" w:type="dxa"/>
            <w:noWrap/>
            <w:hideMark/>
          </w:tcPr>
          <w:p w14:paraId="50EC585C"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CACAACATCTAGCAGAGAGTCG</w:t>
            </w:r>
          </w:p>
        </w:tc>
      </w:tr>
      <w:tr w:rsidR="007D4D90" w:rsidRPr="00F26789" w14:paraId="4C462D9C" w14:textId="77777777" w:rsidTr="00F26789">
        <w:trPr>
          <w:trHeight w:val="280"/>
        </w:trPr>
        <w:tc>
          <w:tcPr>
            <w:tcW w:w="1127" w:type="dxa"/>
            <w:noWrap/>
            <w:hideMark/>
          </w:tcPr>
          <w:p w14:paraId="15121B70"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LIAS</w:t>
            </w:r>
          </w:p>
        </w:tc>
        <w:tc>
          <w:tcPr>
            <w:tcW w:w="3513" w:type="dxa"/>
            <w:noWrap/>
            <w:hideMark/>
          </w:tcPr>
          <w:p w14:paraId="72B3635D"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GGCACCGTCATCGGATCAG</w:t>
            </w:r>
          </w:p>
        </w:tc>
        <w:tc>
          <w:tcPr>
            <w:tcW w:w="3727" w:type="dxa"/>
            <w:noWrap/>
            <w:hideMark/>
          </w:tcPr>
          <w:p w14:paraId="66F7D228"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CTCCACAGGCAGACCAGAAAA</w:t>
            </w:r>
          </w:p>
        </w:tc>
      </w:tr>
      <w:tr w:rsidR="007D4D90" w:rsidRPr="00F26789" w14:paraId="6308C89B" w14:textId="77777777" w:rsidTr="00F26789">
        <w:trPr>
          <w:trHeight w:val="310"/>
        </w:trPr>
        <w:tc>
          <w:tcPr>
            <w:tcW w:w="1127" w:type="dxa"/>
            <w:noWrap/>
            <w:hideMark/>
          </w:tcPr>
          <w:p w14:paraId="3B5094C9"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GAPDH</w:t>
            </w:r>
          </w:p>
        </w:tc>
        <w:tc>
          <w:tcPr>
            <w:tcW w:w="3513" w:type="dxa"/>
            <w:noWrap/>
            <w:hideMark/>
          </w:tcPr>
          <w:p w14:paraId="1D68B811"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TGGCCTTCCGTGTTCCTAC</w:t>
            </w:r>
          </w:p>
        </w:tc>
        <w:tc>
          <w:tcPr>
            <w:tcW w:w="3727" w:type="dxa"/>
            <w:noWrap/>
            <w:hideMark/>
          </w:tcPr>
          <w:p w14:paraId="556A1DDF" w14:textId="77777777" w:rsidR="007D4D90" w:rsidRPr="00F26789" w:rsidRDefault="007D4D90" w:rsidP="0090360D">
            <w:pPr>
              <w:rPr>
                <w:rFonts w:ascii="Times New Roman" w:hAnsi="Times New Roman" w:cs="Times New Roman"/>
                <w:sz w:val="24"/>
                <w:szCs w:val="24"/>
              </w:rPr>
            </w:pPr>
            <w:r w:rsidRPr="00F26789">
              <w:rPr>
                <w:rFonts w:ascii="Times New Roman" w:hAnsi="Times New Roman" w:cs="Times New Roman"/>
                <w:sz w:val="24"/>
                <w:szCs w:val="24"/>
              </w:rPr>
              <w:t>GAGTTGCTGTTGAAGTCGCA</w:t>
            </w:r>
          </w:p>
        </w:tc>
      </w:tr>
    </w:tbl>
    <w:p w14:paraId="1F93F492" w14:textId="77777777" w:rsidR="00F26789" w:rsidRPr="00F26789" w:rsidRDefault="00F26789" w:rsidP="00F26789">
      <w:pPr>
        <w:spacing w:line="360" w:lineRule="auto"/>
        <w:rPr>
          <w:rFonts w:ascii="Times New Roman" w:hAnsi="Times New Roman" w:cs="Times New Roman"/>
          <w:sz w:val="24"/>
          <w:szCs w:val="24"/>
        </w:rPr>
      </w:pPr>
      <w:r w:rsidRPr="00F26789">
        <w:rPr>
          <w:rFonts w:ascii="Times New Roman" w:hAnsi="Times New Roman" w:cs="Times New Roman"/>
          <w:sz w:val="24"/>
          <w:szCs w:val="24"/>
        </w:rPr>
        <w:t xml:space="preserve">Table S2. The primer sequences for </w:t>
      </w:r>
      <w:proofErr w:type="spellStart"/>
      <w:r w:rsidRPr="00F26789">
        <w:rPr>
          <w:rFonts w:ascii="Times New Roman" w:hAnsi="Times New Roman" w:cs="Times New Roman"/>
          <w:sz w:val="24"/>
          <w:szCs w:val="24"/>
        </w:rPr>
        <w:t>cuproptosis</w:t>
      </w:r>
      <w:proofErr w:type="spellEnd"/>
      <w:r w:rsidRPr="00F26789">
        <w:rPr>
          <w:rFonts w:ascii="Times New Roman" w:hAnsi="Times New Roman" w:cs="Times New Roman"/>
          <w:sz w:val="24"/>
          <w:szCs w:val="24"/>
        </w:rPr>
        <w:t xml:space="preserve"> regulators and GAPDH.</w:t>
      </w:r>
    </w:p>
    <w:p w14:paraId="6848CADB" w14:textId="77777777" w:rsidR="007D4D90" w:rsidRPr="00F26789" w:rsidRDefault="007D4D90" w:rsidP="00207B8C">
      <w:pPr>
        <w:spacing w:line="360" w:lineRule="auto"/>
        <w:rPr>
          <w:rFonts w:ascii="Times New Roman" w:hAnsi="Times New Roman" w:cs="Times New Roman"/>
          <w:sz w:val="24"/>
          <w:szCs w:val="24"/>
        </w:rPr>
      </w:pPr>
    </w:p>
    <w:sectPr w:rsidR="007D4D90" w:rsidRPr="00F267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405DA8" w14:textId="77777777" w:rsidR="00C85E66" w:rsidRDefault="00C85E66" w:rsidP="002F7D67">
      <w:r>
        <w:separator/>
      </w:r>
    </w:p>
  </w:endnote>
  <w:endnote w:type="continuationSeparator" w:id="0">
    <w:p w14:paraId="789E94FC" w14:textId="77777777" w:rsidR="00C85E66" w:rsidRDefault="00C85E66" w:rsidP="002F7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dvOTd86a71d2">
    <w:altName w:val="Cambria"/>
    <w:panose1 w:val="00000000000000000000"/>
    <w:charset w:val="00"/>
    <w:family w:val="roman"/>
    <w:notTrueType/>
    <w:pitch w:val="default"/>
  </w:font>
  <w:font w:name="AdvOT1ef757c0">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242FD8" w14:textId="77777777" w:rsidR="00C85E66" w:rsidRDefault="00C85E66" w:rsidP="002F7D67">
      <w:r>
        <w:separator/>
      </w:r>
    </w:p>
  </w:footnote>
  <w:footnote w:type="continuationSeparator" w:id="0">
    <w:p w14:paraId="78E91C3F" w14:textId="77777777" w:rsidR="00C85E66" w:rsidRDefault="00C85E66" w:rsidP="002F7D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492002"/>
    <w:multiLevelType w:val="hybridMultilevel"/>
    <w:tmpl w:val="CAD4A33C"/>
    <w:lvl w:ilvl="0" w:tplc="6480F2A8">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A8D63F9"/>
    <w:multiLevelType w:val="hybridMultilevel"/>
    <w:tmpl w:val="8F041E1E"/>
    <w:lvl w:ilvl="0" w:tplc="0C685DC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035274550">
    <w:abstractNumId w:val="1"/>
  </w:num>
  <w:num w:numId="2" w16cid:durableId="8095141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NE.Ref{03F0ACC7-FB9A-49FC-97BB-A11DB613B6A0}" w:val=" ADDIN NE.Ref.{03F0ACC7-FB9A-49FC-97BB-A11DB613B6A0}&lt;Citation&gt;&lt;Group&gt;&lt;References&gt;&lt;Item&gt;&lt;ID&gt;550&lt;/ID&gt;&lt;UID&gt;{ADD6CA7C-3387-48A0-97CB-C54CDC4D06E0}&lt;/UID&gt;&lt;Title&gt;Inhibition of mitochondrial respiration prevents BRAF-mutant melanoma brain metastasis&lt;/Title&gt;&lt;Template&gt;Journal Article&lt;/Template&gt;&lt;Star&gt;0&lt;/Star&gt;&lt;Tag&gt;0&lt;/Tag&gt;&lt;Author&gt;Sundstrom, T; Prestegarden, L; Azuaje, F; Aasen, S N; Rosland, G V; Varughese, J K; Bahador, M; Bernatz, S; Braun, Y; Harter, P N; Skaftnesmo, K O; Ingham, E S; Mahakian, L M; Tam, S; Tepper, C G; Petersen, K; Ferrara, K W; Tronstad, K J; Lund-Johansen, M; Beschorner, R; Bjerkvig, R; Thorsen, F&lt;/Author&gt;&lt;Year&gt;2019&lt;/Year&gt;&lt;Details&gt;&lt;_accession_num&gt;30971321&lt;/_accession_num&gt;&lt;_author_adr&gt;Kristian Gerhard Jebsen Brain Tumour Research Centre, Department of Biomedicine,  University of Bergen, Jonas Lies vei 91, 5009, Bergen, Norway.; Department of Clinical Medicine, University of Bergen, Haukelandsveien 22, 5021,  Bergen, Norway.; Department of Neurosurgery, Haukeland University Hospital, Haukelandsveien 22, 5021, Bergen, Norway.; Kristian Gerhard Jebsen Brain Tumour Research Centre, Department of Biomedicine,  University of Bergen, Jonas Lies vei 91, 5009, Bergen, Norway.; Department of Clinical Medicine, University of Bergen, Haukelandsveien 22, 5021,  Bergen, Norway.; Department of Dermatology, Haukeland University Hospital, Haukelandsveien 22, 5021, Bergen, Norway.; NorLux Neuro-Oncology Laboratory, Department of Oncology, Luxembourg Institute of Health, 84 Val Fleuri, 1526, Luxembourg, Luxembourg.; Present address: Proteome and Genome Research Unit, Department of Oncology, Luxembourg Institute of Health, 1A-B, rue Thomas Edison, L-1445, Strassen, Luxembourg, Luxembourg.; Kristian Gerhard Jebsen Brain Tumour Research Centre, Department of Biomedicine,  University of Bergen, Jonas Lies vei 91, 5009, Bergen, Norway.; Department of Oncology and Medical Physics, Haukeland University Hospital, Haukelandsveien 22, 5021, Bergen, Norway.; Department of Biomedicine, University of Bergen, Jonas Lies vei 91, 5009, Bergen, Norway.; Kristian Gerhard Jebsen Brain Tumour Research Centre, Department of Biomedicine,  University of Bergen, Jonas Lies vei 91, 5009, Bergen, Norway.; Kristian Gerhard Jebsen Brain Tumour Research Centre, Department of Biomedicine,  University of Bergen, Jonas Lies vei 91, 5009, Bergen, Norway.; Edinger-Institute (Neurological Institute), Goethe-University Medical School, Heinrich-Hoffmann-Strasse 7, 60528, Frankfurt am Main, Germany.; Edinger-Institute (Neurological Institute), Goethe-University Medical School, Heinrich-Hoffmann-Strasse 7, 60528, Frankfurt am Main, Germany.; Edinger-Institute (Neurological Institute), Goethe-University Medical School, Heinrich-Hoffmann-Strasse 7, 60528, Frankfurt am Main, Germany.; Institute of Marine Research, Nordnesgaten 50, 5005, Bergen, Norway.; Department of Biomedical Engineering, University of California Davis, 451 East Health Sciences Drive, Davis, CA, 95616, USA.; Department of Biomedical Engineering, University of California Davis, 451 East Health Sciences Drive, Davis, CA, 95616, USA.; Department of Biomedical Engineering, University of California Davis, 451 East Health Sciences Drive, Davis, CA, 95616, USA.; Department of Biochemistry and Molecular Medicine, UC Davis Comprehensive Cancer  Center, 4645 Second Avenue, Sacramento, CA, 95817, USA.; Computational Biology Unit, Department of Informatics, University of Bergen, Thormohlensgate 55, 5008, Bergen, Norway.; Department of Biomedical Engineering, University of California Davis, 451 East Health Sciences Drive, Davis, CA, 95616, USA.; Department of Biomedicine, University of Bergen, Jonas Lies vei 91, 5009, Bergen, Norway.; Department of Clinical Medicine, University of Bergen, Haukelandsveien 22, 5021,  Bergen, Norway.; Department of Neurosurgery, Haukeland University Hospital, Haukelandsveien 22, 5021, Bergen, Norway.; Institute of Pathology and Neuropathology, Department of Neuropathology, University of Tuebingen, Tuebingen, Germany.; Kristian Gerhard Jebsen Brain Tumour Research Centre, Department of Biomedicine,  University of Bergen, Jonas Lies vei 91, 5009, Bergen, Norway.; NorLux Neuro-Oncology Laboratory, Department of Oncology, Luxembourg Institute of Health, 84 Val Fleuri, 1526, Luxembourg, Luxembourg.; Kristian Gerhard Jebsen Brain Tumour Research Centre, Department of Biomedicine,  University of Bergen, Jonas Lies vei 91, 5009, Bergen, Norway. frits.thorsen@uib.no.; The Molecular Imaging Center, Department of Biomedicine, University of Bergen, Jonas Lies vei 91, 5009, Bergen, Norway. frits.thorsen@uib.no.&lt;/_author_adr&gt;&lt;_date_display&gt;2019 Apr 10&lt;/_date_display&gt;&lt;_date&gt;2019-04-10&lt;/_date&gt;&lt;_doi&gt;10.1186/s40478-019-0712-8&lt;/_doi&gt;&lt;_isbn&gt;2051-5960 (Electronic); 2051-5960 (Linking)&lt;/_isbn&gt;&lt;_issue&gt;1&lt;/_issue&gt;&lt;_journal&gt;Acta Neuropathol Commun&lt;/_journal&gt;&lt;_keywords&gt;*BRAF V600E; *Brain metastasis; *Cancer; *Melanoma; *Treatment; *beta-Sitosterol&lt;/_keywords&gt;&lt;_language&gt;eng&lt;/_language&gt;&lt;_pages&gt;55&lt;/_pages&gt;&lt;_subject_headings&gt;Animals; Apoptosis/drug effects; Brain Neoplasms/complications/*genetics/*metabolism; Cell Line, Tumor; Drug Repositioning; Female; Humans; Melanoma/complications/*genetics/*metabolism; Mice, Transgenic; Mitochondria/*drug effects/metabolism; Mutation; Oxidative Stress/drug effects; Proto-Oncogene Proteins B-raf/*genetics; Sitosterols/*administration &amp;amp; dosage; Transcriptome&lt;/_subject_headings&gt;&lt;_tertiary_title&gt;Acta neuropathologica communications&lt;/_tertiary_title&gt;&lt;_type_work&gt;Journal Article; Research Support, N.I.H., Extramural; Research Support, Non-U.S. Gov&amp;apos;t&lt;/_type_work&gt;&lt;_url&gt;http://www.ncbi.nlm.nih.gov/entrez/query.fcgi?cmd=Retrieve&amp;amp;db=pubmed&amp;amp;dopt=Abstract&amp;amp;list_uids=30971321&amp;amp;query_hl=1&lt;/_url&gt;&lt;_volume&gt;7&lt;/_volume&gt;&lt;_created&gt;64579394&lt;/_created&gt;&lt;_modified&gt;64579394&lt;/_modified&gt;&lt;_db_updated&gt;PubMed&lt;/_db_updated&gt;&lt;_impact_factor&gt;   7.578&lt;/_impact_factor&gt;&lt;_social_category&gt;医学(2)&lt;/_social_category&gt;&lt;_collection_scope&gt;SCIE&lt;/_collection_scope&gt;&lt;/Details&gt;&lt;Extra&gt;&lt;DBUID&gt;{F96A950B-833F-4880-A151-76DA2D6A2879}&lt;/DBUID&gt;&lt;/Extra&gt;&lt;/Item&gt;&lt;/References&gt;&lt;/Group&gt;&lt;/Citation&gt;_x000a_"/>
    <w:docVar w:name="NE.Ref{0A412C74-8B4E-4DF3-ACC5-0B0426358638}" w:val=" ADDIN NE.Ref.{0A412C74-8B4E-4DF3-ACC5-0B0426358638}&lt;Citation&gt;&lt;Group&gt;&lt;References&gt;&lt;Item&gt;&lt;ID&gt;553&lt;/ID&gt;&lt;UID&gt;{A6E47A12-CB37-4674-B85A-5386DAC1496A}&lt;/UID&gt;&lt;Title&gt;Comprehensive analyses of PDHA1 that serves as a predictive biomarker for immunotherapy response in cancer&lt;/Title&gt;&lt;Template&gt;Journal Article&lt;/Template&gt;&lt;Star&gt;0&lt;/Star&gt;&lt;Tag&gt;0&lt;/Tag&gt;&lt;Author&gt;Deng, L; Jiang, A; Zeng, H; Peng, X; Song, L&lt;/Author&gt;&lt;Year&gt;2022&lt;/Year&gt;&lt;Details&gt;&lt;_accession_num&gt;36003495&lt;/_accession_num&gt;&lt;_author_adr&gt;Department of Emergency, The Third Xiangya Hospital, Central South University, Changsha, HN, China.; Department of Pharmacy, The Third Xiangya Hospital, Central South University, Changsha, HN, China.; Department of Pharmacy, The Third Xiangya Hospital, Central South University, Changsha, HN, China.; Department of Pharmacy, Yueyang Hospital of Traditional Chinese Medicine, Yueyang, HN, China.; Department of Pharmacy, The Third Xiangya Hospital, Central South University, Changsha, HN, China.&lt;/_author_adr&gt;&lt;_date_display&gt;2022&lt;/_date_display&gt;&lt;_date&gt;2022-01-20&lt;/_date&gt;&lt;_doi&gt;10.3389/fphar.2022.947372&lt;/_doi&gt;&lt;_isbn&gt;1663-9812 (Print); 1663-9812 (Linking)&lt;/_isbn&gt;&lt;_journal&gt;Front Pharmacol&lt;/_journal&gt;&lt;_keywords&gt;PDHA1; immunotherapy; mutation; pan-cancer; prognosis&lt;/_keywords&gt;&lt;_language&gt;eng&lt;/_language&gt;&lt;_ori_publication&gt;Copyright (c) 2022 Deng, Jiang, Zeng, Peng and Song.&lt;/_ori_publication&gt;&lt;_pages&gt;947372&lt;/_pages&gt;&lt;_tertiary_title&gt;Frontiers in pharmacology&lt;/_tertiary_title&gt;&lt;_type_work&gt;Journal Article&lt;/_type_work&gt;&lt;_url&gt;http://www.ncbi.nlm.nih.gov/entrez/query.fcgi?cmd=Retrieve&amp;amp;db=pubmed&amp;amp;dopt=Abstract&amp;amp;list_uids=36003495&amp;amp;query_hl=1&lt;/_url&gt;&lt;_volume&gt;13&lt;/_volume&gt;&lt;_created&gt;64583596&lt;/_created&gt;&lt;_modified&gt;64583596&lt;/_modified&gt;&lt;_db_updated&gt;PubMed&lt;/_db_updated&gt;&lt;_impact_factor&gt;   5.988&lt;/_impact_factor&gt;&lt;_social_category&gt;医学(2)&lt;/_social_category&gt;&lt;_collection_scope&gt;SCIE&lt;/_collection_scope&gt;&lt;/Details&gt;&lt;Extra&gt;&lt;DBUID&gt;{F96A950B-833F-4880-A151-76DA2D6A2879}&lt;/DBUID&gt;&lt;/Extra&gt;&lt;/Item&gt;&lt;/References&gt;&lt;/Group&gt;&lt;/Citation&gt;_x000a_"/>
    <w:docVar w:name="NE.Ref{0CAEFAA4-F873-4760-820D-33B364C08946}" w:val=" ADDIN NE.Ref.{0CAEFAA4-F873-4760-820D-33B364C08946}&lt;Citation&gt;&lt;Group&gt;&lt;References&gt;&lt;Item&gt;&lt;ID&gt;532&lt;/ID&gt;&lt;UID&gt;{6AD04F00-CA3A-496E-B9A3-88B490015E05}&lt;/UID&gt;&lt;Title&gt;Long-Term Outcomes of Immune Checkpoint Inhibition in Metastatic Melanoma&lt;/Title&gt;&lt;Template&gt;Journal Article&lt;/Template&gt;&lt;Star&gt;0&lt;/Star&gt;&lt;Tag&gt;0&lt;/Tag&gt;&lt;Author&gt;Aroldi, F; Middleton, M R&lt;/Author&gt;&lt;Year&gt;2022&lt;/Year&gt;&lt;Details&gt;&lt;_accession_num&gt;35359259&lt;/_accession_num&gt;&lt;_author_adr&gt;Department of Oncology, The University of Oxford, Oxford, OX 37LE, UK. dssafrancesca.aroldi@gmail.com.; Department of Oncology, The University of Oxford, Oxford, OX 37LE, UK.&lt;/_author_adr&gt;&lt;_collection_scope&gt;SCIE&lt;/_collection_scope&gt;&lt;_created&gt;64552317&lt;/_created&gt;&lt;_date&gt;2022-05-01&lt;/_date&gt;&lt;_date_display&gt;2022 May&lt;/_date_display&gt;&lt;_db_updated&gt;PubMed&lt;/_db_updated&gt;&lt;_doi&gt;10.1007/s40257-022-00681-4&lt;/_doi&gt;&lt;_impact_factor&gt;   6.233&lt;/_impact_factor&gt;&lt;_isbn&gt;1179-1888 (Electronic); 1175-0561 (Linking)&lt;/_isbn&gt;&lt;_issue&gt;3&lt;/_issue&gt;&lt;_journal&gt;Am J Clin Dermatol&lt;/_journal&gt;&lt;_language&gt;eng&lt;/_language&gt;&lt;_modified&gt;64579370&lt;/_modified&gt;&lt;_ori_publication&gt;(c) 2022. The Author(s), under exclusive licence to Springer Nature Switzerland_x000d__x000a_      AG.&lt;/_ori_publication&gt;&lt;_pages&gt;331-338&lt;/_pages&gt;&lt;_social_category&gt;医学(2)&lt;/_social_category&gt;&lt;_subject_headings&gt;Antineoplastic Combined Chemotherapy Protocols/adverse effects; Humans; Immune Checkpoint Inhibitors; Ipilimumab/adverse effects; *Melanoma/drug therapy/genetics/pathology; *Neoplasms, Second Primary; Nivolumab/adverse effects; Proto-Oncogene Proteins B-raf/genetics&lt;/_subject_headings&gt;&lt;_tertiary_title&gt;American journal of clinical dermatology&lt;/_tertiary_title&gt;&lt;_type_work&gt;Journal Article; Review&lt;/_type_work&gt;&lt;_url&gt;http://www.ncbi.nlm.nih.gov/entrez/query.fcgi?cmd=Retrieve&amp;amp;db=pubmed&amp;amp;dopt=Abstract&amp;amp;list_uids=35359259&amp;amp;query_hl=1&lt;/_url&gt;&lt;_volume&gt;23&lt;/_volume&gt;&lt;/Details&gt;&lt;Extra&gt;&lt;DBUID&gt;{F96A950B-833F-4880-A151-76DA2D6A2879}&lt;/DBUID&gt;&lt;/Extra&gt;&lt;/Item&gt;&lt;/References&gt;&lt;/Group&gt;&lt;Group&gt;&lt;References&gt;&lt;Item&gt;&lt;ID&gt;533&lt;/ID&gt;&lt;UID&gt;{76DBB2F6-B998-4837-892B-A3D4F47AEDD9}&lt;/UID&gt;&lt;Title&gt;Targeted agents and immunotherapies: optimizing outcomes in melanoma&lt;/Title&gt;&lt;Template&gt;Journal Article&lt;/Template&gt;&lt;Star&gt;0&lt;/Star&gt;&lt;Tag&gt;0&lt;/Tag&gt;&lt;Author&gt;Luke, J J; Flaherty, K T; Ribas, A; Long, G V&lt;/Author&gt;&lt;Year&gt;2017&lt;/Year&gt;&lt;Details&gt;&lt;_accession_num&gt;28374786&lt;/_accession_num&gt;&lt;_author_adr&gt;Department of Medicine, Division of Hematology/Oncology, University of Chicago Comprehensive Cancer Center, 5841 South Maryland Avenue MC2115, Chicago, Illinois 60637, USA.; Department of Medicine, Harvard Medical School, Massachusetts General Hospital Cancer Center, 55 Fruit Street, Boston, Massachusetts 02114, USA.; Department of Medicine, Division of Hematology/Oncology, University of California Los Angeles Jonsson Comprehensive Cancer Center, 10833 Le Conte Avenue, Los Angeles, California 90024, USA.; Melanoma Institute Australia, The University of Sydney, and The Mater Hospital, Rocklands Road, North Sydney, New South Wales 2060, Australia.; Royal North Shore Hospital, Reserve Road, St Leonards, New South Wales 2065, Australia.&lt;/_author_adr&gt;&lt;_collection_scope&gt;SCI;SCIE&lt;/_collection_scope&gt;&lt;_created&gt;64552318&lt;/_created&gt;&lt;_date&gt;2017-08-01&lt;/_date&gt;&lt;_date_display&gt;2017 Aug&lt;/_date_display&gt;&lt;_db_updated&gt;PubMed&lt;/_db_updated&gt;&lt;_doi&gt;10.1038/nrclinonc.2017.43&lt;/_doi&gt;&lt;_impact_factor&gt;  65.011&lt;/_impact_factor&gt;&lt;_isbn&gt;1759-4782 (Electronic); 1759-4774 (Linking)&lt;/_isbn&gt;&lt;_issue&gt;8&lt;/_issue&gt;&lt;_journal&gt;Nat Rev Clin Oncol&lt;/_journal&gt;&lt;_language&gt;eng&lt;/_language&gt;&lt;_modified&gt;64552318&lt;/_modified&gt;&lt;_pages&gt;463-482&lt;/_pages&gt;&lt;_subject_headings&gt;Humans; *Immunotherapy; Melanoma/mortality/secondary/*therapy; *Molecular Targeted Therapy; Neoplasm Metastasis; Skin Neoplasms/mortality/pathology/*therapy; Survival Analysis; Treatment Outcome&lt;/_subject_headings&gt;&lt;_tertiary_title&gt;Nature reviews. Clinical oncology&lt;/_tertiary_title&gt;&lt;_type_work&gt;Journal Article; Review&lt;/_type_work&gt;&lt;_url&gt;http://www.ncbi.nlm.nih.gov/entrez/query.fcgi?cmd=Retrieve&amp;amp;db=pubmed&amp;amp;dopt=Abstract&amp;amp;list_uids=28374786&amp;amp;query_hl=1&lt;/_url&gt;&lt;_volume&gt;14&lt;/_volume&gt;&lt;_social_category&gt;医学(1)&lt;/_social_category&gt;&lt;/Details&gt;&lt;Extra&gt;&lt;DBUID&gt;{F96A950B-833F-4880-A151-76DA2D6A2879}&lt;/DBUID&gt;&lt;/Extra&gt;&lt;/Item&gt;&lt;/References&gt;&lt;/Group&gt;&lt;Group&gt;&lt;References&gt;&lt;Item&gt;&lt;ID&gt;534&lt;/ID&gt;&lt;UID&gt;{D56ADB62-DE60-476F-A318-41701E34FF37}&lt;/UID&gt;&lt;Title&gt;Resistance to PD1/PDL1 checkpoint inhibition&lt;/Title&gt;&lt;Template&gt;Journal Article&lt;/Template&gt;&lt;Star&gt;0&lt;/Star&gt;&lt;Tag&gt;0&lt;/Tag&gt;&lt;Author&gt;O&amp;apos;Donnell, J S; Long, G V; Scolyer, R A; Teng, M W; Smyth, M J&lt;/Author&gt;&lt;Year&gt;2017&lt;/Year&gt;&lt;Details&gt;&lt;_accession_num&gt;27951441&lt;/_accession_num&gt;&lt;_author_adr&gt;Immunology in Cancer and Infection Laboratory, QIMR Berghofer Medical Research Institute, Herston 4006, Queensland, Australia; School of Medicine, The University of Queensland, Herston 4006, Queensland, Australia; Cancer Immunoregulation and Immunotherapy Laboratory, QIMR Berghofer Medical Research Institute, Herston 4006, Queensland, Australia.; Melanoma Institute Australia, The University of Sydney, and Royal North Shore and Mater Hospitals, Sydney, Australia.; Melanoma Institute Australia, The University of Sydney, and Royal Prince Alfred Hospital, Australia.; Cancer Immunoregulation and Immunotherapy Laboratory, QIMR Berghofer Medical Research Institute, Herston 4006, Queensland, Australia.; Immunology in Cancer and Infection Laboratory, QIMR Berghofer Medical Research Institute, Herston 4006, Queensland, Australia; School of Medicine, The University of Queensland, Herston 4006, Queensland, Australia. Electronic address: Mark.Smyth@qimrberghofer.edu.au.&lt;/_author_adr&gt;&lt;_collection_scope&gt;SCI;SCIE&lt;/_collection_scope&gt;&lt;_created&gt;64552319&lt;/_created&gt;&lt;_date&gt;2017-01-01&lt;/_date&gt;&lt;_date_display&gt;2017 Jan&lt;/_date_display&gt;&lt;_db_updated&gt;PubMed&lt;/_db_updated&gt;&lt;_doi&gt;10.1016/j.ctrv.2016.11.007&lt;/_doi&gt;&lt;_impact_factor&gt;  13.608&lt;/_impact_factor&gt;&lt;_isbn&gt;1532-1967 (Electronic); 0305-7372 (Linking)&lt;/_isbn&gt;&lt;_journal&gt;Cancer Treat Rev&lt;/_journal&gt;&lt;_keywords&gt;Anti-PD1; Checkpoint; Combination therapies; Immunotherapy; Resistance&lt;/_keywords&gt;&lt;_language&gt;eng&lt;/_language&gt;&lt;_modified&gt;64552319&lt;/_modified&gt;&lt;_ori_publication&gt;Copyright (c) 2016 Elsevier Ltd. All rights reserved.&lt;/_ori_publication&gt;&lt;_pages&gt;71-81&lt;/_pages&gt;&lt;_subject_headings&gt;Animals; Antibodies, Monoclonal/immunology/therapeutic use; B7-H1 Antigen/*antagonists &amp;amp; inhibitors/immunology; Humans; Immunization, Passive/methods; Neoplasms/*immunology/*therapy; Programmed Cell Death 1 Receptor/*antagonists &amp;amp; inhibitors/immunology&lt;/_subject_headings&gt;&lt;_tertiary_title&gt;Cancer treatment reviews&lt;/_tertiary_title&gt;&lt;_type_work&gt;Journal Article; Review&lt;/_type_work&gt;&lt;_url&gt;http://www.ncbi.nlm.nih.gov/entrez/query.fcgi?cmd=Retrieve&amp;amp;db=pubmed&amp;amp;dopt=Abstract&amp;amp;list_uids=27951441&amp;amp;query_hl=1&lt;/_url&gt;&lt;_volume&gt;52&lt;/_volume&gt;&lt;_social_category&gt;医学(1)&lt;/_social_category&gt;&lt;/Details&gt;&lt;Extra&gt;&lt;DBUID&gt;{F96A950B-833F-4880-A151-76DA2D6A2879}&lt;/DBUID&gt;&lt;/Extra&gt;&lt;/Item&gt;&lt;/References&gt;&lt;/Group&gt;&lt;/Citation&gt;_x000a_"/>
    <w:docVar w:name="NE.Ref{14303BB5-8122-444C-A723-43726E014D98}" w:val=" ADDIN NE.Ref.{14303BB5-8122-444C-A723-43726E014D98}&lt;Citation&gt;&lt;Group&gt;&lt;References&gt;&lt;Item&gt;&lt;ID&gt;549&lt;/ID&gt;&lt;UID&gt;{18B95E22-0750-4DEB-87A5-F595F9411146}&lt;/UID&gt;&lt;Title&gt;Oxidative Stress Differentially Influences the Survival and Metabolism of Cells in the Melanoma Microenvironment&lt;/Title&gt;&lt;Template&gt;Journal Article&lt;/Template&gt;&lt;Star&gt;0&lt;/Star&gt;&lt;Tag&gt;0&lt;/Tag&gt;&lt;Author&gt;Trzeciak, E R; Zimmer, N; Gehringer, I; Stein, L; Graefen, B; Schupp, J; Stephan, A; Rietz, S; Prantner, M; Tuettenberg, A&lt;/Author&gt;&lt;Year&gt;2022&lt;/Year&gt;&lt;Details&gt;&lt;_accession_num&gt;35326381&lt;/_accession_num&gt;&lt;_author_adr&gt;Department of Dermatology, University Medical Center Mainz, Johannes Gutenberg University Mainz, 55131 Mainz, Germany.; Department of Dermatology, University Medical Center Mainz, Johannes Gutenberg University Mainz, 55131 Mainz, Germany.; Department of Dermatology, University Medical Center Mainz, Johannes Gutenberg University Mainz, 55131 Mainz, Germany.; Department of Dermatology, University Medical Center Mainz, Johannes Gutenberg University Mainz, 55131 Mainz, Germany.; Institute of Immunology, University Medical Center Mainz, Johannes Gutenberg University Mainz, 55131 Mainz, Germany.; Department of Dermatology, University Medical Center Mainz, Johannes Gutenberg University Mainz, 55131 Mainz, Germany.; Department of Dermatology, University Medical Center Mainz, Johannes Gutenberg University Mainz, 55131 Mainz, Germany.; Institute of Neurology (Edinger Institute), Goethe University Hospital Frankfurt, 60528 Frankfurt, Germany.; Frankfurt Cancer Institute, 60596 Frankfurt, Germany.; BOWA-Electronic GmbH &amp;amp; Co. KG, 72810 Gomaringen, Germany.; Department of Dermatology, University Medical Center Mainz, Johannes Gutenberg University Mainz, 55131 Mainz, Germany.; BOWA-Electronic GmbH &amp;amp; Co. KG, 72810 Gomaringen, Germany.; Department of Dermatology, University Medical Center Mainz, Johannes Gutenberg University Mainz, 55131 Mainz, Germany.; Research Center for Immunotherapy, University Medical Center Mainz, Johannes Gutenberg University Mainz, 55131 Mainz, Germany.&lt;/_author_adr&gt;&lt;_collection_scope&gt;SCIE&lt;/_collection_scope&gt;&lt;_created&gt;64579393&lt;/_created&gt;&lt;_date&gt;2022-03-08&lt;/_date&gt;&lt;_date_display&gt;2022 Mar 8&lt;/_date_display&gt;&lt;_db_updated&gt;PubMed&lt;/_db_updated&gt;&lt;_doi&gt;10.3390/cells11060930&lt;/_doi&gt;&lt;_impact_factor&gt;   7.666&lt;/_impact_factor&gt;&lt;_isbn&gt;2073-4409 (Electronic); 2073-4409 (Linking)&lt;/_isbn&gt;&lt;_issue&gt;6&lt;/_issue&gt;&lt;_journal&gt;Cells&lt;/_journal&gt;&lt;_keywords&gt;*T cell; *cold atmospheric plasma; *macrophage; *malignant melanoma; *metabolic alterations; *plasma jet; *tumor microenvironment; *tumor spheroids; *tumor therapy&lt;/_keywords&gt;&lt;_language&gt;eng&lt;/_language&gt;&lt;_modified&gt;64579393&lt;/_modified&gt;&lt;_social_category&gt;生物学(3)&lt;/_social_category&gt;&lt;_subject_headings&gt;Cell Line, Tumor; Endothelial Cells/metabolism; Humans; *Melanoma/pathology; Oxidative Stress; *Plasma Gases; Tumor Microenvironment&lt;/_subject_headings&gt;&lt;_tertiary_title&gt;Cells&lt;/_tertiary_title&gt;&lt;_type_work&gt;Journal Article; Research Support, Non-U.S. Gov&amp;apos;t&lt;/_type_work&gt;&lt;_url&gt;http://www.ncbi.nlm.nih.gov/entrez/query.fcgi?cmd=Retrieve&amp;amp;db=pubmed&amp;amp;dopt=Abstract&amp;amp;list_uids=35326381&amp;amp;query_hl=1&lt;/_url&gt;&lt;_volume&gt;11&lt;/_volume&gt;&lt;/Details&gt;&lt;Extra&gt;&lt;DBUID&gt;{F96A950B-833F-4880-A151-76DA2D6A2879}&lt;/DBUID&gt;&lt;/Extra&gt;&lt;/Item&gt;&lt;/References&gt;&lt;/Group&gt;&lt;/Citation&gt;_x000a_"/>
    <w:docVar w:name="NE.Ref{2961B4A5-52CF-4561-8151-D1EAEA8FF641}" w:val=" ADDIN NE.Ref.{2961B4A5-52CF-4561-8151-D1EAEA8FF641}&lt;Citation&gt;&lt;Group&gt;&lt;References&gt;&lt;Item&gt;&lt;ID&gt;516&lt;/ID&gt;&lt;UID&gt;{4D467DE4-097B-401A-872C-B7390C9B6EA5}&lt;/UID&gt;&lt;Title&gt;Malignant Melanoma: Beyond the Basics&lt;/Title&gt;&lt;Template&gt;Journal Article&lt;/Template&gt;&lt;Star&gt;0&lt;/Star&gt;&lt;Tag&gt;0&lt;/Tag&gt;&lt;Author&gt;Pavri, S N; Clune, J; Ariyan, S; Narayan, D&lt;/Author&gt;&lt;Year&gt;2016&lt;/Year&gt;&lt;Details&gt;&lt;_accession_num&gt;27465194&lt;/_accession_num&gt;&lt;_author_adr&gt;New Haven, Conn.; From the Section of Plastic and Reconstructive Surgery, Yale University School of Medicine.; New Haven, Conn.; From the Section of Plastic and Reconstructive Surgery, Yale University School of Medicine.; New Haven, Conn.; From the Section of Plastic and Reconstructive Surgery, Yale University School of Medicine.; New Haven, Conn.; From the Section of Plastic and Reconstructive Surgery, Yale University School of Medicine.&lt;/_author_adr&gt;&lt;_collection_scope&gt;SCI;SCIE&lt;/_collection_scope&gt;&lt;_created&gt;64552263&lt;/_created&gt;&lt;_date&gt;2016-08-01&lt;/_date&gt;&lt;_date_display&gt;2016 Aug&lt;/_date_display&gt;&lt;_db_updated&gt;PubMed&lt;/_db_updated&gt;&lt;_doi&gt;10.1097/PRS.0000000000002367&lt;/_doi&gt;&lt;_impact_factor&gt;   5.169&lt;/_impact_factor&gt;&lt;_isbn&gt;1529-4242 (Electronic); 0032-1052 (Linking)&lt;/_isbn&gt;&lt;_issue&gt;2&lt;/_issue&gt;&lt;_journal&gt;Plast Reconstr Surg&lt;/_journal&gt;&lt;_language&gt;eng&lt;/_language&gt;&lt;_modified&gt;64552263&lt;/_modified&gt;&lt;_pages&gt;330e-340e&lt;/_pages&gt;&lt;_subject_headings&gt;Biopsy; Combined Modality Therapy; Diagnosis, Differential; *Disease Management; Humans; Melanoma/*diagnosis/*therapy; Skin/*pathology; Skin Neoplasms&lt;/_subject_headings&gt;&lt;_tertiary_title&gt;Plastic and reconstructive surgery&lt;/_tertiary_title&gt;&lt;_type_work&gt;Journal Article; Review&lt;/_type_work&gt;&lt;_url&gt;http://www.ncbi.nlm.nih.gov/entrez/query.fcgi?cmd=Retrieve&amp;amp;db=pubmed&amp;amp;dopt=Abstract&amp;amp;list_uids=27465194&amp;amp;query_hl=1&lt;/_url&gt;&lt;_volume&gt;138&lt;/_volume&gt;&lt;_social_category&gt;医学(2)&lt;/_social_category&gt;&lt;/Details&gt;&lt;Extra&gt;&lt;DBUID&gt;{F96A950B-833F-4880-A151-76DA2D6A2879}&lt;/DBUID&gt;&lt;/Extra&gt;&lt;/Item&gt;&lt;/References&gt;&lt;/Group&gt;&lt;Group&gt;&lt;References&gt;&lt;Item&gt;&lt;ID&gt;518&lt;/ID&gt;&lt;UID&gt;{FBD9F97D-CF74-48B4-9D13-4867FDA759AC}&lt;/UID&gt;&lt;Title&gt;The Growing Burden of Invasive Melanoma: Projections of Incidence Rates and Numbers of New Cases in Six Susceptible Populations through 2031&lt;/Title&gt;&lt;Template&gt;Journal Article&lt;/Template&gt;&lt;Star&gt;0&lt;/Star&gt;&lt;Tag&gt;0&lt;/Tag&gt;&lt;Author&gt;Whiteman, D C; Green, A C; Olsen, C M&lt;/Author&gt;&lt;Year&gt;2016&lt;/Year&gt;&lt;Details&gt;&lt;_accession_num&gt;26902923&lt;/_accession_num&gt;&lt;_author_adr&gt;QIMR Berghofer Medical Research Institute, 300 Herston Road, Herston, QLD 4006, Australia; The University of Queensland, School of Public Health, Herston Road, Herston, QLD 4006, Australia. Electronic address: david.whiteman@qimrberghofer.edu.au.; QIMR Berghofer Medical Research Institute, 300 Herston Road, Herston, QLD 4006, Australia; The University of Queensland, School of Public Health, Herston Road, Herston, QLD 4006, Australia; Cancer Research UK Manchester Institute and Institute of Inflammation and Repair, University of Manchester, Manchester, UK.; QIMR Berghofer Medical Research Institute, 300 Herston Road, Herston, QLD 4006, Australia; The University of Queensland, School of Public Health, Herston Road, Herston, QLD 4006, Australia.&lt;/_author_adr&gt;&lt;_collection_scope&gt;SCI;SCIE&lt;/_collection_scope&gt;&lt;_created&gt;64552266&lt;/_created&gt;&lt;_date&gt;2016-06-01&lt;/_date&gt;&lt;_date_display&gt;2016 Jun&lt;/_date_display&gt;&lt;_db_updated&gt;PubMed&lt;/_db_updated&gt;&lt;_doi&gt;10.1016/j.jid.2016.01.035&lt;/_doi&gt;&lt;_impact_factor&gt;   7.590&lt;/_impact_factor&gt;&lt;_isbn&gt;1523-1747 (Electronic); 0022-202X (Linking)&lt;/_isbn&gt;&lt;_issue&gt;6&lt;/_issue&gt;&lt;_journal&gt;J Invest Dermatol&lt;/_journal&gt;&lt;_language&gt;eng&lt;/_language&gt;&lt;_modified&gt;64552266&lt;/_modified&gt;&lt;_ori_publication&gt;Copyright (c) 2016 The Authors. Published by Elsevier Inc. All rights reserved.&lt;/_ori_publication&gt;&lt;_pages&gt;1161-1171&lt;/_pages&gt;&lt;_subject_headings&gt;Adult; Age Distribution; Aged; Aged, 80 and over; Australia/epidemiology; Female; Forecasting; *Global Health; Humans; Incidence; Internationality; Male; Melanoma/*epidemiology/*pathology/therapy; Middle Aged; Neoplasm Invasiveness/pathology; Norway/epidemiology; Predictive Value of Tests; *Registries; Retrospective Studies; Risk Assessment; Sex Distribution; Skin Neoplasms/*epidemiology/*pathology/therapy; Survival Analysis; Sweden/epidemiology; United Kingdom/epidemiology; United States; Young Adult&lt;/_subject_headings&gt;&lt;_tertiary_title&gt;The Journal of investigative dermatology&lt;/_tertiary_title&gt;&lt;_type_work&gt;Journal Article; Research Support, Non-U.S. Gov&amp;apos;t&lt;/_type_work&gt;&lt;_url&gt;http://www.ncbi.nlm.nih.gov/entrez/query.fcgi?cmd=Retrieve&amp;amp;db=pubmed&amp;amp;dopt=Abstract&amp;amp;list_uids=26902923&amp;amp;query_hl=1&lt;/_url&gt;&lt;_volume&gt;136&lt;/_volume&gt;&lt;_social_category&gt;医学(1)&lt;/_social_category&gt;&lt;/Details&gt;&lt;Extra&gt;&lt;DBUID&gt;{F96A950B-833F-4880-A151-76DA2D6A2879}&lt;/DBUID&gt;&lt;/Extra&gt;&lt;/Item&gt;&lt;/References&gt;&lt;/Group&gt;&lt;Group&gt;&lt;References&gt;&lt;Item&gt;&lt;ID&gt;517&lt;/ID&gt;&lt;UID&gt;{1FC81D66-D14C-4F2C-90E5-531A84BEDAD0}&lt;/UID&gt;&lt;Title&gt;European consensus-based interdisciplinary guideline for melanoma. Part 1: Diagnostics - Update 2019&lt;/Title&gt;&lt;Template&gt;Journal Article&lt;/Template&gt;&lt;Star&gt;0&lt;/Star&gt;&lt;Tag&gt;0&lt;/Tag&gt;&lt;Author&gt;Garbe, C; Amaral, T; Peris, K; Hauschild, A; Arenberger, P; Bastholt, L; Bataille, V; Del, Marmol V; Dreno, B; Fargnoli, M C; Grob, J J; Holler, C; Kaufmann, R; Lallas, A; Lebbe, C; Malvehy, J; Middleton, M; Moreno-Ramirez, D; Pellacani, G; Saiag, P; Stratigos, A J; Vieira, R; Zalaudek, I; Eggermont, AMM&lt;/Author&gt;&lt;Year&gt;2020&lt;/Year&gt;&lt;Details&gt;&lt;_accession_num&gt;31928887&lt;/_accession_num&gt;&lt;_author_adr&gt;Center for Dermatooncology, Department of Dermatology, Eberhard Karls University, Tuebingen, Germany. Electronic address: claus.garbe@med.uni-tuebingen.de.; Center for Dermatooncology, Department of Dermatology, Eberhard Karls University, Tuebingen, Germany; Portuguese Air Force Health Care Direction, Lisbon, Portugal.; Institute of Dermatology, Universita Cattolica, Rome, Italy; Fondazione Policlinico Universitario A. Gemelli - IRCCS, Rome, Italy.; Department of Dermatology, University Hospital Schleswig-Holstein (UKSH), Campus  Kiel, Kiel, Germany.; Department of Dermatovenerology, Third Faculty of Medicine, Charles University of Prague, Prague, Czech Republic.; Department of Oncology, Odense University Hospital, Denmark.; Twin Research and Genetic Epidemiology Unit, School of Basic &amp;amp; Medical Biosciences, King&amp;apos;s College London, London, SE1 7EH, UK.; Department of Dermatology, Erasme Hospital, Universite Libre de Bruxelles, Brussels, Belgium.; Dermatology Department, CHU Nantes, CIC 1413, CRCINA, University Nantes, Nantes,  France.; Department of Dermatology, University of L&amp;apos;Aquila, Italy.; University Department of Dermatology, Marseille, France.; Department of Dermatology, Medical University of Vienna, Austria.; Department of Dermatology, Venerology and Allergology, Frankfurt University Hospital, Frankfurt, Germany.; First Department of Dermatology, Aristotle University, Thessaloniki, Greece.; APHP Department of Dermatology, INSERM U976, University Paris 7 Diderot, Saint-Louis University Hospital, Paris, France.; Melanoma Unit, Department of Dermatology, Hospital Clinic, IDIBAPS, Barcelona, Spain.; NIHR Biomedical Research Center, University of Oxford, UK.; Medical-&amp;amp;-Surgical Dermatology Service, Hospital Universitario Virgen Macarena, Sevilla, Spain.; Dermatology Unit, University of Modena and Reggio Emilia, Modena, Italy.; University Department of Dermatology, Universite de Versailles-Saint Quentin en Yvelines, APHP, Boulogne, France.; 1st Department of Dermatology, University of Athens School of Medicine, Andreas Sygros Hospital, Athens, Greece.; Department of Dermatology and Venereology, Centro Hospitalar Universitario de Coimbra, Coimbra, Portugal.; Dermatology Clinic, Maggiore Hospital, University of Trieste, Trieste, Italy.; Princess Maxima Center, 3584 CS, Utrecht, the Netherlands.&lt;/_author_adr&gt;&lt;_collection_scope&gt;SCI;SCIE&lt;/_collection_scope&gt;&lt;_created&gt;64552265&lt;/_created&gt;&lt;_date&gt;2020-02-01&lt;/_date&gt;&lt;_date_display&gt;2020 Feb&lt;/_date_display&gt;&lt;_db_updated&gt;PubMed&lt;/_db_updated&gt;&lt;_doi&gt;10.1016/j.ejca.2019.11.014&lt;/_doi&gt;&lt;_impact_factor&gt;  10.002&lt;/_impact_factor&gt;&lt;_isbn&gt;1879-0852 (Electronic); 0959-8049 (Linking)&lt;/_isbn&gt;&lt;_journal&gt;Eur J Cancer&lt;/_journal&gt;&lt;_keywords&gt;*AJCC classification; *Confocal reflectance microscopy; *Cutaneous melanoma; *Dermatoscopy; *Follow-up examinations; *Imaging diagnostics; *Mutation testing; *Primary diagnosis; *Sequential digital dermatoscopy; *Total body photography&lt;/_keywords&gt;&lt;_language&gt;eng&lt;/_language&gt;&lt;_modified&gt;64579373&lt;/_modified&gt;&lt;_ori_publication&gt;Copyright (c) 2019. Published by Elsevier Ltd.&lt;/_ori_publication&gt;&lt;_pages&gt;141-158&lt;/_pages&gt;&lt;_social_category&gt;医学(1)&lt;/_social_category&gt;&lt;_subject_headings&gt;Combined Modality Therapy; Consensus; Diagnostic Imaging/*standards; European Union; Humans; *Interdisciplinary Communication; Melanoma/classification/*diagnosis/*therapy; Neoplasm Staging; Practice Guidelines as Topic/*standards&lt;/_subject_headings&gt;&lt;_tertiary_title&gt;European journal of cancer (Oxford, England : 1990)&lt;/_tertiary_title&gt;&lt;_type_work&gt;Journal Article&lt;/_type_work&gt;&lt;_url&gt;http://www.ncbi.nlm.nih.gov/entrez/query.fcgi?cmd=Retrieve&amp;amp;db=pubmed&amp;amp;dopt=Abstract&amp;amp;list_uids=31928887&amp;amp;query_hl=1&lt;/_url&gt;&lt;_volume&gt;126&lt;/_volume&gt;&lt;/Details&gt;&lt;Extra&gt;&lt;DBUID&gt;{F96A950B-833F-4880-A151-76DA2D6A2879}&lt;/DBUID&gt;&lt;/Extra&gt;&lt;/Item&gt;&lt;/References&gt;&lt;/Group&gt;&lt;Group&gt;&lt;References&gt;&lt;Item&gt;&lt;ID&gt;537&lt;/ID&gt;&lt;UID&gt;{0D115BF1-1BF8-485F-9BB1-A6F4D80A6A40}&lt;/UID&gt;&lt;Title&gt;Epidemiology of skin cancer&lt;/Title&gt;&lt;Template&gt;Journal Article&lt;/Template&gt;&lt;Star&gt;0&lt;/Star&gt;&lt;Tag&gt;0&lt;/Tag&gt;&lt;Author&gt;Leiter, U; Eigentler, T; Garbe, C&lt;/Author&gt;&lt;Year&gt;2014&lt;/Year&gt;&lt;Details&gt;&lt;_accession_num&gt;25207363&lt;/_accession_num&gt;&lt;_collection_scope&gt;SCIE&lt;/_collection_scope&gt;&lt;_created&gt;64553518&lt;/_created&gt;&lt;_date&gt;2014-01-20&lt;/_date&gt;&lt;_date_display&gt;2014&lt;/_date_display&gt;&lt;_db_updated&gt;PubMed&lt;/_db_updated&gt;&lt;_doi&gt;10.1007/978-1-4939-0437-2_7&lt;/_doi&gt;&lt;_impact_factor&gt;   3.650&lt;/_impact_factor&gt;&lt;_isbn&gt;0065-2598 (Print); 0065-2598 (Linking)&lt;/_isbn&gt;&lt;_journal&gt;Adv Exp Med Biol&lt;/_journal&gt;&lt;_language&gt;eng&lt;/_language&gt;&lt;_modified&gt;64553518&lt;/_modified&gt;&lt;_pages&gt;120-40&lt;/_pages&gt;&lt;_subject_headings&gt;Carcinoma, Basal Cell/*epidemiology/metabolism/pathology; Carcinoma, Squamous Cell/*epidemiology/metabolism/pathology; Europe/epidemiology; Female; Humans; Incidence; Male; Melanoma/*epidemiology/metabolism/pathology; Neoplasms, Radiation-Induced/*epidemiology/metabolism/pathology; Risk; Skin/metabolism/pathology/radiation effects; Skin Neoplasms/*epidemiology/metabolism/pathology; Skin Pigmentation/radiation effects; Ultraviolet Rays&lt;/_subject_headings&gt;&lt;_tertiary_title&gt;Advances in experimental medicine and biology&lt;/_tertiary_title&gt;&lt;_type_work&gt;Journal Article; Review&lt;/_type_work&gt;&lt;_url&gt;http://www.ncbi.nlm.nih.gov/entrez/query.fcgi?cmd=Retrieve&amp;amp;db=pubmed&amp;amp;dopt=Abstract&amp;amp;list_uids=25207363&amp;amp;query_hl=1&lt;/_url&gt;&lt;_volume&gt;810&lt;/_volume&gt;&lt;_social_category&gt;医学(4)&lt;/_social_category&gt;&lt;/Details&gt;&lt;Extra&gt;&lt;DBUID&gt;{F96A950B-833F-4880-A151-76DA2D6A2879}&lt;/DBUID&gt;&lt;/Extra&gt;&lt;/Item&gt;&lt;/References&gt;&lt;/Group&gt;&lt;/Citation&gt;_x000a_"/>
    <w:docVar w:name="NE.Ref{2DE8A1BC-FDA2-4E13-9A12-BADBBA8962FD}" w:val=" ADDIN NE.Ref.{2DE8A1BC-FDA2-4E13-9A12-BADBBA8962FD}&lt;Citation&gt;&lt;Group&gt;&lt;References&gt;&lt;Item&gt;&lt;ID&gt;545&lt;/ID&gt;&lt;UID&gt;{B8777E24-2262-440D-99B7-EB69A795C85F}&lt;/UID&gt;&lt;Title&gt;Cuproptosis: a copper-triggered modality of mitochondrial cell death&lt;/Title&gt;&lt;Template&gt;Journal Article&lt;/Template&gt;&lt;Star&gt;0&lt;/Star&gt;&lt;Tag&gt;0&lt;/Tag&gt;&lt;Author&gt;Tang, D; Chen, X; Kroemer, G&lt;/Author&gt;&lt;Year&gt;2022&lt;/Year&gt;&lt;Details&gt;&lt;_accession_num&gt;35354936&lt;/_accession_num&gt;&lt;_author_adr&gt;Department of Surgery, UT Southwestern Medical Center, Dallas, TX, USA. daolin.tang@utsouthwestern.edu.; Guangzhou Municipal and Guangdong Provincial Key Laboratory of Protein Modification and Degradation, School of Basic Medical Sciences, Affiliated Cancer Hospital &amp;amp; Institute of Guangzhou Medical University, Guangzhou, Guangdong, China.; Centre de Recherche des Cordeliers, Equipe labellisee par la Ligue contre le cancer, Universite de Paris, Sorbonne Universite, INSERM U1138, Institut Universitaire de France, Paris, France. kroemer@orange.fr.; Metabolomics and Cell Biology Platforms, Gustave Roussy Cancer Campus, Villejuif, France. kroemer@orange.fr.; Pole de Biologie, Hopital Europeen Georges Pompidou, AP-HP, Paris, France. kroemer@orange.fr.&lt;/_author_adr&gt;&lt;_collection_scope&gt;SCI;SCIE;CSCD&lt;/_collection_scope&gt;&lt;_created&gt;64554730&lt;/_created&gt;&lt;_date&gt;2022-05-01&lt;/_date&gt;&lt;_date_display&gt;2022 May&lt;/_date_display&gt;&lt;_db_updated&gt;PubMed&lt;/_db_updated&gt;&lt;_doi&gt;10.1038/s41422-022-00653-7&lt;/_doi&gt;&lt;_impact_factor&gt;  46.297&lt;/_impact_factor&gt;&lt;_isbn&gt;1748-7838 (Electronic); 1001-0602 (Linking)&lt;/_isbn&gt;&lt;_issue&gt;5&lt;/_issue&gt;&lt;_journal&gt;Cell Res&lt;/_journal&gt;&lt;_language&gt;eng&lt;/_language&gt;&lt;_modified&gt;64579349&lt;/_modified&gt;&lt;_pages&gt;417-418&lt;/_pages&gt;&lt;_social_category&gt;生物学(1)&lt;/_social_category&gt;&lt;_subject_headings&gt;Cell Death; *Copper/metabolism/pharmacology; *Mitochondria/metabolism&lt;/_subject_headings&gt;&lt;_tertiary_title&gt;Cell research&lt;/_tertiary_title&gt;&lt;_type_work&gt;Journal Article; Comment&lt;/_type_work&gt;&lt;_url&gt;http://www.ncbi.nlm.nih.gov/entrez/query.fcgi?cmd=Retrieve&amp;amp;db=pubmed&amp;amp;dopt=Abstract&amp;amp;list_uids=35354936&amp;amp;query_hl=1&lt;/_url&gt;&lt;_volume&gt;32&lt;/_volume&gt;&lt;/Details&gt;&lt;Extra&gt;&lt;DBUID&gt;{F96A950B-833F-4880-A151-76DA2D6A2879}&lt;/DBUID&gt;&lt;/Extra&gt;&lt;/Item&gt;&lt;/References&gt;&lt;/Group&gt;&lt;/Citation&gt;_x000a_"/>
    <w:docVar w:name="NE.Ref{3138A80C-429D-4531-82A4-D48D302B4D9E}" w:val=" ADDIN NE.Ref.{3138A80C-429D-4531-82A4-D48D302B4D9E}&lt;Citation&gt;&lt;Group&gt;&lt;References&gt;&lt;Item&gt;&lt;ID&gt;531&lt;/ID&gt;&lt;UID&gt;{3412815D-75EB-4A05-9F22-747A51152D34}&lt;/UID&gt;&lt;Title&gt;Melanoma: An update on systemic therapies&lt;/Title&gt;&lt;Template&gt;Journal Article&lt;/Template&gt;&lt;Star&gt;0&lt;/Star&gt;&lt;Tag&gt;0&lt;/Tag&gt;&lt;Author&gt;Skudalski, L; Waldman, R; Kerr, P E; Grant-Kels, J M&lt;/Author&gt;&lt;Year&gt;2022&lt;/Year&gt;&lt;Details&gt;&lt;_accession_num&gt;34915056&lt;/_accession_num&gt;&lt;_author_adr&gt;Department of Dermatology, University of Connecticut School of Medicine, Farmington, Connecticut.; Department of Dermatology, University of Connecticut School of Medicine, Farmington, Connecticut.; Department of Dermatology, University of Connecticut School of Medicine, Farmington, Connecticut.; Department of Dermatology, University of Connecticut School of Medicine, Farmington, Connecticut; Department of Dermatology, University of Florida College of Medicine, Gainesville, Florida. Electronic address: grant@uchc.edu.&lt;/_author_adr&gt;&lt;_date_display&gt;2022 Mar&lt;/_date_display&gt;&lt;_date&gt;2022-03-01&lt;/_date&gt;&lt;_doi&gt;10.1016/j.jaad.2021.09.075&lt;/_doi&gt;&lt;_isbn&gt;1097-6787 (Electronic); 0190-9622 (Linking)&lt;/_isbn&gt;&lt;_issue&gt;3&lt;/_issue&gt;&lt;_journal&gt;J Am Acad Dermatol&lt;/_journal&gt;&lt;_keywords&gt;*binimetinib; *cobimetinib; *cutaneous melanoma; *dabrafenib; *encorafenib; *imiquimod; *interleukin-2; *ipilimumab; *laherparepvec; *nivolumab; *pembrolizumab; *talimogene; *trametinib; *vemurafenib&lt;/_keywords&gt;&lt;_language&gt;eng&lt;/_language&gt;&lt;_ori_publication&gt;Copyright (c) 2021 American Academy of Dermatology, Inc. Published by Elsevier_x000d__x000a_      Inc. All rights reserved.&lt;/_ori_publication&gt;&lt;_pages&gt;515-524&lt;/_pages&gt;&lt;_subject_headings&gt;Education, Medical, Continuing; Humans; Immunotherapy; Melanoma/pathology/*therapy; Neoplasm Recurrence, Local/pathology/*therapy; Skin Neoplasms/pathology/*therapy&lt;/_subject_headings&gt;&lt;_tertiary_title&gt;Journal of the American Academy of Dermatology&lt;/_tertiary_title&gt;&lt;_type_work&gt;Journal Article; Review&lt;/_type_work&gt;&lt;_url&gt;http://www.ncbi.nlm.nih.gov/entrez/query.fcgi?cmd=Retrieve&amp;amp;db=pubmed&amp;amp;dopt=Abstract&amp;amp;list_uids=34915056&amp;amp;query_hl=1&lt;/_url&gt;&lt;_volume&gt;86&lt;/_volume&gt;&lt;_created&gt;64552310&lt;/_created&gt;&lt;_modified&gt;64552310&lt;/_modified&gt;&lt;_db_updated&gt;PubMed&lt;/_db_updated&gt;&lt;_impact_factor&gt;  15.487&lt;/_impact_factor&gt;&lt;_collection_scope&gt;SCI;SCIE&lt;/_collection_scope&gt;&lt;/Details&gt;&lt;Extra&gt;&lt;DBUID&gt;{F96A950B-833F-4880-A151-76DA2D6A2879}&lt;/DBUID&gt;&lt;/Extra&gt;&lt;/Item&gt;&lt;/References&gt;&lt;/Group&gt;&lt;/Citation&gt;_x000a_"/>
    <w:docVar w:name="NE.Ref{35D11B76-EEE7-4F83-B6FF-FF0819424EA8}" w:val=" ADDIN NE.Ref.{35D11B76-EEE7-4F83-B6FF-FF0819424EA8}&lt;Citation&gt;&lt;Group&gt;&lt;References&gt;&lt;Item&gt;&lt;ID&gt;535&lt;/ID&gt;&lt;UID&gt;{6BE0B90B-75C1-4749-A3D5-9A477DCC436B}&lt;/UID&gt;&lt;Title&gt;Revisiting determinants of prognosis in cutaneous melanoma&lt;/Title&gt;&lt;Template&gt;Journal Article&lt;/Template&gt;&lt;Star&gt;0&lt;/Star&gt;&lt;Tag&gt;0&lt;/Tag&gt;&lt;Author&gt;Weiss, S A; Hanniford, D; Hernando, E; Osman, I&lt;/Author&gt;&lt;Year&gt;2015&lt;/Year&gt;&lt;Details&gt;&lt;_accession_num&gt;26308244&lt;/_accession_num&gt;&lt;_author_adr&gt;Department of Medical Oncology, New York University School of Medicine, New York, New York.; Interdisciplinary Melanoma Cooperative Group, New York University School of Medicine, New York, New York.; Interdisciplinary Melanoma Cooperative Group, New York University School of Medicine, New York, New York.; Department of Pathology, New York University School of Medicine, New York, New York.; Interdisciplinary Melanoma Cooperative Group, New York University School of Medicine, New York, New York.; Department of Pathology, New York University School of Medicine, New York, New York.; Department of Medical Oncology, New York University School of Medicine, New York, New York.; Interdisciplinary Melanoma Cooperative Group, New York University School of Medicine, New York, New York.; Ronald O. Perelman Department of Dermatology, New York University School of Medicine, New York, New York.&lt;/_author_adr&gt;&lt;_date_display&gt;2015 Dec 1&lt;/_date_display&gt;&lt;_date&gt;2015-12-01&lt;/_date&gt;&lt;_doi&gt;10.1002/cncr.29634&lt;/_doi&gt;&lt;_isbn&gt;1097-0142 (Electronic); 0008-543X (Linking)&lt;/_isbn&gt;&lt;_issue&gt;23&lt;/_issue&gt;&lt;_journal&gt;Cancer&lt;/_journal&gt;&lt;_keywords&gt;biomarkers; genetics; melanoma; messenger RNA; microRNAs; prognostic; staging; tumor-infiltrating lymphocytes&lt;/_keywords&gt;&lt;_language&gt;eng&lt;/_language&gt;&lt;_ori_publication&gt;(c) 2015 American Cancer Society.&lt;/_ori_publication&gt;&lt;_pages&gt;4108-23&lt;/_pages&gt;&lt;_subject_headings&gt;Biomarkers, Tumor/*genetics/*immunology; Humans; Melanoma/genetics/immunology/*pathology; Neoplasm Staging; Prognosis; Skin Neoplasms/genetics/immunology/*pathology; Survival Analysis&lt;/_subject_headings&gt;&lt;_tertiary_title&gt;Cancer&lt;/_tertiary_title&gt;&lt;_type_work&gt;Journal Article; Research Support, N.I.H., Extramural; Research Support, U.S. Gov&amp;apos;t, Non-P.H.S.; Review&lt;/_type_work&gt;&lt;_url&gt;http://www.ncbi.nlm.nih.gov/entrez/query.fcgi?cmd=Retrieve&amp;amp;db=pubmed&amp;amp;dopt=Abstract&amp;amp;list_uids=26308244&amp;amp;query_hl=1&lt;/_url&gt;&lt;_volume&gt;121&lt;/_volume&gt;&lt;_created&gt;64553426&lt;/_created&gt;&lt;_modified&gt;64553426&lt;/_modified&gt;&lt;_db_updated&gt;PubMed&lt;/_db_updated&gt;&lt;_impact_factor&gt;   6.921&lt;/_impact_factor&gt;&lt;_collection_scope&gt;SCI;SCIE&lt;/_collection_scope&gt;&lt;/Details&gt;&lt;Extra&gt;&lt;DBUID&gt;{F96A950B-833F-4880-A151-76DA2D6A2879}&lt;/DBUID&gt;&lt;/Extra&gt;&lt;/Item&gt;&lt;/References&gt;&lt;/Group&gt;&lt;Group&gt;&lt;References&gt;&lt;Item&gt;&lt;ID&gt;536&lt;/ID&gt;&lt;UID&gt;{ADC2BF5C-DDB7-4F7F-A54D-348C67372D59}&lt;/UID&gt;&lt;Title&gt;Five-year survival in patients with nodular and superficial spreading melanomas in the US population&lt;/Title&gt;&lt;Template&gt;Journal Article&lt;/Template&gt;&lt;Star&gt;0&lt;/Star&gt;&lt;Tag&gt;0&lt;/Tag&gt;&lt;Author&gt;Allais, B S; Beatson, M; Wang, H; Shahbazi, S; Bijelic, L; Jang, S; Venna, S&lt;/Author&gt;&lt;Year&gt;2021&lt;/Year&gt;&lt;Details&gt;&lt;_accession_num&gt;33253834&lt;/_accession_num&gt;&lt;_author_adr&gt;Washington University Department of Dermatology, Washington, DC. Electronic address: blairallais@gwu.edu.; Memorial Sloan Kettering Cancer Center Department of Medicine, New York, NY.; Georgetown University Departments of Biostatistics, Bioinformatics, and Biomathematics, Washington, DC.; Georgetown University Departments of Medicine, Washington, DC.; Hospital de Sant Joan Despi Moises Broggi, Barcelona, Spain.; University of Virginia School of Medicine, Charlottesville, VA; Inova Melanoma and Skin Cancer Center, Inova Schar Cancer Institute, Fairfax, VA.; University of Virginia School of Medicine, Charlottesville, VA; Inova Melanoma and Skin Cancer Center, Inova Schar Cancer Institute, Fairfax, VA.&lt;/_author_adr&gt;&lt;_date_display&gt;2021 Apr&lt;/_date_display&gt;&lt;_date&gt;2021-04-01&lt;/_date&gt;&lt;_doi&gt;10.1016/j.jaad.2020.11.047&lt;/_doi&gt;&lt;_isbn&gt;1097-6787 (Electronic); 0190-9622 (Linking)&lt;/_isbn&gt;&lt;_issue&gt;4&lt;/_issue&gt;&lt;_journal&gt;J Am Acad Dermatol&lt;/_journal&gt;&lt;_keywords&gt;5-year survival; nodular melanoma; overall survival; superficial spreading melanoma&lt;/_keywords&gt;&lt;_language&gt;eng&lt;/_language&gt;&lt;_ori_publication&gt;Copyright (c) 2020 American Academy of Dermatology, Inc. Published by Elsevier_x000d__x000a_      Inc. All rights reserved.&lt;/_ori_publication&gt;&lt;_pages&gt;1015-1022&lt;/_pages&gt;&lt;_subject_headings&gt;Adult; Aged; Cross-Sectional Studies; Female; Humans; Kaplan-Meier Estimate; Male; Melanoma/classification/*mortality/pathology; Middle Aged; Neoplasm Invasiveness; Neoplasm Staging; Retrospective Studies; SEER Program; Skin Neoplasms/*mortality/pathology; Skin Ulcer/epidemiology/etiology; United States/epidemiology&lt;/_subject_headings&gt;&lt;_tertiary_title&gt;Journal of the American Academy of Dermatology&lt;/_tertiary_title&gt;&lt;_type_work&gt;Journal Article&lt;/_type_work&gt;&lt;_url&gt;http://www.ncbi.nlm.nih.gov/entrez/query.fcgi?cmd=Retrieve&amp;amp;db=pubmed&amp;amp;dopt=Abstract&amp;amp;list_uids=33253834&amp;amp;query_hl=1&lt;/_url&gt;&lt;_volume&gt;84&lt;/_volume&gt;&lt;_created&gt;64553433&lt;/_created&gt;&lt;_modified&gt;64553433&lt;/_modified&gt;&lt;_db_updated&gt;PubMed&lt;/_db_updated&gt;&lt;_impact_factor&gt;  15.487&lt;/_impact_factor&gt;&lt;_collection_scope&gt;SCI;SCIE&lt;/_collection_scope&gt;&lt;/Details&gt;&lt;Extra&gt;&lt;DBUID&gt;{F96A950B-833F-4880-A151-76DA2D6A2879}&lt;/DBUID&gt;&lt;/Extra&gt;&lt;/Item&gt;&lt;/References&gt;&lt;/Group&gt;&lt;/Citation&gt;_x000a_"/>
    <w:docVar w:name="NE.Ref{491973D1-4EC3-4D67-8801-887B454F0F7E}" w:val=" ADDIN NE.Ref.{491973D1-4EC3-4D67-8801-887B454F0F7E}&lt;Citation&gt;&lt;Group&gt;&lt;References&gt;&lt;Item&gt;&lt;ID&gt;543&lt;/ID&gt;&lt;UID&gt;{418DEDC7-C91E-4E94-9C6A-983755C6855D}&lt;/UID&gt;&lt;Title&gt;Non-Apoptotic Cell Death Signaling Pathways in Melanoma&lt;/Title&gt;&lt;Template&gt;Journal Article&lt;/Template&gt;&lt;Star&gt;0&lt;/Star&gt;&lt;Tag&gt;0&lt;/Tag&gt;&lt;Author&gt;Hartman, M L&lt;/Author&gt;&lt;Year&gt;2020&lt;/Year&gt;&lt;Details&gt;&lt;_accession_num&gt;32340261&lt;/_accession_num&gt;&lt;_author_adr&gt;Department of Molecular Biology of Cancer, Medical University of Lodz, 6/8 Mazowiecka Street, 92-215 Lodz, Poland.&lt;/_author_adr&gt;&lt;_date_display&gt;2020 Apr 23&lt;/_date_display&gt;&lt;_date&gt;2020-04-23&lt;/_date&gt;&lt;_doi&gt;10.3390/ijms21082980&lt;/_doi&gt;&lt;_isbn&gt;1422-0067 (Electronic); 1422-0067 (Linking)&lt;/_isbn&gt;&lt;_issue&gt;8&lt;/_issue&gt;&lt;_journal&gt;Int J Mol Sci&lt;/_journal&gt;&lt;_keywords&gt;autophagy; differentiation; drug resistance; ferroptosis; melanoma; necroptosis; parthanatos; pyroptosis; reactive oxygen species (ROS); targeted therapy&lt;/_keywords&gt;&lt;_language&gt;eng&lt;/_language&gt;&lt;_subject_headings&gt;Animals; Autophagic Cell Death; Biomarkers, Tumor; Cell Death; *Disease Susceptibility; Ferroptosis/genetics; Gene Expression Regulation, Neoplastic; Humans; Melanoma/diagnosis/*etiology/*metabolism/therapy; Necroptosis/genetics; Pyroptosis; Reactive Oxygen Species/metabolism; *Signal Transduction&lt;/_subject_headings&gt;&lt;_tertiary_title&gt;International journal of molecular sciences&lt;/_tertiary_title&gt;&lt;_type_work&gt;Journal Article; Review&lt;/_type_work&gt;&lt;_url&gt;http://www.ncbi.nlm.nih.gov/entrez/query.fcgi?cmd=Retrieve&amp;amp;db=pubmed&amp;amp;dopt=Abstract&amp;amp;list_uids=32340261&amp;amp;query_hl=1&lt;/_url&gt;&lt;_volume&gt;21&lt;/_volume&gt;&lt;_created&gt;64554382&lt;/_created&gt;&lt;_modified&gt;64554382&lt;/_modified&gt;&lt;_db_updated&gt;PubMed&lt;/_db_updated&gt;&lt;_impact_factor&gt;   6.208&lt;/_impact_factor&gt;&lt;_collection_scope&gt;SCIE&lt;/_collection_scope&gt;&lt;/Details&gt;&lt;Extra&gt;&lt;DBUID&gt;{F96A950B-833F-4880-A151-76DA2D6A2879}&lt;/DBUID&gt;&lt;/Extra&gt;&lt;/Item&gt;&lt;/References&gt;&lt;/Group&gt;&lt;/Citation&gt;_x000a_"/>
    <w:docVar w:name="NE.Ref{4AC0080E-F765-45C9-9E7B-C83F21206A55}" w:val=" ADDIN NE.Ref.{4AC0080E-F765-45C9-9E7B-C83F21206A55}&lt;Citation&gt;&lt;Group&gt;&lt;References&gt;&lt;Item&gt;&lt;ID&gt;551&lt;/ID&gt;&lt;UID&gt;{52014FF5-2278-4D58-89E6-2AD7B144B320}&lt;/UID&gt;&lt;Title&gt;Cuproptosis: a new form of programmed cell death&lt;/Title&gt;&lt;Template&gt;Journal Article&lt;/Template&gt;&lt;Star&gt;0&lt;/Star&gt;&lt;Tag&gt;0&lt;/Tag&gt;&lt;Author&gt;Wang, Y; Zhang, L; Zhou, F&lt;/Author&gt;&lt;Year&gt;2022&lt;/Year&gt;&lt;Details&gt;&lt;_accession_num&gt;35459854&lt;/_accession_num&gt;&lt;_author_adr&gt;Institutes of Biology and Medical Science, Soochow University, Suzhou, 215123, China.; MOE Laboratory of Biosystems Homeostasis and Protection and Innovation Center for Cell Signaling Network, Life Sciences Institute, Zhejiang University, Hangzhou, 310058, China. zhanglong.2003@tsinghua.org.cn.; Institutes of Biology and Medical Science, Soochow University, Suzhou, 215123, China. zhoufangfang@suda.edu.cn.&lt;/_author_adr&gt;&lt;_date_display&gt;2022 Aug&lt;/_date_display&gt;&lt;_date&gt;2022-08-01&lt;/_date&gt;&lt;_doi&gt;10.1038/s41423-022-00866-1&lt;/_doi&gt;&lt;_isbn&gt;2042-0226 (Electronic); 1672-7681 (Linking)&lt;/_isbn&gt;&lt;_issue&gt;8&lt;/_issue&gt;&lt;_journal&gt;Cell Mol Immunol&lt;/_journal&gt;&lt;_language&gt;eng&lt;/_language&gt;&lt;_pages&gt;867-868&lt;/_pages&gt;&lt;_subject_headings&gt;*Apoptosis&lt;/_subject_headings&gt;&lt;_tertiary_title&gt;Cellular &amp;amp; molecular immunology&lt;/_tertiary_title&gt;&lt;_type_work&gt;Journal Article; Research Support, Non-U.S. Gov&amp;apos;t; Comment&lt;/_type_work&gt;&lt;_url&gt;http://www.ncbi.nlm.nih.gov/entrez/query.fcgi?cmd=Retrieve&amp;amp;db=pubmed&amp;amp;dopt=Abstract&amp;amp;list_uids=35459854&amp;amp;query_hl=1&lt;/_url&gt;&lt;_volume&gt;19&lt;/_volume&gt;&lt;_created&gt;64583541&lt;/_created&gt;&lt;_modified&gt;64583541&lt;/_modified&gt;&lt;_db_updated&gt;PubMed&lt;/_db_updated&gt;&lt;_impact_factor&gt;  22.096&lt;/_impact_factor&gt;&lt;_social_category&gt;医学(1)&lt;/_social_category&gt;&lt;_collection_scope&gt;CSCD;SCIE&lt;/_collection_scope&gt;&lt;/Details&gt;&lt;Extra&gt;&lt;DBUID&gt;{F96A950B-833F-4880-A151-76DA2D6A2879}&lt;/DBUID&gt;&lt;/Extra&gt;&lt;/Item&gt;&lt;/References&gt;&lt;/Group&gt;&lt;/Citation&gt;_x000a_"/>
    <w:docVar w:name="NE.Ref{5D5232C9-FA23-401E-A60D-AE0F3B0A218E}" w:val=" ADDIN NE.Ref.{5D5232C9-FA23-401E-A60D-AE0F3B0A218E}&lt;Citation&gt;&lt;Group&gt;&lt;References&gt;&lt;Item&gt;&lt;ID&gt;536&lt;/ID&gt;&lt;UID&gt;{ADC2BF5C-DDB7-4F7F-A54D-348C67372D59}&lt;/UID&gt;&lt;Title&gt;Five-year survival in patients with nodular and superficial spreading melanomas in the US population&lt;/Title&gt;&lt;Template&gt;Journal Article&lt;/Template&gt;&lt;Star&gt;0&lt;/Star&gt;&lt;Tag&gt;0&lt;/Tag&gt;&lt;Author&gt;Allais, B S; Beatson, M; Wang, H; Shahbazi, S; Bijelic, L; Jang, S; Venna, S&lt;/Author&gt;&lt;Year&gt;2021&lt;/Year&gt;&lt;Details&gt;&lt;_accession_num&gt;33253834&lt;/_accession_num&gt;&lt;_author_adr&gt;Washington University Department of Dermatology, Washington, DC. Electronic address: blairallais@gwu.edu.; Memorial Sloan Kettering Cancer Center Department of Medicine, New York, NY.; Georgetown University Departments of Biostatistics, Bioinformatics, and Biomathematics, Washington, DC.; Georgetown University Departments of Medicine, Washington, DC.; Hospital de Sant Joan Despi Moises Broggi, Barcelona, Spain.; University of Virginia School of Medicine, Charlottesville, VA; Inova Melanoma and Skin Cancer Center, Inova Schar Cancer Institute, Fairfax, VA.; University of Virginia School of Medicine, Charlottesville, VA; Inova Melanoma and Skin Cancer Center, Inova Schar Cancer Institute, Fairfax, VA.&lt;/_author_adr&gt;&lt;_collection_scope&gt;SCI;SCIE&lt;/_collection_scope&gt;&lt;_created&gt;64553433&lt;/_created&gt;&lt;_date&gt;2021-04-01&lt;/_date&gt;&lt;_date_display&gt;2021 Apr&lt;/_date_display&gt;&lt;_db_updated&gt;PubMed&lt;/_db_updated&gt;&lt;_doi&gt;10.1016/j.jaad.2020.11.047&lt;/_doi&gt;&lt;_impact_factor&gt;  15.487&lt;/_impact_factor&gt;&lt;_isbn&gt;1097-6787 (Electronic); 0190-9622 (Linking)&lt;/_isbn&gt;&lt;_issue&gt;4&lt;/_issue&gt;&lt;_journal&gt;J Am Acad Dermatol&lt;/_journal&gt;&lt;_keywords&gt;5-year survival; nodular melanoma; overall survival; superficial spreading melanoma&lt;/_keywords&gt;&lt;_language&gt;eng&lt;/_language&gt;&lt;_modified&gt;64579373&lt;/_modified&gt;&lt;_ori_publication&gt;Copyright (c) 2020 American Academy of Dermatology, Inc. Published by Elsevier_x000d__x000a_      Inc. All rights reserved.&lt;/_ori_publication&gt;&lt;_pages&gt;1015-1022&lt;/_pages&gt;&lt;_social_category&gt;医学(1)&lt;/_social_category&gt;&lt;_subject_headings&gt;Adult; Aged; Cross-Sectional Studies; Female; Humans; Kaplan-Meier Estimate; Male; Melanoma/classification/*mortality/pathology; Middle Aged; Neoplasm Invasiveness; Neoplasm Staging; Retrospective Studies; SEER Program; Skin Neoplasms/*mortality/pathology; Skin Ulcer/epidemiology/etiology; United States/epidemiology&lt;/_subject_headings&gt;&lt;_tertiary_title&gt;Journal of the American Academy of Dermatology&lt;/_tertiary_title&gt;&lt;_type_work&gt;Journal Article&lt;/_type_work&gt;&lt;_url&gt;http://www.ncbi.nlm.nih.gov/entrez/query.fcgi?cmd=Retrieve&amp;amp;db=pubmed&amp;amp;dopt=Abstract&amp;amp;list_uids=33253834&amp;amp;query_hl=1&lt;/_url&gt;&lt;_volume&gt;84&lt;/_volume&gt;&lt;/Details&gt;&lt;Extra&gt;&lt;DBUID&gt;{F96A950B-833F-4880-A151-76DA2D6A2879}&lt;/DBUID&gt;&lt;/Extra&gt;&lt;/Item&gt;&lt;/References&gt;&lt;/Group&gt;&lt;Group&gt;&lt;References&gt;&lt;Item&gt;&lt;ID&gt;535&lt;/ID&gt;&lt;UID&gt;{6BE0B90B-75C1-4749-A3D5-9A477DCC436B}&lt;/UID&gt;&lt;Title&gt;Revisiting determinants of prognosis in cutaneous melanoma&lt;/Title&gt;&lt;Template&gt;Journal Article&lt;/Template&gt;&lt;Star&gt;0&lt;/Star&gt;&lt;Tag&gt;0&lt;/Tag&gt;&lt;Author&gt;Weiss, S A; Hanniford, D; Hernando, E; Osman, I&lt;/Author&gt;&lt;Year&gt;2015&lt;/Year&gt;&lt;Details&gt;&lt;_accession_num&gt;26308244&lt;/_accession_num&gt;&lt;_author_adr&gt;Department of Medical Oncology, New York University School of Medicine, New York, New York.; Interdisciplinary Melanoma Cooperative Group, New York University School of Medicine, New York, New York.; Interdisciplinary Melanoma Cooperative Group, New York University School of Medicine, New York, New York.; Department of Pathology, New York University School of Medicine, New York, New York.; Interdisciplinary Melanoma Cooperative Group, New York University School of Medicine, New York, New York.; Department of Pathology, New York University School of Medicine, New York, New York.; Department of Medical Oncology, New York University School of Medicine, New York, New York.; Interdisciplinary Melanoma Cooperative Group, New York University School of Medicine, New York, New York.; Ronald O. Perelman Department of Dermatology, New York University School of Medicine, New York, New York.&lt;/_author_adr&gt;&lt;_collection_scope&gt;SCI;SCIE&lt;/_collection_scope&gt;&lt;_created&gt;64553426&lt;/_created&gt;&lt;_date&gt;2015-12-01&lt;/_date&gt;&lt;_date_display&gt;2015 Dec 1&lt;/_date_display&gt;&lt;_db_updated&gt;PubMed&lt;/_db_updated&gt;&lt;_doi&gt;10.1002/cncr.29634&lt;/_doi&gt;&lt;_impact_factor&gt;   6.921&lt;/_impact_factor&gt;&lt;_isbn&gt;1097-0142 (Electronic); 0008-543X (Linking)&lt;/_isbn&gt;&lt;_issue&gt;23&lt;/_issue&gt;&lt;_journal&gt;Cancer&lt;/_journal&gt;&lt;_keywords&gt;biomarkers; genetics; melanoma; messenger RNA; microRNAs; prognostic; staging; tumor-infiltrating lymphocytes&lt;/_keywords&gt;&lt;_language&gt;eng&lt;/_language&gt;&lt;_modified&gt;64553426&lt;/_modified&gt;&lt;_ori_publication&gt;(c) 2015 American Cancer Society.&lt;/_ori_publication&gt;&lt;_pages&gt;4108-23&lt;/_pages&gt;&lt;_subject_headings&gt;Biomarkers, Tumor/*genetics/*immunology; Humans; Melanoma/genetics/immunology/*pathology; Neoplasm Staging; Prognosis; Skin Neoplasms/genetics/immunology/*pathology; Survival Analysis&lt;/_subject_headings&gt;&lt;_tertiary_title&gt;Cancer&lt;/_tertiary_title&gt;&lt;_type_work&gt;Journal Article; Research Support, N.I.H., Extramural; Research Support, U.S. Gov&amp;apos;t, Non-P.H.S.; Review&lt;/_type_work&gt;&lt;_url&gt;http://www.ncbi.nlm.nih.gov/entrez/query.fcgi?cmd=Retrieve&amp;amp;db=pubmed&amp;amp;dopt=Abstract&amp;amp;list_uids=26308244&amp;amp;query_hl=1&lt;/_url&gt;&lt;_volume&gt;121&lt;/_volume&gt;&lt;_social_category&gt;医学(1)&lt;/_social_category&gt;&lt;/Details&gt;&lt;Extra&gt;&lt;DBUID&gt;{F96A950B-833F-4880-A151-76DA2D6A2879}&lt;/DBUID&gt;&lt;/Extra&gt;&lt;/Item&gt;&lt;/References&gt;&lt;/Group&gt;&lt;/Citation&gt;_x000a_"/>
    <w:docVar w:name="NE.Ref{615B2017-9C6D-49C3-8052-268D60A7B239}" w:val=" ADDIN NE.Ref.{615B2017-9C6D-49C3-8052-268D60A7B239}&lt;Citation&gt;&lt;Group&gt;&lt;References&gt;&lt;Item&gt;&lt;ID&gt;538&lt;/ID&gt;&lt;UID&gt;{B666758B-D7B1-4919-A537-B02C99D00D73}&lt;/UID&gt;&lt;Title&gt;Cuproptosis-Related Risk Score Predicts Prognosis and Characterizes the Tumor Microenvironment in Hepatocellular Carcinoma&lt;/Title&gt;&lt;Template&gt;Journal Article&lt;/Template&gt;&lt;Star&gt;0&lt;/Star&gt;&lt;Tag&gt;0&lt;/Tag&gt;&lt;Author&gt;Zhang, Z; Zeng, X; Wu, Y; Liu, Y; Zhang, X; Song, Z&lt;/Author&gt;&lt;Year&gt;2022&lt;/Year&gt;&lt;Details&gt;&lt;_accession_num&gt;35898502&lt;/_accession_num&gt;&lt;_author_adr&gt;Department of Oncology, The Third Xiangya Hospital of Central South University, Changsha, China.; Department of Gynecology, The Third Xiangya Hospital of Central South University, Changsha, China.; Xiangya School of Medicine, Central South University, Changsha, China.; Department of Pathology, The Third Xiangya Hospital of Central South University,  Changsha, China.; Department of Oncology, The Third Xiangya Hospital of Central South University, Changsha, China.; Department of Oncology, The Third Xiangya Hospital of Central South University, Changsha, China.&lt;/_author_adr&gt;&lt;_collection_scope&gt;SCIE&lt;/_collection_scope&gt;&lt;_created&gt;64553722&lt;/_created&gt;&lt;_date&gt;2022-01-20&lt;/_date&gt;&lt;_date_display&gt;2022&lt;/_date_display&gt;&lt;_db_updated&gt;PubMed&lt;/_db_updated&gt;&lt;_doi&gt;10.3389/fimmu.2022.925618&lt;/_doi&gt;&lt;_impact_factor&gt;   8.786&lt;/_impact_factor&gt;&lt;_isbn&gt;1664-3224 (Electronic); 1664-3224 (Linking)&lt;/_isbn&gt;&lt;_journal&gt;Front Immunol&lt;/_journal&gt;&lt;_keywords&gt;*Cuproptosis; *FDX1; *hepatocellular carcinoma; *prognostic model; *tumor microenvironment&lt;/_keywords&gt;&lt;_language&gt;eng&lt;/_language&gt;&lt;_modified&gt;64579349&lt;/_modified&gt;&lt;_ori_publication&gt;Copyright (c) 2022 Zhang, Zeng, Wu, Liu, Zhang and Song.&lt;/_ori_publication&gt;&lt;_pages&gt;925618&lt;/_pages&gt;&lt;_social_category&gt;医学(2)&lt;/_social_category&gt;&lt;_subject_headings&gt;*Carcinoma, Hepatocellular/genetics/metabolism/therapy; *Chemoembolization, Therapeutic; Humans; Kaplan-Meier Estimate; *Liver Neoplasms/genetics/metabolism/therapy; Prognosis; Risk Factors; Tumor Microenvironment/genetics&lt;/_subject_headings&gt;&lt;_tertiary_title&gt;Frontiers in immunology&lt;/_tertiary_title&gt;&lt;_type_work&gt;Journal Article; Research Support, Non-U.S. Gov&amp;apos;t&lt;/_type_work&gt;&lt;_url&gt;http://www.ncbi.nlm.nih.gov/entrez/query.fcgi?cmd=Retrieve&amp;amp;db=pubmed&amp;amp;dopt=Abstract&amp;amp;list_uids=35898502&amp;amp;query_hl=1&lt;/_url&gt;&lt;_volume&gt;13&lt;/_volume&gt;&lt;/Details&gt;&lt;Extra&gt;&lt;DBUID&gt;{F96A950B-833F-4880-A151-76DA2D6A2879}&lt;/DBUID&gt;&lt;/Extra&gt;&lt;/Item&gt;&lt;/References&gt;&lt;/Group&gt;&lt;Group&gt;&lt;References&gt;&lt;Item&gt;&lt;ID&gt;539&lt;/ID&gt;&lt;UID&gt;{0700C9F4-A0DC-4863-80A4-241021CBF006}&lt;/UID&gt;&lt;Title&gt;Prognostic analysis of cuproptosis-related gene in triple-negative breast cancer&lt;/Title&gt;&lt;Template&gt;Journal Article&lt;/Template&gt;&lt;Star&gt;0&lt;/Star&gt;&lt;Tag&gt;0&lt;/Tag&gt;&lt;Author&gt;Sha, S; Si, L; Wu, X; Chen, Y; Xiong, H; Xu, Y; Liu, W; Mei, H; Wang, T; Li, M&lt;/Author&gt;&lt;Year&gt;2022&lt;/Year&gt;&lt;Details&gt;&lt;_accession_num&gt;35979353&lt;/_accession_num&gt;&lt;_author_adr&gt;Department of Oncology, Affiliated Hospital of Nantong University, Medical School of Nantong University, Nantong, China.; Department of General Surgery, Affiliated Hospital of Nantong University, Medical School of Nantong University, Nantong, China.; Department of Clinical Medicine, Medical School of Nantong University, Nantong, China.; Department of Neurosurgery, Affiliated Hospital of Youjiang Medical University for Nationalities, Baise, China.; Department of Cardiothoracic Surgery, Affiliated Hospital of Nantong, University, Medical School of Nantong University, Nantong, China.; Department of Rehabilitation Medicine, Affiliated Hospital of Nantong University, Medical School of Nantong University, Nantong, China.; Department of Neurosurgery, Affiliated Hospital of Youjiang Medical University for Nationalities, Baise, China.; Department of Interventional Oncology, Renji Hospital, Shanghai Jiao Tong University School of Medicine, Shanghai, China.; Department of General Surgery, Affiliated Hospital of Nantong University, Medical School of Nantong University, Nantong, China.; Department of Interventional Oncology, Renji Hospital, Shanghai Jiao Tong University School of Medicine, Shanghai, China.; Department of Oncology, Affiliated Hospital of Nantong University, Medical School of Nantong University, Nantong, China.&lt;/_author_adr&gt;&lt;_collection_scope&gt;SCIE&lt;/_collection_scope&gt;&lt;_created&gt;64553722&lt;/_created&gt;&lt;_date&gt;2022-01-20&lt;/_date&gt;&lt;_date_display&gt;2022&lt;/_date_display&gt;&lt;_db_updated&gt;PubMed&lt;/_db_updated&gt;&lt;_doi&gt;10.3389/fimmu.2022.922780&lt;/_doi&gt;&lt;_impact_factor&gt;   8.786&lt;/_impact_factor&gt;&lt;_isbn&gt;1664-3224 (Electronic); 1664-3224 (Linking)&lt;/_isbn&gt;&lt;_journal&gt;Front Immunol&lt;/_journal&gt;&lt;_keywords&gt;*cuproptosis; *immunotherapy; *triple-negative breast cancer; *tumor microenvironment; *tumor mutation burden&lt;/_keywords&gt;&lt;_language&gt;eng&lt;/_language&gt;&lt;_modified&gt;64579349&lt;/_modified&gt;&lt;_ori_publication&gt;Copyright (c) 2022 Sha, Si, Wu, Chen, Xiong, Xu, Liu, Mei, Wang and Li.&lt;/_ori_publication&gt;&lt;_pages&gt;922780&lt;/_pages&gt;&lt;_social_category&gt;医学(2)&lt;/_social_category&gt;&lt;_subject_headings&gt;Biomarkers, Tumor/genetics; Humans; Nomograms; Prognosis; *Triple Negative Breast Neoplasms/pathology; Tumor Microenvironment/genetics&lt;/_subject_headings&gt;&lt;_tertiary_title&gt;Frontiers in immunology&lt;/_tertiary_title&gt;&lt;_type_work&gt;Journal Article; Research Support, Non-U.S. Gov&amp;apos;t&lt;/_type_work&gt;&lt;_url&gt;http://www.ncbi.nlm.nih.gov/entrez/query.fcgi?cmd=Retrieve&amp;amp;db=pubmed&amp;amp;dopt=Abstract&amp;amp;list_uids=35979353&amp;amp;query_hl=1&lt;/_url&gt;&lt;_volume&gt;13&lt;/_volume&gt;&lt;/Details&gt;&lt;Extra&gt;&lt;DBUID&gt;{F96A950B-833F-4880-A151-76DA2D6A2879}&lt;/DBUID&gt;&lt;/Extra&gt;&lt;/Item&gt;&lt;/References&gt;&lt;/Group&gt;&lt;Group&gt;&lt;References&gt;&lt;Item&gt;&lt;ID&gt;540&lt;/ID&gt;&lt;UID&gt;{B3E2C02E-5DB9-4CCB-8D91-BFBAB02A8896}&lt;/UID&gt;&lt;Title&gt;Cuproptosis predicts the risk and clinical outcomes of lung adenocarcinoma&lt;/Title&gt;&lt;Template&gt;Journal Article&lt;/Template&gt;&lt;Star&gt;0&lt;/Star&gt;&lt;Tag&gt;0&lt;/Tag&gt;&lt;Author&gt;Hu, Q; Wang, R; Ma, H; Zhang, Z; Xue, Q&lt;/Author&gt;&lt;Year&gt;2022&lt;/Year&gt;&lt;Details&gt;&lt;_accession_num&gt;36003780&lt;/_accession_num&gt;&lt;_author_adr&gt;Research Center of Clinical Medicine, Affiliated Hospital of Nantong University,  Nantong, China.; Medical School of Nantong University, Nantong University, Nantong, China.; Department of Oncology, The First Affiliated Hospital of Nanjing Medical University, Nanjing, China.; Research Center of Clinical Medicine, Affiliated Hospital of Nantong University,  Nantong, China.; Medical School of Nantong University, Nantong University, Nantong, China.; Research Center of Clinical Medicine, Affiliated Hospital of Nantong University,  Nantong, China.; Medical School of Nantong University, Nantong University, Nantong, China.; Department of Cardiothoracic Surgery, Affiliated Hospital of Nantong University,  Nantong, China.&lt;/_author_adr&gt;&lt;_collection_scope&gt;SCIE&lt;/_collection_scope&gt;&lt;_created&gt;64553723&lt;/_created&gt;&lt;_date&gt;2022-01-20&lt;/_date&gt;&lt;_date_display&gt;2022&lt;/_date_display&gt;&lt;_db_updated&gt;PubMed&lt;/_db_updated&gt;&lt;_doi&gt;10.3389/fonc.2022.922332&lt;/_doi&gt;&lt;_impact_factor&gt;   5.738&lt;/_impact_factor&gt;&lt;_isbn&gt;2234-943X (Print); 2234-943X (Linking)&lt;/_isbn&gt;&lt;_journal&gt;Front Oncol&lt;/_journal&gt;&lt;_keywords&gt;Copper-induced cell death; chemotherapy sensitivity; clinical outcomes; cuproptosis; immunotherapy sensitivity; lung cancer; tumor microenvironment&lt;/_keywords&gt;&lt;_language&gt;eng&lt;/_language&gt;&lt;_modified&gt;64579349&lt;/_modified&gt;&lt;_ori_publication&gt;Copyright (c) 2022 Hu, Wang, Ma, Zhang and Xue.&lt;/_ori_publication&gt;&lt;_pages&gt;922332&lt;/_pages&gt;&lt;_social_category&gt;医学(3)&lt;/_social_category&gt;&lt;_tertiary_title&gt;Frontiers in oncology&lt;/_tertiary_title&gt;&lt;_type_work&gt;Journal Article&lt;/_type_work&gt;&lt;_url&gt;http://www.ncbi.nlm.nih.gov/entrez/query.fcgi?cmd=Retrieve&amp;amp;db=pubmed&amp;amp;dopt=Abstract&amp;amp;list_uids=36003780&amp;amp;query_hl=1&lt;/_url&gt;&lt;_volume&gt;12&lt;/_volume&gt;&lt;/Details&gt;&lt;Extra&gt;&lt;DBUID&gt;{F96A950B-833F-4880-A151-76DA2D6A2879}&lt;/DBUID&gt;&lt;/Extra&gt;&lt;/Item&gt;&lt;/References&gt;&lt;/Group&gt;&lt;/Citation&gt;_x000a_"/>
    <w:docVar w:name="NE.Ref{63679F8C-AF7A-4495-A1FD-0FC0EC15F8A3}" w:val=" ADDIN NE.Ref.{63679F8C-AF7A-4495-A1FD-0FC0EC15F8A3}&lt;Citation&gt;&lt;Group&gt;&lt;References&gt;&lt;Item&gt;&lt;ID&gt;547&lt;/ID&gt;&lt;UID&gt;{BDBAA6F8-4F03-4959-A09D-6F4740D001C1}&lt;/UID&gt;&lt;Title&gt;Copper induces cell death by targeting lipoylated TCA cycle proteins&lt;/Title&gt;&lt;Template&gt;Journal Article&lt;/Template&gt;&lt;Star&gt;0&lt;/Star&gt;&lt;Tag&gt;0&lt;/Tag&gt;&lt;Author&gt;Tsvetkov, P; Coy, S; Petrova, B; Dreishpoon, M; Verma, A; Abdusamad, M; Rossen, J; Joesch-Cohen, L; Humeidi, R; Spangler, R D; Eaton, J K; Frenkel, E; Kocak, M; Corsello, S M; Lutsenko, S; Kanarek, N; Santagata, S; Golub, T R&lt;/Author&gt;&lt;Year&gt;2022&lt;/Year&gt;&lt;Details&gt;&lt;_accession_num&gt;35298263&lt;/_accession_num&gt;&lt;_author_adr&gt;Broad Institute of Harvard and MIT, Cambridge, MA, USA.; Laboratory of Systems Pharmacology, Department of Systems Biology, Boston, MA, USA.; Ludwig Center at Harvard, Harvard Medical School, Boston, MA, USA.; Department of Pathology, Brigham and Women&amp;apos;s Hospital, Boston, MA, USA.; Harvard Medical School, Boston, MA, USA.; Harvard Medical School, Boston, MA, USA.; Department of Pathology, Boston Children&amp;apos;s Hospital, Boston, MA USA.; Broad Institute of Harvard and MIT, Cambridge, MA, USA.; Laboratory of Systems Pharmacology, Department of Systems Biology, Boston, MA, USA.; Ludwig Center at Harvard, Harvard Medical School, Boston, MA, USA.; Department of Pathology, Brigham and Women&amp;apos;s Hospital, Boston, MA, USA.; Harvard Medical School, Boston, MA, USA.; Broad Institute of Harvard and MIT, Cambridge, MA, USA.; Broad Institute of Harvard and MIT, Cambridge, MA, USA.; Broad Institute of Harvard and MIT, Cambridge, MA, USA.; Broad Institute of Harvard and MIT, Cambridge, MA, USA.; Broad Institute of Harvard and MIT, Cambridge, MA, USA.; Broad Institute of Harvard and MIT, Cambridge, MA, USA.; Whitehead Institute and Massachusetts Institute of Technology, Cambridge, MA, USA.; Broad Institute of Harvard and MIT, Cambridge, MA, USA.; Broad Institute of Harvard and MIT, Cambridge, MA, USA.; Harvard Medical School, Boston, MA, USA.; Department of Medical Oncology, Dana Farber Cancer Institute, Boston, MA, USA.; Department of Physiology, Johns Hopkins Medical Institutes, Baltimore, MD, USA.; Broad Institute of Harvard and MIT, Cambridge, MA, USA.; Harvard Medical School, Boston, MA, USA.; Department of Pathology, Boston Children&amp;apos;s Hospital, Boston, MA USA.; Laboratory of Systems Pharmacology, Department of Systems Biology, Boston, MA, USA.; Ludwig Center at Harvard, Harvard Medical School, Boston, MA, USA.; Department of Pathology, Brigham and Women&amp;apos;s Hospital, Boston, MA, USA.; Harvard Medical School, Boston, MA, USA.; Department of Pathology, Dana Farber Cancer Institute, Boston, MA, USA.; Broad Institute of Harvard and MIT, Cambridge, MA, USA.; Harvard Medical School, Boston, MA, USA.; Department of Pediatric Oncology, Dana Farber Cancer Institute, Boston, MA, USA.; Division of Pediatric Hematology/Oncology, Boston Children&amp;apos;s Hospital, Boston, MA, USA.&lt;/_author_adr&gt;&lt;_collection_scope&gt;SCI;SCIE&lt;/_collection_scope&gt;&lt;_created&gt;64554752&lt;/_created&gt;&lt;_date&gt;2022-03-18&lt;/_date&gt;&lt;_date_display&gt;2022 Mar 18&lt;/_date_display&gt;&lt;_db_updated&gt;PubMed&lt;/_db_updated&gt;&lt;_doi&gt;10.1126/science.abf0529&lt;/_doi&gt;&lt;_impact_factor&gt;  63.714&lt;/_impact_factor&gt;&lt;_isbn&gt;1095-9203 (Electronic); 0036-8075 (Linking)&lt;/_isbn&gt;&lt;_issue&gt;6586&lt;/_issue&gt;&lt;_journal&gt;Science&lt;/_journal&gt;&lt;_language&gt;eng&lt;/_language&gt;&lt;_modified&gt;64579369&lt;/_modified&gt;&lt;_pages&gt;1254-1261&lt;/_pages&gt;&lt;_social_category&gt;综合性期刊(1)&lt;/_social_category&gt;&lt;_subject_headings&gt;Animals; Cell Respiration; *Citric Acid Cycle; Copper/*metabolism/*toxicity; Dihydrolipoyllysine-Residue Acetyltransferase/metabolism; Hepatolenticular Degeneration/metabolism; Homeostasis; Humans; Hydrazines/toxicity; Ionophores/toxicity; Iron-Sulfur Proteins/metabolism; Lipoylation; Metabolic Networks and Pathways; Mice; Mitochondria/metabolism; *Regulated Cell Death&lt;/_subject_headings&gt;&lt;_tertiary_title&gt;Science (New York, N.Y.)&lt;/_tertiary_title&gt;&lt;_type_work&gt;Journal Article; Research Support, N.I.H., Extramural&lt;/_type_work&gt;&lt;_url&gt;http://www.ncbi.nlm.nih.gov/entrez/query.fcgi?cmd=Retrieve&amp;amp;db=pubmed&amp;amp;dopt=Abstract&amp;amp;list_uids=35298263&amp;amp;query_hl=1&lt;/_url&gt;&lt;_volume&gt;375&lt;/_volume&gt;&lt;/Details&gt;&lt;Extra&gt;&lt;DBUID&gt;{F96A950B-833F-4880-A151-76DA2D6A2879}&lt;/DBUID&gt;&lt;/Extra&gt;&lt;/Item&gt;&lt;/References&gt;&lt;/Group&gt;&lt;/Citation&gt;_x000a_"/>
    <w:docVar w:name="NE.Ref{6B20C846-631F-4FA5-BFCF-186D4F41C5EE}" w:val=" ADDIN NE.Ref.{6B20C846-631F-4FA5-BFCF-186D4F41C5EE}&lt;Citation&gt;&lt;Group&gt;&lt;References&gt;&lt;Item&gt;&lt;ID&gt;531&lt;/ID&gt;&lt;UID&gt;{3412815D-75EB-4A05-9F22-747A51152D34}&lt;/UID&gt;&lt;Title&gt;Melanoma: An update on systemic therapies&lt;/Title&gt;&lt;Template&gt;Journal Article&lt;/Template&gt;&lt;Star&gt;0&lt;/Star&gt;&lt;Tag&gt;0&lt;/Tag&gt;&lt;Author&gt;Skudalski, L; Waldman, R; Kerr, P E; Grant-Kels, J M&lt;/Author&gt;&lt;Year&gt;2022&lt;/Year&gt;&lt;Details&gt;&lt;_accession_num&gt;34915056&lt;/_accession_num&gt;&lt;_author_adr&gt;Department of Dermatology, University of Connecticut School of Medicine, Farmington, Connecticut.; Department of Dermatology, University of Connecticut School of Medicine, Farmington, Connecticut.; Department of Dermatology, University of Connecticut School of Medicine, Farmington, Connecticut.; Department of Dermatology, University of Connecticut School of Medicine, Farmington, Connecticut; Department of Dermatology, University of Florida College of Medicine, Gainesville, Florida. Electronic address: grant@uchc.edu.&lt;/_author_adr&gt;&lt;_collection_scope&gt;SCI;SCIE&lt;/_collection_scope&gt;&lt;_created&gt;64552310&lt;/_created&gt;&lt;_date&gt;2022-03-01&lt;/_date&gt;&lt;_date_display&gt;2022 Mar&lt;/_date_display&gt;&lt;_db_updated&gt;PubMed&lt;/_db_updated&gt;&lt;_doi&gt;10.1016/j.jaad.2021.09.075&lt;/_doi&gt;&lt;_impact_factor&gt;  15.487&lt;/_impact_factor&gt;&lt;_isbn&gt;1097-6787 (Electronic); 0190-9622 (Linking)&lt;/_isbn&gt;&lt;_issue&gt;3&lt;/_issue&gt;&lt;_journal&gt;J Am Acad Dermatol&lt;/_journal&gt;&lt;_keywords&gt;*binimetinib; *cobimetinib; *cutaneous melanoma; *dabrafenib; *encorafenib; *imiquimod; *interleukin-2; *ipilimumab; *laherparepvec; *nivolumab; *pembrolizumab; *talimogene; *trametinib; *vemurafenib&lt;/_keywords&gt;&lt;_language&gt;eng&lt;/_language&gt;&lt;_modified&gt;64579319&lt;/_modified&gt;&lt;_ori_publication&gt;Copyright (c) 2021 American Academy of Dermatology, Inc. Published by Elsevier_x000d__x000a_      Inc. All rights reserved.&lt;/_ori_publication&gt;&lt;_pages&gt;515-524&lt;/_pages&gt;&lt;_social_category&gt;医学(1)&lt;/_social_category&gt;&lt;_subject_headings&gt;Education, Medical, Continuing; Humans; Immunotherapy; Melanoma/pathology/*therapy; Neoplasm Recurrence, Local/pathology/*therapy; Skin Neoplasms/pathology/*therapy&lt;/_subject_headings&gt;&lt;_tertiary_title&gt;Journal of the American Academy of Dermatology&lt;/_tertiary_title&gt;&lt;_type_work&gt;Journal Article; Review&lt;/_type_work&gt;&lt;_url&gt;http://www.ncbi.nlm.nih.gov/entrez/query.fcgi?cmd=Retrieve&amp;amp;db=pubmed&amp;amp;dopt=Abstract&amp;amp;list_uids=34915056&amp;amp;query_hl=1&lt;/_url&gt;&lt;_volume&gt;86&lt;/_volume&gt;&lt;/Details&gt;&lt;Extra&gt;&lt;DBUID&gt;{F96A950B-833F-4880-A151-76DA2D6A2879}&lt;/DBUID&gt;&lt;/Extra&gt;&lt;/Item&gt;&lt;/References&gt;&lt;/Group&gt;&lt;/Citation&gt;_x000a_"/>
    <w:docVar w:name="NE.Ref{837560D2-EC7F-4BEE-9FF8-B2678236D010}" w:val=" ADDIN NE.Ref.{837560D2-EC7F-4BEE-9FF8-B2678236D010}&lt;Citation&gt;&lt;Group&gt;&lt;References&gt;&lt;Item&gt;&lt;ID&gt;548&lt;/ID&gt;&lt;UID&gt;{C8F34573-04C7-44AB-B309-8DCE1D2D018F}&lt;/UID&gt;&lt;Title&gt;Cuproptosis: a new form of programmed cell death&lt;/Title&gt;&lt;Template&gt;Journal Article&lt;/Template&gt;&lt;Star&gt;0&lt;/Star&gt;&lt;Tag&gt;0&lt;/Tag&gt;&lt;Author&gt;Wang, Y; Zhang, L; Zhou, F&lt;/Author&gt;&lt;Year&gt;2022&lt;/Year&gt;&lt;Details&gt;&lt;_accession_num&gt;35459854&lt;/_accession_num&gt;&lt;_author_adr&gt;Institutes of Biology and Medical Science, Soochow University, Suzhou, 215123, China.; MOE Laboratory of Biosystems Homeostasis and Protection and Innovation Center for Cell Signaling Network, Life Sciences Institute, Zhejiang University, Hangzhou, 310058, China. zhanglong.2003@tsinghua.org.cn.; Institutes of Biology and Medical Science, Soochow University, Suzhou, 215123, China. zhoufangfang@suda.edu.cn.&lt;/_author_adr&gt;&lt;_date_display&gt;2022 Aug&lt;/_date_display&gt;&lt;_date&gt;2022-08-01&lt;/_date&gt;&lt;_doi&gt;10.1038/s41423-022-00866-1&lt;/_doi&gt;&lt;_isbn&gt;2042-0226 (Electronic); 1672-7681 (Linking)&lt;/_isbn&gt;&lt;_issue&gt;8&lt;/_issue&gt;&lt;_journal&gt;Cell Mol Immunol&lt;/_journal&gt;&lt;_language&gt;eng&lt;/_language&gt;&lt;_pages&gt;867-868&lt;/_pages&gt;&lt;_subject_headings&gt;*Apoptosis&lt;/_subject_headings&gt;&lt;_tertiary_title&gt;Cellular &amp;amp; molecular immunology&lt;/_tertiary_title&gt;&lt;_type_work&gt;Journal Article; Research Support, Non-U.S. Gov&amp;apos;t; Comment&lt;/_type_work&gt;&lt;_url&gt;http://www.ncbi.nlm.nih.gov/entrez/query.fcgi?cmd=Retrieve&amp;amp;db=pubmed&amp;amp;dopt=Abstract&amp;amp;list_uids=35459854&amp;amp;query_hl=1&lt;/_url&gt;&lt;_volume&gt;19&lt;/_volume&gt;&lt;_created&gt;64579369&lt;/_created&gt;&lt;_modified&gt;64579369&lt;/_modified&gt;&lt;_db_updated&gt;PubMed&lt;/_db_updated&gt;&lt;_impact_factor&gt;  22.096&lt;/_impact_factor&gt;&lt;_social_category&gt;医学(1)&lt;/_social_category&gt;&lt;_collection_scope&gt;CSCD;SCIE&lt;/_collection_scope&gt;&lt;/Details&gt;&lt;Extra&gt;&lt;DBUID&gt;{F96A950B-833F-4880-A151-76DA2D6A2879}&lt;/DBUID&gt;&lt;/Extra&gt;&lt;/Item&gt;&lt;/References&gt;&lt;/Group&gt;&lt;/Citation&gt;_x000a_"/>
    <w:docVar w:name="NE.Ref{A4E25C92-CCE8-47C6-9C9C-B122AC5EB52A}" w:val=" ADDIN NE.Ref.{A4E25C92-CCE8-47C6-9C9C-B122AC5EB52A}&lt;Citation&gt;&lt;Group&gt;&lt;References&gt;&lt;Item&gt;&lt;ID&gt;547&lt;/ID&gt;&lt;UID&gt;{BDBAA6F8-4F03-4959-A09D-6F4740D001C1}&lt;/UID&gt;&lt;Title&gt;Copper induces cell death by targeting lipoylated TCA cycle proteins&lt;/Title&gt;&lt;Template&gt;Journal Article&lt;/Template&gt;&lt;Star&gt;0&lt;/Star&gt;&lt;Tag&gt;0&lt;/Tag&gt;&lt;Author&gt;Tsvetkov, P; Coy, S; Petrova, B; Dreishpoon, M; Verma, A; Abdusamad, M; Rossen, J; Joesch-Cohen, L; Humeidi, R; Spangler, R D; Eaton, J K; Frenkel, E; Kocak, M; Corsello, S M; Lutsenko, S; Kanarek, N; Santagata, S; Golub, T R&lt;/Author&gt;&lt;Year&gt;2022&lt;/Year&gt;&lt;Details&gt;&lt;_accession_num&gt;35298263&lt;/_accession_num&gt;&lt;_author_adr&gt;Broad Institute of Harvard and MIT, Cambridge, MA, USA.; Laboratory of Systems Pharmacology, Department of Systems Biology, Boston, MA, USA.; Ludwig Center at Harvard, Harvard Medical School, Boston, MA, USA.; Department of Pathology, Brigham and Women&amp;apos;s Hospital, Boston, MA, USA.; Harvard Medical School, Boston, MA, USA.; Harvard Medical School, Boston, MA, USA.; Department of Pathology, Boston Children&amp;apos;s Hospital, Boston, MA USA.; Broad Institute of Harvard and MIT, Cambridge, MA, USA.; Laboratory of Systems Pharmacology, Department of Systems Biology, Boston, MA, USA.; Ludwig Center at Harvard, Harvard Medical School, Boston, MA, USA.; Department of Pathology, Brigham and Women&amp;apos;s Hospital, Boston, MA, USA.; Harvard Medical School, Boston, MA, USA.; Broad Institute of Harvard and MIT, Cambridge, MA, USA.; Broad Institute of Harvard and MIT, Cambridge, MA, USA.; Broad Institute of Harvard and MIT, Cambridge, MA, USA.; Broad Institute of Harvard and MIT, Cambridge, MA, USA.; Broad Institute of Harvard and MIT, Cambridge, MA, USA.; Broad Institute of Harvard and MIT, Cambridge, MA, USA.; Whitehead Institute and Massachusetts Institute of Technology, Cambridge, MA, USA.; Broad Institute of Harvard and MIT, Cambridge, MA, USA.; Broad Institute of Harvard and MIT, Cambridge, MA, USA.; Harvard Medical School, Boston, MA, USA.; Department of Medical Oncology, Dana Farber Cancer Institute, Boston, MA, USA.; Department of Physiology, Johns Hopkins Medical Institutes, Baltimore, MD, USA.; Broad Institute of Harvard and MIT, Cambridge, MA, USA.; Harvard Medical School, Boston, MA, USA.; Department of Pathology, Boston Children&amp;apos;s Hospital, Boston, MA USA.; Laboratory of Systems Pharmacology, Department of Systems Biology, Boston, MA, USA.; Ludwig Center at Harvard, Harvard Medical School, Boston, MA, USA.; Department of Pathology, Brigham and Women&amp;apos;s Hospital, Boston, MA, USA.; Harvard Medical School, Boston, MA, USA.; Department of Pathology, Dana Farber Cancer Institute, Boston, MA, USA.; Broad Institute of Harvard and MIT, Cambridge, MA, USA.; Harvard Medical School, Boston, MA, USA.; Department of Pediatric Oncology, Dana Farber Cancer Institute, Boston, MA, USA.; Division of Pediatric Hematology/Oncology, Boston Children&amp;apos;s Hospital, Boston, MA, USA.&lt;/_author_adr&gt;&lt;_collection_scope&gt;SCI;SCIE&lt;/_collection_scope&gt;&lt;_created&gt;64554752&lt;/_created&gt;&lt;_date&gt;2022-03-18&lt;/_date&gt;&lt;_date_display&gt;2022 Mar 18&lt;/_date_display&gt;&lt;_db_updated&gt;PubMed&lt;/_db_updated&gt;&lt;_doi&gt;10.1126/science.abf0529&lt;/_doi&gt;&lt;_impact_factor&gt;  63.714&lt;/_impact_factor&gt;&lt;_isbn&gt;1095-9203 (Electronic); 0036-8075 (Linking)&lt;/_isbn&gt;&lt;_issue&gt;6586&lt;/_issue&gt;&lt;_journal&gt;Science&lt;/_journal&gt;&lt;_language&gt;eng&lt;/_language&gt;&lt;_modified&gt;64579369&lt;/_modified&gt;&lt;_pages&gt;1254-1261&lt;/_pages&gt;&lt;_social_category&gt;综合性期刊(1)&lt;/_social_category&gt;&lt;_subject_headings&gt;Animals; Cell Respiration; *Citric Acid Cycle; Copper/*metabolism/*toxicity; Dihydrolipoyllysine-Residue Acetyltransferase/metabolism; Hepatolenticular Degeneration/metabolism; Homeostasis; Humans; Hydrazines/toxicity; Ionophores/toxicity; Iron-Sulfur Proteins/metabolism; Lipoylation; Metabolic Networks and Pathways; Mice; Mitochondria/metabolism; *Regulated Cell Death&lt;/_subject_headings&gt;&lt;_tertiary_title&gt;Science (New York, N.Y.)&lt;/_tertiary_title&gt;&lt;_type_work&gt;Journal Article; Research Support, N.I.H., Extramural&lt;/_type_work&gt;&lt;_url&gt;http://www.ncbi.nlm.nih.gov/entrez/query.fcgi?cmd=Retrieve&amp;amp;db=pubmed&amp;amp;dopt=Abstract&amp;amp;list_uids=35298263&amp;amp;query_hl=1&lt;/_url&gt;&lt;_volume&gt;375&lt;/_volume&gt;&lt;/Details&gt;&lt;Extra&gt;&lt;DBUID&gt;{F96A950B-833F-4880-A151-76DA2D6A2879}&lt;/DBUID&gt;&lt;/Extra&gt;&lt;/Item&gt;&lt;/References&gt;&lt;/Group&gt;&lt;/Citation&gt;_x000a_"/>
    <w:docVar w:name="NE.Ref{A764A66E-3E28-40B4-BC6B-01D8F49A2EED}" w:val=" ADDIN NE.Ref.{A764A66E-3E28-40B4-BC6B-01D8F49A2EED}&lt;Citation&gt;&lt;Group&gt;&lt;References&gt;&lt;Item&gt;&lt;ID&gt;530&lt;/ID&gt;&lt;UID&gt;{0F70A9B7-39F2-434F-9759-56CB2A1BC840}&lt;/UID&gt;&lt;Title&gt;Surgical Management of Primary Cutaneous Melanoma&lt;/Title&gt;&lt;Template&gt;Journal Article&lt;/Template&gt;&lt;Star&gt;0&lt;/Star&gt;&lt;Tag&gt;0&lt;/Tag&gt;&lt;Author&gt;Joyce, D; Skitzki, J J&lt;/Author&gt;&lt;Year&gt;2020&lt;/Year&gt;&lt;Details&gt;&lt;_accession_num&gt;31753116&lt;/_accession_num&gt;&lt;_author_adr&gt;Department of Surgical Oncology, Roswell Park Comprehensive Cancer Center, Buffalo, NY 14263, USA.; Department of Surgical Oncology, Roswell Park Comprehensive Cancer Center, Buffalo, NY 14263, USA. Electronic address: joseph.skitzki@roswellpark.org.&lt;/_author_adr&gt;&lt;_collection_scope&gt;SCIE&lt;/_collection_scope&gt;&lt;_created&gt;64552291&lt;/_created&gt;&lt;_date&gt;2020-02-01&lt;/_date&gt;&lt;_date_display&gt;2020 Feb&lt;/_date_display&gt;&lt;_db_updated&gt;PubMed&lt;/_db_updated&gt;&lt;_doi&gt;10.1016/j.suc.2019.09.001&lt;/_doi&gt;&lt;_impact_factor&gt;   3.537&lt;/_impact_factor&gt;&lt;_isbn&gt;1558-3171 (Electronic); 0039-6109 (Linking)&lt;/_isbn&gt;&lt;_issue&gt;1&lt;/_issue&gt;&lt;_journal&gt;Surg Clin North Am&lt;/_journal&gt;&lt;_keywords&gt;Cutaneous melanoma; Melanoma; Melanoma biopsy; Melanoma margins; Melanoma synoptic report; Wide local excision&lt;/_keywords&gt;&lt;_language&gt;eng&lt;/_language&gt;&lt;_modified&gt;64579373&lt;/_modified&gt;&lt;_ori_publication&gt;Copyright (c) 2019 Elsevier Inc. All rights reserved.&lt;/_ori_publication&gt;&lt;_pages&gt;61-70&lt;/_pages&gt;&lt;_social_category&gt;医学(3)&lt;/_social_category&gt;&lt;_subject_headings&gt;Biopsy; Humans; Margins of Excision; Melanoma/pathology/*surgery; Skin Neoplasms/pathology/*surgery&lt;/_subject_headings&gt;&lt;_tertiary_title&gt;The Surgical clinics of North America&lt;/_tertiary_title&gt;&lt;_type_work&gt;Journal Article; Review&lt;/_type_work&gt;&lt;_url&gt;http://www.ncbi.nlm.nih.gov/entrez/query.fcgi?cmd=Retrieve&amp;amp;db=pubmed&amp;amp;dopt=Abstract&amp;amp;list_uids=31753116&amp;amp;query_hl=1&lt;/_url&gt;&lt;_volume&gt;100&lt;/_volume&gt;&lt;/Details&gt;&lt;Extra&gt;&lt;DBUID&gt;{F96A950B-833F-4880-A151-76DA2D6A2879}&lt;/DBUID&gt;&lt;/Extra&gt;&lt;/Item&gt;&lt;/References&gt;&lt;/Group&gt;&lt;Group&gt;&lt;References&gt;&lt;Item&gt;&lt;ID&gt;519&lt;/ID&gt;&lt;UID&gt;{F778C683-02D8-443F-9097-FF303656ADD3}&lt;/UID&gt;&lt;Title&gt;The impact of demographics, socioeconomics, and health care access on melanoma outcomes&lt;/Title&gt;&lt;Template&gt;Journal Article&lt;/Template&gt;&lt;Star&gt;0&lt;/Star&gt;&lt;Tag&gt;0&lt;/Tag&gt;&lt;Author&gt;Cortez, J L; Vasquez, J; Wei, M L&lt;/Author&gt;&lt;Year&gt;2021&lt;/Year&gt;&lt;Details&gt;&lt;_accession_num&gt;32783908&lt;/_accession_num&gt;&lt;_author_adr&gt;Department of Dermatology, University of California, San Francisco, California; Dermatology Service, San Francisco Veterans Affairs Medical Center, San Francisco, California.; Dermatology Service, San Francisco Veterans Affairs Medical Center, San Francisco, California.; Department of Dermatology, University of California, San Francisco, California; Dermatology Service, San Francisco Veterans Affairs Medical Center, San Francisco, California; University of California, San Francisco Helen Diller Family Comprehensive Cancer Center, San Francisco, California. Electronic address: maria.wei@ucsf.edu.&lt;/_author_adr&gt;&lt;_collection_scope&gt;SCI;SCIE&lt;/_collection_scope&gt;&lt;_created&gt;64552289&lt;/_created&gt;&lt;_date&gt;2021-06-01&lt;/_date&gt;&lt;_date_display&gt;2021 Jun&lt;/_date_display&gt;&lt;_db_updated&gt;PubMed&lt;/_db_updated&gt;&lt;_doi&gt;10.1016/j.jaad.2020.07.125&lt;/_doi&gt;&lt;_impact_factor&gt;  15.487&lt;/_impact_factor&gt;&lt;_isbn&gt;1097-6787 (Electronic); 0190-9622 (Linking)&lt;/_isbn&gt;&lt;_issue&gt;6&lt;/_issue&gt;&lt;_journal&gt;J Am Acad Dermatol&lt;/_journal&gt;&lt;_keywords&gt;access; ethnicity; health disparities; insurance; melanoma; outcomes; race&lt;/_keywords&gt;&lt;_language&gt;eng&lt;/_language&gt;&lt;_modified&gt;64579373&lt;/_modified&gt;&lt;_ori_publication&gt;Published by Elsevier Inc.&lt;/_ori_publication&gt;&lt;_pages&gt;1677-1683&lt;/_pages&gt;&lt;_social_category&gt;医学(1)&lt;/_social_category&gt;&lt;_subject_headings&gt;Early Detection of Cancer/economics/statistics &amp;amp; numerical data; Health Services Accessibility/economics/*statistics &amp;amp; numerical data; Healthcare Disparities/economics/*statistics &amp;amp; numerical data; Humans; Insurance Coverage/economics/statistics &amp;amp; numerical data; Insurance, Health/economics/statistics &amp;amp; numerical data; Melanoma/diagnosis/mortality/*therapy; Neoplasm Staging; Skin Neoplasms/diagnosis/mortality/*therapy; Socioeconomic Factors; United States&lt;/_subject_headings&gt;&lt;_tertiary_title&gt;Journal of the American Academy of Dermatology&lt;/_tertiary_title&gt;&lt;_type_work&gt;Journal Article; Review&lt;/_type_work&gt;&lt;_url&gt;http://www.ncbi.nlm.nih.gov/entrez/query.fcgi?cmd=Retrieve&amp;amp;db=pubmed&amp;amp;dopt=Abstract&amp;amp;list_uids=32783908&amp;amp;query_hl=1&lt;/_url&gt;&lt;_volume&gt;84&lt;/_volume&gt;&lt;/Details&gt;&lt;Extra&gt;&lt;DBUID&gt;{F96A950B-833F-4880-A151-76DA2D6A2879}&lt;/DBUID&gt;&lt;/Extra&gt;&lt;/Item&gt;&lt;/References&gt;&lt;/Group&gt;&lt;/Citation&gt;_x000a_"/>
    <w:docVar w:name="NE.Ref{AB807939-CE7C-4AB4-A011-72AD92FFF033}" w:val=" ADDIN NE.Ref.{AB807939-CE7C-4AB4-A011-72AD92FFF033}&lt;Citation&gt;&lt;Group&gt;&lt;References&gt;&lt;Item&gt;&lt;ID&gt;550&lt;/ID&gt;&lt;UID&gt;{ADD6CA7C-3387-48A0-97CB-C54CDC4D06E0}&lt;/UID&gt;&lt;Title&gt;Inhibition of mitochondrial respiration prevents BRAF-mutant melanoma brain metastasis&lt;/Title&gt;&lt;Template&gt;Journal Article&lt;/Template&gt;&lt;Star&gt;0&lt;/Star&gt;&lt;Tag&gt;0&lt;/Tag&gt;&lt;Author&gt;Sundstrom, T; Prestegarden, L; Azuaje, F; Aasen, S N; Rosland, G V; Varughese, J K; Bahador, M; Bernatz, S; Braun, Y; Harter, P N; Skaftnesmo, K O; Ingham, E S; Mahakian, L M; Tam, S; Tepper, C G; Petersen, K; Ferrara, K W; Tronstad, K J; Lund-Johansen, M; Beschorner, R; Bjerkvig, R; Thorsen, F&lt;/Author&gt;&lt;Year&gt;2019&lt;/Year&gt;&lt;Details&gt;&lt;_accession_num&gt;30971321&lt;/_accession_num&gt;&lt;_author_adr&gt;Kristian Gerhard Jebsen Brain Tumour Research Centre, Department of Biomedicine,  University of Bergen, Jonas Lies vei 91, 5009, Bergen, Norway.; Department of Clinical Medicine, University of Bergen, Haukelandsveien 22, 5021,  Bergen, Norway.; Department of Neurosurgery, Haukeland University Hospital, Haukelandsveien 22, 5021, Bergen, Norway.; Kristian Gerhard Jebsen Brain Tumour Research Centre, Department of Biomedicine,  University of Bergen, Jonas Lies vei 91, 5009, Bergen, Norway.; Department of Clinical Medicine, University of Bergen, Haukelandsveien 22, 5021,  Bergen, Norway.; Department of Dermatology, Haukeland University Hospital, Haukelandsveien 22, 5021, Bergen, Norway.; NorLux Neuro-Oncology Laboratory, Department of Oncology, Luxembourg Institute of Health, 84 Val Fleuri, 1526, Luxembourg, Luxembourg.; Present address: Proteome and Genome Research Unit, Department of Oncology, Luxembourg Institute of Health, 1A-B, rue Thomas Edison, L-1445, Strassen, Luxembourg, Luxembourg.; Kristian Gerhard Jebsen Brain Tumour Research Centre, Department of Biomedicine,  University of Bergen, Jonas Lies vei 91, 5009, Bergen, Norway.; Department of Oncology and Medical Physics, Haukeland University Hospital, Haukelandsveien 22, 5021, Bergen, Norway.; Department of Biomedicine, University of Bergen, Jonas Lies vei 91, 5009, Bergen, Norway.; Kristian Gerhard Jebsen Brain Tumour Research Centre, Department of Biomedicine,  University of Bergen, Jonas Lies vei 91, 5009, Bergen, Norway.; Kristian Gerhard Jebsen Brain Tumour Research Centre, Department of Biomedicine,  University of Bergen, Jonas Lies vei 91, 5009, Bergen, Norway.; Edinger-Institute (Neurological Institute), Goethe-University Medical School, Heinrich-Hoffmann-Strasse 7, 60528, Frankfurt am Main, Germany.; Edinger-Institute (Neurological Institute), Goethe-University Medical School, Heinrich-Hoffmann-Strasse 7, 60528, Frankfurt am Main, Germany.; Edinger-Institute (Neurological Institute), Goethe-University Medical School, Heinrich-Hoffmann-Strasse 7, 60528, Frankfurt am Main, Germany.; Institute of Marine Research, Nordnesgaten 50, 5005, Bergen, Norway.; Department of Biomedical Engineering, University of California Davis, 451 East Health Sciences Drive, Davis, CA, 95616, USA.; Department of Biomedical Engineering, University of California Davis, 451 East Health Sciences Drive, Davis, CA, 95616, USA.; Department of Biomedical Engineering, University of California Davis, 451 East Health Sciences Drive, Davis, CA, 95616, USA.; Department of Biochemistry and Molecular Medicine, UC Davis Comprehensive Cancer  Center, 4645 Second Avenue, Sacramento, CA, 95817, USA.; Computational Biology Unit, Department of Informatics, University of Bergen, Thormohlensgate 55, 5008, Bergen, Norway.; Department of Biomedical Engineering, University of California Davis, 451 East Health Sciences Drive, Davis, CA, 95616, USA.; Department of Biomedicine, University of Bergen, Jonas Lies vei 91, 5009, Bergen, Norway.; Department of Clinical Medicine, University of Bergen, Haukelandsveien 22, 5021,  Bergen, Norway.; Department of Neurosurgery, Haukeland University Hospital, Haukelandsveien 22, 5021, Bergen, Norway.; Institute of Pathology and Neuropathology, Department of Neuropathology, University of Tuebingen, Tuebingen, Germany.; Kristian Gerhard Jebsen Brain Tumour Research Centre, Department of Biomedicine,  University of Bergen, Jonas Lies vei 91, 5009, Bergen, Norway.; NorLux Neuro-Oncology Laboratory, Department of Oncology, Luxembourg Institute of Health, 84 Val Fleuri, 1526, Luxembourg, Luxembourg.; Kristian Gerhard Jebsen Brain Tumour Research Centre, Department of Biomedicine,  University of Bergen, Jonas Lies vei 91, 5009, Bergen, Norway. frits.thorsen@uib.no.; The Molecular Imaging Center, Department of Biomedicine, University of Bergen, Jonas Lies vei 91, 5009, Bergen, Norway. frits.thorsen@uib.no.&lt;/_author_adr&gt;&lt;_collection_scope&gt;SCIE&lt;/_collection_scope&gt;&lt;_created&gt;64579394&lt;/_created&gt;&lt;_date&gt;2019-04-10&lt;/_date&gt;&lt;_date_display&gt;2019 Apr 10&lt;/_date_display&gt;&lt;_db_updated&gt;PubMed&lt;/_db_updated&gt;&lt;_doi&gt;10.1186/s40478-019-0712-8&lt;/_doi&gt;&lt;_impact_factor&gt;   7.578&lt;/_impact_factor&gt;&lt;_isbn&gt;2051-5960 (Electronic); 2051-5960 (Linking)&lt;/_isbn&gt;&lt;_issue&gt;1&lt;/_issue&gt;&lt;_journal&gt;Acta Neuropathol Commun&lt;/_journal&gt;&lt;_keywords&gt;*BRAF V600E; *Brain metastasis; *Cancer; *Melanoma; *Treatment; *beta-Sitosterol&lt;/_keywords&gt;&lt;_language&gt;eng&lt;/_language&gt;&lt;_modified&gt;64579394&lt;/_modified&gt;&lt;_pages&gt;55&lt;/_pages&gt;&lt;_social_category&gt;医学(2)&lt;/_social_category&gt;&lt;_subject_headings&gt;Animals; Apoptosis/drug effects; Brain Neoplasms/complications/*genetics/*metabolism; Cell Line, Tumor; Drug Repositioning; Female; Humans; Melanoma/complications/*genetics/*metabolism; Mice, Transgenic; Mitochondria/*drug effects/metabolism; Mutation; Oxidative Stress/drug effects; Proto-Oncogene Proteins B-raf/*genetics; Sitosterols/*administration &amp;amp; dosage; Transcriptome&lt;/_subject_headings&gt;&lt;_tertiary_title&gt;Acta neuropathologica communications&lt;/_tertiary_title&gt;&lt;_type_work&gt;Journal Article; Research Support, N.I.H., Extramural; Research Support, Non-U.S. Gov&amp;apos;t&lt;/_type_work&gt;&lt;_url&gt;http://www.ncbi.nlm.nih.gov/entrez/query.fcgi?cmd=Retrieve&amp;amp;db=pubmed&amp;amp;dopt=Abstract&amp;amp;list_uids=30971321&amp;amp;query_hl=1&lt;/_url&gt;&lt;_volume&gt;7&lt;/_volume&gt;&lt;/Details&gt;&lt;Extra&gt;&lt;DBUID&gt;{F96A950B-833F-4880-A151-76DA2D6A2879}&lt;/DBUID&gt;&lt;/Extra&gt;&lt;/Item&gt;&lt;/References&gt;&lt;/Group&gt;&lt;/Citation&gt;_x000a_"/>
    <w:docVar w:name="NE.Ref{B67BC3DB-7FCF-43B8-BE5A-2B2C26C6517B}" w:val=" ADDIN NE.Ref.{B67BC3DB-7FCF-43B8-BE5A-2B2C26C6517B}&lt;Citation&gt;&lt;Group&gt;&lt;References&gt;&lt;Item&gt;&lt;ID&gt;546&lt;/ID&gt;&lt;UID&gt;{93F6833F-8C92-4F7E-8C7B-B023C2C61F32}&lt;/UID&gt;&lt;Title&gt;Connecting copper and cancer: from transition metal signalling to metalloplasia&lt;/Title&gt;&lt;Template&gt;Journal Article&lt;/Template&gt;&lt;Star&gt;0&lt;/Star&gt;&lt;Tag&gt;0&lt;/Tag&gt;&lt;Author&gt;Ge, E J; Bush, A I; Casini, A; Cobine, P A; Cross, J R; DeNicola, G M; Dou, Q P; Franz, K J; Gohil, V M; Gupta, S; Kaler, S G; Lutsenko, S; Mittal, V; Petris, M J; Polishchuk, R; Ralle, M; Schilsky, M L; Tonks, N K; Vahdat, L T; Van Aelst, L; Xi, D; Yuan, P; Brady, D C; Chang, C J&lt;/Author&gt;&lt;Year&gt;2022&lt;/Year&gt;&lt;Details&gt;&lt;_accession_num&gt;34764459&lt;/_accession_num&gt;&lt;_author_adr&gt;Department of Chemistry, University of California, Berkeley, Berkeley, CA, USA.; The Florey Institute of Neuroscience and Mental Health, The University of Melbourne, Parkville, VIC, Australia.; Chair of Medicinal and Bioinorganic Chemistry, Department of Chemistry, Technical University of Munich, Garching, Germany.; Department of Biological Sciences, Auburn University, Auburn, AL, USA.; Donald B. and Catherine C. Marron Cancer Metabolism Center, Memorial Sloan Kettering Cancer Center, New York, NY, USA.; Department of Cancer Physiology, H. Lee Moffitt Cancer Center, Tampa, FL, USA.; Department of Oncology, School of Medicine, Wayne State University, Detroit, MI,  USA.; Department of Pharmacology, School of Medicine, Wayne State University, Detroit,  MI, USA.; Department of Pathology, School of Medicine, Wayne State University, Detroit, MI, USA.; Barbara Ann Karmanos Cancer Institute, Wayne State University, Detroit, MI, USA.; Department of Chemistry, Duke University, Durham, NC, USA.; Department of Biochemistry and Biophysics, Texas A&amp;amp;M University, College Station, TX, USA.; Department of Medicine, Albert Einstein College of Medicine, New York, NY, USA.; Department of Pathology, Albert Einstein College of Medicine, New York, NY, USA.; Marion Bessin Liver Research Center, Albert Einstein College of Medicine, New York, NY, USA.; Diabetes Research Center, Albert Einstein College of Medicine, New York, NY, USA.; Irwin S. and Sylvia Chanin Institute for Cancer Research, Albert Einstein College of Medicine, New York, NY, USA.; Ruth L. and David S. Gottesman Institute for Stem Cell and Regenerative Medicine  Research, Albert Einstein College of Medicine, New York, NY, USA.; Center for Gene Therapy, Abigail Wexner Research Institute, Nationwide Children&amp;apos;s Hospital, Columbus, OH, USA.; Department of Physiology, Johns Hopkins Medical Institutes, Baltimore, MD, USA.; Department of Cardiothoracic Surgery, Neuberger Berman Foundation Lung Cancer Research Center, Weill Cornell Medicine, New York, NY, USA.; Department of Cell and Developmental Biology, Weill Cornell Medicine, New York, NY, USA.; Department of Biochemistry, University of Missouri, Columbia, MO, USA.; Department of Ophthalmology, University of Missouri, Columbia, MO, USA.; Genetics Area Program, University of Missouri, Columbia, MO, USA.; Christopher S. Bond Life Science Center, University of Missouri, Columbia, MO, USA.; Telethon Institute of Genetics and Medicine, Pozzuoli, Italy.; Department of Molecular and Medical Genetics, Oregon Health and Sciences University, Portland, OR, USA.; Section of Transplantation and Immunology, Division of Digestive Diseases, Department of Medicine and Surgery, Yale University Medical Center, New Haven, CT, USA.; Cold Spring Harbor Laboratory, Cold Spring Harbor, NY, USA.; Department of Medicine, Memorial Sloan Kettering Cancer Center, New York, NY, USA.; Cold Spring Harbor Laboratory, Cold Spring Harbor, NY, USA.; National Cancer Institute, National Institutes of Health, Bethesda, MD, USA.; Center for the Investigation of Membrane Excitability Diseases, Washington University School of Medicine, St Louis, MI, USA.; Department of Cell Biology and Physiology, Washington University School of Medicine, St Louis, MI, USA.; Department of Cancer Biology, University of Pennsylvania, Philadelphia, PA, USA.  bradyd@pennmedicine.upenn.edu.; Abramson Family Cancer Research Institute, University of Pennsylvania, Philadelphia, PA, USA. bradyd@pennmedicine.upenn.edu.; Perelman School of Medicine, University of Pennsylvania, Philadelphia, PA, USA. bradyd@pennmedicine.upenn.edu.; Department of Chemistry, University of California, Berkeley, Berkeley, CA, USA. chrischang@berkeley.edu.; Department of Molecular and Cell Biology, University of California, Berkeley, Berkeley, CA, USA. chrischang@berkeley.edu.&lt;/_author_adr&gt;&lt;_collection_scope&gt;SCI;SCIE&lt;/_collection_scope&gt;&lt;_created&gt;64554736&lt;/_created&gt;&lt;_date&gt;2022-02-01&lt;/_date&gt;&lt;_date_display&gt;2022 Feb&lt;/_date_display&gt;&lt;_db_updated&gt;PubMed&lt;/_db_updated&gt;&lt;_doi&gt;10.1038/s41568-021-00417-2&lt;/_doi&gt;&lt;_impact_factor&gt;  69.800&lt;/_impact_factor&gt;&lt;_isbn&gt;1474-1768 (Electronic); 1474-175X (Linking)&lt;/_isbn&gt;&lt;_issue&gt;2&lt;/_issue&gt;&lt;_journal&gt;Nat Rev Cancer&lt;/_journal&gt;&lt;_language&gt;eng&lt;/_language&gt;&lt;_modified&gt;64579349&lt;/_modified&gt;&lt;_ori_publication&gt;(c) 2021. Springer Nature Limited.&lt;/_ori_publication&gt;&lt;_pages&gt;102-113&lt;/_pages&gt;&lt;_social_category&gt;医学(1)&lt;/_social_category&gt;&lt;_subject_headings&gt;Autophagy; Cell Proliferation; *Copper/metabolism; Humans; *Neoplasms; Signal Transduction&lt;/_subject_headings&gt;&lt;_tertiary_title&gt;Nature reviews. Cancer&lt;/_tertiary_title&gt;&lt;_type_work&gt;Journal Article; Research Support, N.I.H., Extramural; Research Support, N.I.H., Intramural; Research Support, Non-U.S. Gov&amp;apos;t; Research Support, U.S. Gov&amp;apos;t, Non-P.H.S.; Review&lt;/_type_work&gt;&lt;_url&gt;http://www.ncbi.nlm.nih.gov/entrez/query.fcgi?cmd=Retrieve&amp;amp;db=pubmed&amp;amp;dopt=Abstract&amp;amp;list_uids=34764459&amp;amp;query_hl=1&lt;/_url&gt;&lt;_volume&gt;22&lt;/_volume&gt;&lt;/Details&gt;&lt;Extra&gt;&lt;DBUID&gt;{F96A950B-833F-4880-A151-76DA2D6A2879}&lt;/DBUID&gt;&lt;/Extra&gt;&lt;/Item&gt;&lt;/References&gt;&lt;/Group&gt;&lt;/Citation&gt;_x000a_"/>
    <w:docVar w:name="NE.Ref{C9032261-C678-4E3A-9B97-C43E4025AA88}" w:val=" ADDIN NE.Ref.{C9032261-C678-4E3A-9B97-C43E4025AA88}&lt;Citation&gt;&lt;Group&gt;&lt;References&gt;&lt;Item&gt;&lt;ID&gt;543&lt;/ID&gt;&lt;UID&gt;{418DEDC7-C91E-4E94-9C6A-983755C6855D}&lt;/UID&gt;&lt;Title&gt;Non-Apoptotic Cell Death Signaling Pathways in Melanoma&lt;/Title&gt;&lt;Template&gt;Journal Article&lt;/Template&gt;&lt;Star&gt;0&lt;/Star&gt;&lt;Tag&gt;0&lt;/Tag&gt;&lt;Author&gt;Hartman, M L&lt;/Author&gt;&lt;Year&gt;2020&lt;/Year&gt;&lt;Details&gt;&lt;_accession_num&gt;32340261&lt;/_accession_num&gt;&lt;_author_adr&gt;Department of Molecular Biology of Cancer, Medical University of Lodz, 6/8 Mazowiecka Street, 92-215 Lodz, Poland.&lt;/_author_adr&gt;&lt;_collection_scope&gt;SCIE&lt;/_collection_scope&gt;&lt;_created&gt;64554382&lt;/_created&gt;&lt;_date&gt;2020-04-23&lt;/_date&gt;&lt;_date_display&gt;2020 Apr 23&lt;/_date_display&gt;&lt;_db_updated&gt;PubMed&lt;/_db_updated&gt;&lt;_doi&gt;10.3390/ijms21082980&lt;/_doi&gt;&lt;_impact_factor&gt;   6.208&lt;/_impact_factor&gt;&lt;_isbn&gt;1422-0067 (Electronic); 1422-0067 (Linking)&lt;/_isbn&gt;&lt;_issue&gt;8&lt;/_issue&gt;&lt;_journal&gt;Int J Mol Sci&lt;/_journal&gt;&lt;_keywords&gt;autophagy; differentiation; drug resistance; ferroptosis; melanoma; necroptosis; parthanatos; pyroptosis; reactive oxygen species (ROS); targeted therapy&lt;/_keywords&gt;&lt;_language&gt;eng&lt;/_language&gt;&lt;_modified&gt;64554382&lt;/_modified&gt;&lt;_subject_headings&gt;Animals; Autophagic Cell Death; Biomarkers, Tumor; Cell Death; *Disease Susceptibility; Ferroptosis/genetics; Gene Expression Regulation, Neoplastic; Humans; Melanoma/diagnosis/*etiology/*metabolism/therapy; Necroptosis/genetics; Pyroptosis; Reactive Oxygen Species/metabolism; *Signal Transduction&lt;/_subject_headings&gt;&lt;_tertiary_title&gt;International journal of molecular sciences&lt;/_tertiary_title&gt;&lt;_type_work&gt;Journal Article; Review&lt;/_type_work&gt;&lt;_url&gt;http://www.ncbi.nlm.nih.gov/entrez/query.fcgi?cmd=Retrieve&amp;amp;db=pubmed&amp;amp;dopt=Abstract&amp;amp;list_uids=32340261&amp;amp;query_hl=1&lt;/_url&gt;&lt;_volume&gt;21&lt;/_volume&gt;&lt;/Details&gt;&lt;Extra&gt;&lt;DBUID&gt;{F96A950B-833F-4880-A151-76DA2D6A2879}&lt;/DBUID&gt;&lt;/Extra&gt;&lt;/Item&gt;&lt;/References&gt;&lt;/Group&gt;&lt;Group&gt;&lt;References&gt;&lt;Item&gt;&lt;ID&gt;544&lt;/ID&gt;&lt;UID&gt;{62C0D688-9787-4D46-82EA-1F73438F96DB}&lt;/UID&gt;&lt;Title&gt;Hallmarks of cancer: the next generation&lt;/Title&gt;&lt;Template&gt;Journal Article&lt;/Template&gt;&lt;Star&gt;0&lt;/Star&gt;&lt;Tag&gt;0&lt;/Tag&gt;&lt;Author&gt;Hanahan, D; Weinberg, R A&lt;/Author&gt;&lt;Year&gt;2011&lt;/Year&gt;&lt;Details&gt;&lt;_accession_num&gt;21376230&lt;/_accession_num&gt;&lt;_author_adr&gt;The Swiss Institute for Experimental Cancer Research (ISREC), School of Life Sciences, EPFL, Lausanne CH-1015, Switzerland. dh@epfl.ch&lt;/_author_adr&gt;&lt;_collection_scope&gt;SCI;SCIE&lt;/_collection_scope&gt;&lt;_created&gt;64554383&lt;/_created&gt;&lt;_date&gt;2011-03-04&lt;/_date&gt;&lt;_date_display&gt;2011 Mar 4&lt;/_date_display&gt;&lt;_db_updated&gt;PubMed&lt;/_db_updated&gt;&lt;_doi&gt;10.1016/j.cell.2011.02.013&lt;/_doi&gt;&lt;_impact_factor&gt;  66.850&lt;/_impact_factor&gt;&lt;_isbn&gt;1097-4172 (Electronic); 0092-8674 (Linking)&lt;/_isbn&gt;&lt;_issue&gt;5&lt;/_issue&gt;&lt;_journal&gt;Cell&lt;/_journal&gt;&lt;_language&gt;eng&lt;/_language&gt;&lt;_modified&gt;64554383&lt;/_modified&gt;&lt;_ori_publication&gt;Copyright (c) 2011 Elsevier Inc. All rights reserved.&lt;/_ori_publication&gt;&lt;_pages&gt;646-74&lt;/_pages&gt;&lt;_subject_headings&gt;Animals; Genomic Instability; Humans; Neoplasm Invasiveness; Neoplasms/metabolism/*pathology/*physiopathology; Signal Transduction; Stromal Cells/pathology&lt;/_subject_headings&gt;&lt;_tertiary_title&gt;Cell&lt;/_tertiary_title&gt;&lt;_type_work&gt;Journal Article; Research Support, N.I.H., Extramural; Review&lt;/_type_work&gt;&lt;_url&gt;http://www.ncbi.nlm.nih.gov/entrez/query.fcgi?cmd=Retrieve&amp;amp;db=pubmed&amp;amp;dopt=Abstract&amp;amp;list_uids=21376230&amp;amp;query_hl=1&lt;/_url&gt;&lt;_volume&gt;144&lt;/_volume&gt;&lt;_social_category&gt;生物学(1)&lt;/_social_category&gt;&lt;/Details&gt;&lt;Extra&gt;&lt;DBUID&gt;{F96A950B-833F-4880-A151-76DA2D6A2879}&lt;/DBUID&gt;&lt;/Extra&gt;&lt;/Item&gt;&lt;/References&gt;&lt;/Group&gt;&lt;/Citation&gt;_x000a_"/>
    <w:docVar w:name="NE.Ref{CB11DE83-62BD-4AF6-8605-B912E969D77C}" w:val=" ADDIN NE.Ref.{CB11DE83-62BD-4AF6-8605-B912E969D77C}&lt;Citation&gt;&lt;Group&gt;&lt;References&gt;&lt;Item&gt;&lt;ID&gt;518&lt;/ID&gt;&lt;UID&gt;{FBD9F97D-CF74-48B4-9D13-4867FDA759AC}&lt;/UID&gt;&lt;Title&gt;The Growing Burden of Invasive Melanoma: Projections of Incidence Rates and Numbers of New Cases in Six Susceptible Populations through 2031&lt;/Title&gt;&lt;Template&gt;Journal Article&lt;/Template&gt;&lt;Star&gt;0&lt;/Star&gt;&lt;Tag&gt;0&lt;/Tag&gt;&lt;Author&gt;Whiteman, D C; Green, A C; Olsen, C M&lt;/Author&gt;&lt;Year&gt;2016&lt;/Year&gt;&lt;Details&gt;&lt;_accession_num&gt;26902923&lt;/_accession_num&gt;&lt;_author_adr&gt;QIMR Berghofer Medical Research Institute, 300 Herston Road, Herston, QLD 4006, Australia; The University of Queensland, School of Public Health, Herston Road, Herston, QLD 4006, Australia. Electronic address: david.whiteman@qimrberghofer.edu.au.; QIMR Berghofer Medical Research Institute, 300 Herston Road, Herston, QLD 4006, Australia; The University of Queensland, School of Public Health, Herston Road, Herston, QLD 4006, Australia; Cancer Research UK Manchester Institute and Institute of Inflammation and Repair, University of Manchester, Manchester, UK.; QIMR Berghofer Medical Research Institute, 300 Herston Road, Herston, QLD 4006, Australia; The University of Queensland, School of Public Health, Herston Road, Herston, QLD 4006, Australia.&lt;/_author_adr&gt;&lt;_date_display&gt;2016 Jun&lt;/_date_display&gt;&lt;_date&gt;2016-06-01&lt;/_date&gt;&lt;_doi&gt;10.1016/j.jid.2016.01.035&lt;/_doi&gt;&lt;_isbn&gt;1523-1747 (Electronic); 0022-202X (Linking)&lt;/_isbn&gt;&lt;_issue&gt;6&lt;/_issue&gt;&lt;_journal&gt;J Invest Dermatol&lt;/_journal&gt;&lt;_language&gt;eng&lt;/_language&gt;&lt;_ori_publication&gt;Copyright (c) 2016 The Authors. Published by Elsevier Inc. All rights reserved.&lt;/_ori_publication&gt;&lt;_pages&gt;1161-1171&lt;/_pages&gt;&lt;_subject_headings&gt;Adult; Age Distribution; Aged; Aged, 80 and over; Australia/epidemiology; Female; Forecasting; *Global Health; Humans; Incidence; Internationality; Male; Melanoma/*epidemiology/*pathology/therapy; Middle Aged; Neoplasm Invasiveness/pathology; Norway/epidemiology; Predictive Value of Tests; *Registries; Retrospective Studies; Risk Assessment; Sex Distribution; Skin Neoplasms/*epidemiology/*pathology/therapy; Survival Analysis; Sweden/epidemiology; United Kingdom/epidemiology; United States; Young Adult&lt;/_subject_headings&gt;&lt;_tertiary_title&gt;The Journal of investigative dermatology&lt;/_tertiary_title&gt;&lt;_type_work&gt;Journal Article; Research Support, Non-U.S. Gov&amp;apos;t&lt;/_type_work&gt;&lt;_url&gt;http://www.ncbi.nlm.nih.gov/entrez/query.fcgi?cmd=Retrieve&amp;amp;db=pubmed&amp;amp;dopt=Abstract&amp;amp;list_uids=26902923&amp;amp;query_hl=1&lt;/_url&gt;&lt;_volume&gt;136&lt;/_volume&gt;&lt;_created&gt;64552266&lt;/_created&gt;&lt;_modified&gt;64552266&lt;/_modified&gt;&lt;_db_updated&gt;PubMed&lt;/_db_updated&gt;&lt;_impact_factor&gt;   7.590&lt;/_impact_factor&gt;&lt;_collection_scope&gt;SCI;SCIE&lt;/_collection_scope&gt;&lt;/Details&gt;&lt;Extra&gt;&lt;DBUID&gt;{F96A950B-833F-4880-A151-76DA2D6A2879}&lt;/DBUID&gt;&lt;/Extra&gt;&lt;/Item&gt;&lt;/References&gt;&lt;/Group&gt;&lt;Group&gt;&lt;References&gt;&lt;Item&gt;&lt;ID&gt;516&lt;/ID&gt;&lt;UID&gt;{4D467DE4-097B-401A-872C-B7390C9B6EA5}&lt;/UID&gt;&lt;Title&gt;Malignant Melanoma: Beyond the Basics&lt;/Title&gt;&lt;Template&gt;Journal Article&lt;/Template&gt;&lt;Star&gt;0&lt;/Star&gt;&lt;Tag&gt;0&lt;/Tag&gt;&lt;Author&gt;Pavri, S N; Clune, J; Ariyan, S; Narayan, D&lt;/Author&gt;&lt;Year&gt;2016&lt;/Year&gt;&lt;Details&gt;&lt;_accession_num&gt;27465194&lt;/_accession_num&gt;&lt;_author_adr&gt;New Haven, Conn.; From the Section of Plastic and Reconstructive Surgery, Yale University School of Medicine.; New Haven, Conn.; From the Section of Plastic and Reconstructive Surgery, Yale University School of Medicine.; New Haven, Conn.; From the Section of Plastic and Reconstructive Surgery, Yale University School of Medicine.; New Haven, Conn.; From the Section of Plastic and Reconstructive Surgery, Yale University School of Medicine.&lt;/_author_adr&gt;&lt;_date_display&gt;2016 Aug&lt;/_date_display&gt;&lt;_date&gt;2016-08-01&lt;/_date&gt;&lt;_doi&gt;10.1097/PRS.0000000000002367&lt;/_doi&gt;&lt;_isbn&gt;1529-4242 (Electronic); 0032-1052 (Linking)&lt;/_isbn&gt;&lt;_issue&gt;2&lt;/_issue&gt;&lt;_journal&gt;Plast Reconstr Surg&lt;/_journal&gt;&lt;_language&gt;eng&lt;/_language&gt;&lt;_pages&gt;330e-340e&lt;/_pages&gt;&lt;_subject_headings&gt;Biopsy; Combined Modality Therapy; Diagnosis, Differential; *Disease Management; Humans; Melanoma/*diagnosis/*therapy; Skin/*pathology; Skin Neoplasms&lt;/_subject_headings&gt;&lt;_tertiary_title&gt;Plastic and reconstructive surgery&lt;/_tertiary_title&gt;&lt;_type_work&gt;Journal Article; Review&lt;/_type_work&gt;&lt;_url&gt;http://www.ncbi.nlm.nih.gov/entrez/query.fcgi?cmd=Retrieve&amp;amp;db=pubmed&amp;amp;dopt=Abstract&amp;amp;list_uids=27465194&amp;amp;query_hl=1&lt;/_url&gt;&lt;_volume&gt;138&lt;/_volume&gt;&lt;_created&gt;64552263&lt;/_created&gt;&lt;_modified&gt;64552263&lt;/_modified&gt;&lt;_db_updated&gt;PubMed&lt;/_db_updated&gt;&lt;_impact_factor&gt;   5.169&lt;/_impact_factor&gt;&lt;_collection_scope&gt;SCI;SCIE&lt;/_collection_scope&gt;&lt;/Details&gt;&lt;Extra&gt;&lt;DBUID&gt;{F96A950B-833F-4880-A151-76DA2D6A2879}&lt;/DBUID&gt;&lt;/Extra&gt;&lt;/Item&gt;&lt;/References&gt;&lt;/Group&gt;&lt;/Citation&gt;_x000a_"/>
    <w:docVar w:name="NE.Ref{CEC5DB6D-4C3C-475D-B16A-C0550B2613FE}" w:val=" ADDIN NE.Ref.{CEC5DB6D-4C3C-475D-B16A-C0550B2613FE}&lt;Citation&gt;&lt;Group&gt;&lt;References&gt;&lt;Item&gt;&lt;ID&gt;530&lt;/ID&gt;&lt;UID&gt;{0F70A9B7-39F2-434F-9759-56CB2A1BC840}&lt;/UID&gt;&lt;Title&gt;Surgical Management of Primary Cutaneous Melanoma&lt;/Title&gt;&lt;Template&gt;Journal Article&lt;/Template&gt;&lt;Star&gt;0&lt;/Star&gt;&lt;Tag&gt;0&lt;/Tag&gt;&lt;Author&gt;Joyce, D; Skitzki, J J&lt;/Author&gt;&lt;Year&gt;2020&lt;/Year&gt;&lt;Details&gt;&lt;_accession_num&gt;31753116&lt;/_accession_num&gt;&lt;_author_adr&gt;Department of Surgical Oncology, Roswell Park Comprehensive Cancer Center, Buffalo, NY 14263, USA.; Department of Surgical Oncology, Roswell Park Comprehensive Cancer Center, Buffalo, NY 14263, USA. Electronic address: joseph.skitzki@roswellpark.org.&lt;/_author_adr&gt;&lt;_created&gt;64552291&lt;/_created&gt;&lt;_date&gt;2020-02-01&lt;/_date&gt;&lt;_date_display&gt;2020 Feb&lt;/_date_display&gt;&lt;_db_updated&gt;PubMed&lt;/_db_updated&gt;&lt;_doi&gt;10.1016/j.suc.2019.09.001&lt;/_doi&gt;&lt;_impact_factor&gt;   3.537&lt;/_impact_factor&gt;&lt;_isbn&gt;1558-3171 (Electronic); 0039-6109 (Linking)&lt;/_isbn&gt;&lt;_issue&gt;1&lt;/_issue&gt;&lt;_journal&gt;Surg Clin North Am&lt;/_journal&gt;&lt;_keywords&gt;Cutaneous melanoma; Melanoma; Melanoma biopsy; Melanoma margins; Melanoma synoptic report; Wide local excision&lt;/_keywords&gt;&lt;_language&gt;eng&lt;/_language&gt;&lt;_modified&gt;64552291&lt;/_modified&gt;&lt;_ori_publication&gt;Copyright (c) 2019 Elsevier Inc. All rights reserved.&lt;/_ori_publication&gt;&lt;_pages&gt;61-70&lt;/_pages&gt;&lt;_subject_headings&gt;Biopsy; Humans; Margins of Excision; Melanoma/pathology/*surgery; Skin Neoplasms/pathology/*surgery&lt;/_subject_headings&gt;&lt;_tertiary_title&gt;The Surgical clinics of North America&lt;/_tertiary_title&gt;&lt;_type_work&gt;Journal Article; Review&lt;/_type_work&gt;&lt;_url&gt;http://www.ncbi.nlm.nih.gov/entrez/query.fcgi?cmd=Retrieve&amp;amp;db=pubmed&amp;amp;dopt=Abstract&amp;amp;list_uids=31753116&amp;amp;query_hl=1&lt;/_url&gt;&lt;_volume&gt;100&lt;/_volume&gt;&lt;/Details&gt;&lt;Extra&gt;&lt;DBUID&gt;{F96A950B-833F-4880-A151-76DA2D6A2879}&lt;/DBUID&gt;&lt;/Extra&gt;&lt;/Item&gt;&lt;/References&gt;&lt;/Group&gt;&lt;/Citation&gt;_x000a_"/>
    <w:docVar w:name="NE.Ref{D3C0773E-EEDC-4AA3-8CDF-3CD651D54637}" w:val=" ADDIN NE.Ref.{D3C0773E-EEDC-4AA3-8CDF-3CD651D54637}&lt;Citation&gt;&lt;Group&gt;&lt;References&gt;&lt;Item&gt;&lt;ID&gt;519&lt;/ID&gt;&lt;UID&gt;{F778C683-02D8-443F-9097-FF303656ADD3}&lt;/UID&gt;&lt;Title&gt;The impact of demographics, socioeconomics, and health care access on melanoma outcomes&lt;/Title&gt;&lt;Template&gt;Journal Article&lt;/Template&gt;&lt;Star&gt;0&lt;/Star&gt;&lt;Tag&gt;0&lt;/Tag&gt;&lt;Author&gt;Cortez, J L; Vasquez, J; Wei, M L&lt;/Author&gt;&lt;Year&gt;2021&lt;/Year&gt;&lt;Details&gt;&lt;_accession_num&gt;32783908&lt;/_accession_num&gt;&lt;_author_adr&gt;Department of Dermatology, University of California, San Francisco, California; Dermatology Service, San Francisco Veterans Affairs Medical Center, San Francisco, California.; Dermatology Service, San Francisco Veterans Affairs Medical Center, San Francisco, California.; Department of Dermatology, University of California, San Francisco, California; Dermatology Service, San Francisco Veterans Affairs Medical Center, San Francisco, California; University of California, San Francisco Helen Diller Family Comprehensive Cancer Center, San Francisco, California. Electronic address: maria.wei@ucsf.edu.&lt;/_author_adr&gt;&lt;_date_display&gt;2021 Jun&lt;/_date_display&gt;&lt;_date&gt;2021-06-01&lt;/_date&gt;&lt;_doi&gt;10.1016/j.jaad.2020.07.125&lt;/_doi&gt;&lt;_isbn&gt;1097-6787 (Electronic); 0190-9622 (Linking)&lt;/_isbn&gt;&lt;_issue&gt;6&lt;/_issue&gt;&lt;_journal&gt;J Am Acad Dermatol&lt;/_journal&gt;&lt;_keywords&gt;access; ethnicity; health disparities; insurance; melanoma; outcomes; race&lt;/_keywords&gt;&lt;_language&gt;eng&lt;/_language&gt;&lt;_ori_publication&gt;Published by Elsevier Inc.&lt;/_ori_publication&gt;&lt;_pages&gt;1677-1683&lt;/_pages&gt;&lt;_subject_headings&gt;Early Detection of Cancer/economics/statistics &amp;amp; numerical data; Health Services Accessibility/economics/*statistics &amp;amp; numerical data; Healthcare Disparities/economics/*statistics &amp;amp; numerical data; Humans; Insurance Coverage/economics/statistics &amp;amp; numerical data; Insurance, Health/economics/statistics &amp;amp; numerical data; Melanoma/diagnosis/mortality/*therapy; Neoplasm Staging; Skin Neoplasms/diagnosis/mortality/*therapy; Socioeconomic Factors; United States&lt;/_subject_headings&gt;&lt;_tertiary_title&gt;Journal of the American Academy of Dermatology&lt;/_tertiary_title&gt;&lt;_type_work&gt;Journal Article; Review&lt;/_type_work&gt;&lt;_url&gt;http://www.ncbi.nlm.nih.gov/entrez/query.fcgi?cmd=Retrieve&amp;amp;db=pubmed&amp;amp;dopt=Abstract&amp;amp;list_uids=32783908&amp;amp;query_hl=1&lt;/_url&gt;&lt;_volume&gt;84&lt;/_volume&gt;&lt;_created&gt;64552289&lt;/_created&gt;&lt;_modified&gt;64552289&lt;/_modified&gt;&lt;_db_updated&gt;PubMed&lt;/_db_updated&gt;&lt;_impact_factor&gt;  15.487&lt;/_impact_factor&gt;&lt;_collection_scope&gt;SCI;SCIE&lt;/_collection_scope&gt;&lt;/Details&gt;&lt;Extra&gt;&lt;DBUID&gt;{F96A950B-833F-4880-A151-76DA2D6A2879}&lt;/DBUID&gt;&lt;/Extra&gt;&lt;/Item&gt;&lt;/References&gt;&lt;/Group&gt;&lt;Group&gt;&lt;References&gt;&lt;Item&gt;&lt;ID&gt;530&lt;/ID&gt;&lt;UID&gt;{0F70A9B7-39F2-434F-9759-56CB2A1BC840}&lt;/UID&gt;&lt;Title&gt;Surgical Management of Primary Cutaneous Melanoma&lt;/Title&gt;&lt;Template&gt;Journal Article&lt;/Template&gt;&lt;Star&gt;0&lt;/Star&gt;&lt;Tag&gt;0&lt;/Tag&gt;&lt;Author&gt;Joyce, D; Skitzki, J J&lt;/Author&gt;&lt;Year&gt;2020&lt;/Year&gt;&lt;Details&gt;&lt;_accession_num&gt;31753116&lt;/_accession_num&gt;&lt;_author_adr&gt;Department of Surgical Oncology, Roswell Park Comprehensive Cancer Center, Buffalo, NY 14263, USA.; Department of Surgical Oncology, Roswell Park Comprehensive Cancer Center, Buffalo, NY 14263, USA. Electronic address: joseph.skitzki@roswellpark.org.&lt;/_author_adr&gt;&lt;_date_display&gt;2020 Feb&lt;/_date_display&gt;&lt;_date&gt;2020-02-01&lt;/_date&gt;&lt;_doi&gt;10.1016/j.suc.2019.09.001&lt;/_doi&gt;&lt;_isbn&gt;1558-3171 (Electronic); 0039-6109 (Linking)&lt;/_isbn&gt;&lt;_issue&gt;1&lt;/_issue&gt;&lt;_journal&gt;Surg Clin North Am&lt;/_journal&gt;&lt;_keywords&gt;Cutaneous melanoma; Melanoma; Melanoma biopsy; Melanoma margins; Melanoma synoptic report; Wide local excision&lt;/_keywords&gt;&lt;_language&gt;eng&lt;/_language&gt;&lt;_ori_publication&gt;Copyright (c) 2019 Elsevier Inc. All rights reserved.&lt;/_ori_publication&gt;&lt;_pages&gt;61-70&lt;/_pages&gt;&lt;_subject_headings&gt;Biopsy; Humans; Margins of Excision; Melanoma/pathology/*surgery; Skin Neoplasms/pathology/*surgery&lt;/_subject_headings&gt;&lt;_tertiary_title&gt;The Surgical clinics of North America&lt;/_tertiary_title&gt;&lt;_type_work&gt;Journal Article; Review&lt;/_type_work&gt;&lt;_url&gt;http://www.ncbi.nlm.nih.gov/entrez/query.fcgi?cmd=Retrieve&amp;amp;db=pubmed&amp;amp;dopt=Abstract&amp;amp;list_uids=31753116&amp;amp;query_hl=1&lt;/_url&gt;&lt;_volume&gt;100&lt;/_volume&gt;&lt;_created&gt;64552291&lt;/_created&gt;&lt;_modified&gt;64552291&lt;/_modified&gt;&lt;_db_updated&gt;PubMed&lt;/_db_updated&gt;&lt;_impact_factor&gt;   3.537&lt;/_impact_factor&gt;&lt;/Details&gt;&lt;Extra&gt;&lt;DBUID&gt;{F96A950B-833F-4880-A151-76DA2D6A2879}&lt;/DBUID&gt;&lt;/Extra&gt;&lt;/Item&gt;&lt;/References&gt;&lt;/Group&gt;&lt;/Citation&gt;_x000a_"/>
    <w:docVar w:name="NE.Ref{E2D1B0DF-2D6D-400A-9855-5C82646907EA}" w:val=" ADDIN NE.Ref.{E2D1B0DF-2D6D-400A-9855-5C82646907EA}&lt;Citation&gt;&lt;Group&gt;&lt;References&gt;&lt;Item&gt;&lt;ID&gt;551&lt;/ID&gt;&lt;UID&gt;{52014FF5-2278-4D58-89E6-2AD7B144B320}&lt;/UID&gt;&lt;Title&gt;Cuproptosis: a new form of programmed cell death&lt;/Title&gt;&lt;Template&gt;Journal Article&lt;/Template&gt;&lt;Star&gt;0&lt;/Star&gt;&lt;Tag&gt;0&lt;/Tag&gt;&lt;Author&gt;Wang, Y; Zhang, L; Zhou, F&lt;/Author&gt;&lt;Year&gt;2022&lt;/Year&gt;&lt;Details&gt;&lt;_accession_num&gt;35459854&lt;/_accession_num&gt;&lt;_author_adr&gt;Institutes of Biology and Medical Science, Soochow University, Suzhou, 215123, China.; MOE Laboratory of Biosystems Homeostasis and Protection and Innovation Center for Cell Signaling Network, Life Sciences Institute, Zhejiang University, Hangzhou, 310058, China. zhanglong.2003@tsinghua.org.cn.; Institutes of Biology and Medical Science, Soochow University, Suzhou, 215123, China. zhoufangfang@suda.edu.cn.&lt;/_author_adr&gt;&lt;_date_display&gt;2022 Aug&lt;/_date_display&gt;&lt;_date&gt;2022-08-01&lt;/_date&gt;&lt;_doi&gt;10.1038/s41423-022-00866-1&lt;/_doi&gt;&lt;_isbn&gt;2042-0226 (Electronic); 1672-7681 (Linking)&lt;/_isbn&gt;&lt;_issue&gt;8&lt;/_issue&gt;&lt;_journal&gt;Cell Mol Immunol&lt;/_journal&gt;&lt;_language&gt;eng&lt;/_language&gt;&lt;_pages&gt;867-868&lt;/_pages&gt;&lt;_subject_headings&gt;*Apoptosis&lt;/_subject_headings&gt;&lt;_tertiary_title&gt;Cellular &amp;amp; molecular immunology&lt;/_tertiary_title&gt;&lt;_type_work&gt;Journal Article; Research Support, Non-U.S. Gov&amp;apos;t; Comment&lt;/_type_work&gt;&lt;_url&gt;http://www.ncbi.nlm.nih.gov/entrez/query.fcgi?cmd=Retrieve&amp;amp;db=pubmed&amp;amp;dopt=Abstract&amp;amp;list_uids=35459854&amp;amp;query_hl=1&lt;/_url&gt;&lt;_volume&gt;19&lt;/_volume&gt;&lt;_created&gt;64583541&lt;/_created&gt;&lt;_modified&gt;64583541&lt;/_modified&gt;&lt;_db_updated&gt;PubMed&lt;/_db_updated&gt;&lt;_impact_factor&gt;  22.096&lt;/_impact_factor&gt;&lt;_social_category&gt;医学(1)&lt;/_social_category&gt;&lt;_collection_scope&gt;CSCD;SCIE&lt;/_collection_scope&gt;&lt;/Details&gt;&lt;Extra&gt;&lt;DBUID&gt;{F96A950B-833F-4880-A151-76DA2D6A2879}&lt;/DBUID&gt;&lt;/Extra&gt;&lt;/Item&gt;&lt;/References&gt;&lt;/Group&gt;&lt;/Citation&gt;_x000a_"/>
    <w:docVar w:name="NE.Ref{F7D42637-8673-43A7-BB6B-24B648410B2A}" w:val=" ADDIN NE.Ref.{F7D42637-8673-43A7-BB6B-24B648410B2A}&lt;Citation&gt;&lt;Group&gt;&lt;References&gt;&lt;Item&gt;&lt;ID&gt;542&lt;/ID&gt;&lt;UID&gt;{43CFB5D9-C04A-4C58-B5B8-DDECEC1C3580}&lt;/UID&gt;&lt;Title&gt;Cuproptosis and cuproptosis-related genes in rheumatoid arthritis: Implication, prospects, and perspectives&lt;/Title&gt;&lt;Template&gt;Journal Article&lt;/Template&gt;&lt;Star&gt;0&lt;/Star&gt;&lt;Tag&gt;0&lt;/Tag&gt;&lt;Author&gt;Zhao, J; Guo, S; Schrodi, S J; He, D&lt;/Author&gt;&lt;Year&gt;2022&lt;/Year&gt;&lt;Details&gt;&lt;_accession_num&gt;35990673&lt;/_accession_num&gt;&lt;_author_adr&gt;Department of Rheumatology, Shanghai Guanghua Hospital, Shanghai University of Traditional Chinese Medicine, Shanghai, China.; Guanghua Clinical Medical College, Shanghai University of Traditional Chinese Medicine, Shanghai, China.; Institute of Arthritis Research in Integrative Medicine, Shanghai Academy of Traditional Chinese Medicine, Shanghai, China.; Computation and Informatics in Biology and Medicine, University of Wisconsin-Madison, Madison, WI, United States.; Department of Medical Genetics, School of Medicine and Public Health, University  of Wisconsin-Madison, Madison, WI, United States.; Computation and Informatics in Biology and Medicine, University of Wisconsin-Madison, Madison, WI, United States.; Department of Medical Genetics, School of Medicine and Public Health, University  of Wisconsin-Madison, Madison, WI, United States.; Department of Rheumatology, Shanghai Guanghua Hospital, Shanghai University of Traditional Chinese Medicine, Shanghai, China.; Guanghua Clinical Medical College, Shanghai University of Traditional Chinese Medicine, Shanghai, China.; Institute of Arthritis Research in Integrative Medicine, Shanghai Academy of Traditional Chinese Medicine, Shanghai, China.; Arthritis Institute of Integrated Traditional and Western Medicine, Shanghai Chinese Medicine Research Institute, Shanghai, China.&lt;/_author_adr&gt;&lt;_collection_scope&gt;SCIE&lt;/_collection_scope&gt;&lt;_created&gt;64553724&lt;/_created&gt;&lt;_date&gt;2022-01-20&lt;/_date&gt;&lt;_date_display&gt;2022&lt;/_date_display&gt;&lt;_db_updated&gt;PubMed&lt;/_db_updated&gt;&lt;_doi&gt;10.3389/fimmu.2022.930278&lt;/_doi&gt;&lt;_impact_factor&gt;   8.786&lt;/_impact_factor&gt;&lt;_isbn&gt;1664-3224 (Electronic); 1664-3224 (Linking)&lt;/_isbn&gt;&lt;_journal&gt;Front Immunol&lt;/_journal&gt;&lt;_keywords&gt;*autoimmune disease; *cuproptosis; *cuproptosis-related genes; *inflammation; *rheumatoid arthritis&lt;/_keywords&gt;&lt;_language&gt;eng&lt;/_language&gt;&lt;_modified&gt;64579349&lt;/_modified&gt;&lt;_ori_publication&gt;Copyright (c) 2022 Zhao, Guo, Schrodi and He.&lt;/_ori_publication&gt;&lt;_pages&gt;930278&lt;/_pages&gt;&lt;_subject_headings&gt;*Arthritis, Rheumatoid; Copper/metabolism; Humans; Inflammation/metabolism; *Synoviocytes/metabolism; *Synovitis/pathology&lt;/_subject_headings&gt;&lt;_tertiary_title&gt;Frontiers in immunology&lt;/_tertiary_title&gt;&lt;_type_work&gt;Journal Article; Review; Research Support, Non-U.S. Gov&amp;apos;t&lt;/_type_work&gt;&lt;_url&gt;http://www.ncbi.nlm.nih.gov/entrez/query.fcgi?cmd=Retrieve&amp;amp;db=pubmed&amp;amp;dopt=Abstract&amp;amp;list_uids=35990673&amp;amp;query_hl=1&lt;/_url&gt;&lt;_volume&gt;13&lt;/_volume&gt;&lt;_social_category&gt;医学(2)&lt;/_social_category&gt;&lt;/Details&gt;&lt;Extra&gt;&lt;DBUID&gt;{F96A950B-833F-4880-A151-76DA2D6A2879}&lt;/DBUID&gt;&lt;/Extra&gt;&lt;/Item&gt;&lt;/References&gt;&lt;/Group&gt;&lt;Group&gt;&lt;References&gt;&lt;Item&gt;&lt;ID&gt;541&lt;/ID&gt;&lt;UID&gt;{0AA1CD17-3076-4376-8900-CA4E132D3500}&lt;/UID&gt;&lt;Title&gt;Identification and immunological characterization of cuproptosis-related molecular clusters in Alzheimer&amp;apos;s disease&lt;/Title&gt;&lt;Template&gt;Journal Article&lt;/Template&gt;&lt;Star&gt;0&lt;/Star&gt;&lt;Tag&gt;0&lt;/Tag&gt;&lt;Author&gt;Lai, Y; Lin, C; Lin, X; Wu, L; Zhao, Y; Lin, F&lt;/Author&gt;&lt;Year&gt;2022&lt;/Year&gt;&lt;Details&gt;&lt;_accession_num&gt;35966780&lt;/_accession_num&gt;&lt;_author_adr&gt;Department of Geriatric Medicine, Shengli Clinical Medical College of Fujian Medical University, Fuzhou, China.; Fujian Provincial Center for Geriatrics, Fujian Provincial Hospital, Fuzhou, China.; Department of Geriatric Medicine, Shengli Clinical Medical College of Fujian Medical University, Fuzhou, China.; Fujian Provincial Center for Geriatrics, Fujian Provincial Hospital, Fuzhou, China.; Department of Geriatric Medicine, Shengli Clinical Medical College of Fujian Medical University, Fuzhou, China.; Fujian Provincial Center for Geriatrics, Fujian Provincial Hospital, Fuzhou, China.; Department of Geriatric Medicine, Shengli Clinical Medical College of Fujian Medical University, Fuzhou, China.; Fujian Provincial Center for Geriatrics, Fujian Provincial Hospital, Fuzhou, China.; Department of Geriatric Medicine, Shengli Clinical Medical College of Fujian Medical University, Fuzhou, China.; Fujian Provincial Center for Geriatrics, Fujian Provincial Hospital, Fuzhou, China.; Department of Geriatric Medicine, Shengli Clinical Medical College of Fujian Medical University, Fuzhou, China.; Fujian Provincial Center for Geriatrics, Fujian Provincial Hospital, Fuzhou, China.&lt;/_author_adr&gt;&lt;_collection_scope&gt;SCIE&lt;/_collection_scope&gt;&lt;_created&gt;64553723&lt;/_created&gt;&lt;_date&gt;2022-01-20&lt;/_date&gt;&lt;_date_display&gt;2022&lt;/_date_display&gt;&lt;_db_updated&gt;PubMed&lt;/_db_updated&gt;&lt;_doi&gt;10.3389/fnagi.2022.932676&lt;/_doi&gt;&lt;_impact_factor&gt;   5.702&lt;/_impact_factor&gt;&lt;_isbn&gt;1663-4365 (Print); 1663-4365 (Linking)&lt;/_isbn&gt;&lt;_journal&gt;Front Aging Neurosci&lt;/_journal&gt;&lt;_keywords&gt;Alzheimer&amp;apos;s disease; cuproptosis; immune infiltration; machine learning; molecular clusters; prediction model&lt;/_keywords&gt;&lt;_language&gt;eng&lt;/_language&gt;&lt;_modified&gt;64579349&lt;/_modified&gt;&lt;_ori_publication&gt;Copyright (c) 2022 Lai, Lin, Lin, Wu, Zhao and Lin.&lt;/_ori_publication&gt;&lt;_pages&gt;932676&lt;/_pages&gt;&lt;_tertiary_title&gt;Frontiers in aging neuroscience&lt;/_tertiary_title&gt;&lt;_type_work&gt;Journal Article&lt;/_type_work&gt;&lt;_url&gt;http://www.ncbi.nlm.nih.gov/entrez/query.fcgi?cmd=Retrieve&amp;amp;db=pubmed&amp;amp;dopt=Abstract&amp;amp;list_uids=35966780&amp;amp;query_hl=1&lt;/_url&gt;&lt;_volume&gt;14&lt;/_volume&gt;&lt;_social_category&gt;医学(2)&lt;/_social_category&gt;&lt;/Details&gt;&lt;Extra&gt;&lt;DBUID&gt;{F96A950B-833F-4880-A151-76DA2D6A2879}&lt;/DBUID&gt;&lt;/Extra&gt;&lt;/Item&gt;&lt;/References&gt;&lt;/Group&gt;&lt;Group&gt;&lt;References&gt;&lt;Item&gt;&lt;ID&gt;540&lt;/ID&gt;&lt;UID&gt;{B3E2C02E-5DB9-4CCB-8D91-BFBAB02A8896}&lt;/UID&gt;&lt;Title&gt;Cuproptosis predicts the risk and clinical outcomes of lung adenocarcinoma&lt;/Title&gt;&lt;Template&gt;Journal Article&lt;/Template&gt;&lt;Star&gt;0&lt;/Star&gt;&lt;Tag&gt;0&lt;/Tag&gt;&lt;Author&gt;Hu, Q; Wang, R; Ma, H; Zhang, Z; Xue, Q&lt;/Author&gt;&lt;Year&gt;2022&lt;/Year&gt;&lt;Details&gt;&lt;_accession_num&gt;36003780&lt;/_accession_num&gt;&lt;_author_adr&gt;Research Center of Clinical Medicine, Affiliated Hospital of Nantong University,  Nantong, China.; Medical School of Nantong University, Nantong University, Nantong, China.; Department of Oncology, The First Affiliated Hospital of Nanjing Medical University, Nanjing, China.; Research Center of Clinical Medicine, Affiliated Hospital of Nantong University,  Nantong, China.; Medical School of Nantong University, Nantong University, Nantong, China.; Research Center of Clinical Medicine, Affiliated Hospital of Nantong University,  Nantong, China.; Medical School of Nantong University, Nantong University, Nantong, China.; Department of Cardiothoracic Surgery, Affiliated Hospital of Nantong University,  Nantong, China.&lt;/_author_adr&gt;&lt;_collection_scope&gt;SCIE&lt;/_collection_scope&gt;&lt;_created&gt;64553723&lt;/_created&gt;&lt;_date&gt;2022-01-20&lt;/_date&gt;&lt;_date_display&gt;2022&lt;/_date_display&gt;&lt;_db_updated&gt;PubMed&lt;/_db_updated&gt;&lt;_doi&gt;10.3389/fonc.2022.922332&lt;/_doi&gt;&lt;_impact_factor&gt;   5.738&lt;/_impact_factor&gt;&lt;_isbn&gt;2234-943X (Print); 2234-943X (Linking)&lt;/_isbn&gt;&lt;_journal&gt;Front Oncol&lt;/_journal&gt;&lt;_keywords&gt;Copper-induced cell death; chemotherapy sensitivity; clinical outcomes; cuproptosis; immunotherapy sensitivity; lung cancer; tumor microenvironment&lt;/_keywords&gt;&lt;_language&gt;eng&lt;/_language&gt;&lt;_modified&gt;64579349&lt;/_modified&gt;&lt;_ori_publication&gt;Copyright (c) 2022 Hu, Wang, Ma, Zhang and Xue.&lt;/_ori_publication&gt;&lt;_pages&gt;922332&lt;/_pages&gt;&lt;_tertiary_title&gt;Frontiers in oncology&lt;/_tertiary_title&gt;&lt;_type_work&gt;Journal Article&lt;/_type_work&gt;&lt;_url&gt;http://www.ncbi.nlm.nih.gov/entrez/query.fcgi?cmd=Retrieve&amp;amp;db=pubmed&amp;amp;dopt=Abstract&amp;amp;list_uids=36003780&amp;amp;query_hl=1&lt;/_url&gt;&lt;_volume&gt;12&lt;/_volume&gt;&lt;_social_category&gt;医学(3)&lt;/_social_category&gt;&lt;/Details&gt;&lt;Extra&gt;&lt;DBUID&gt;{F96A950B-833F-4880-A151-76DA2D6A2879}&lt;/DBUID&gt;&lt;/Extra&gt;&lt;/Item&gt;&lt;/References&gt;&lt;/Group&gt;&lt;Group&gt;&lt;References&gt;&lt;Item&gt;&lt;ID&gt;539&lt;/ID&gt;&lt;UID&gt;{0700C9F4-A0DC-4863-80A4-241021CBF006}&lt;/UID&gt;&lt;Title&gt;Prognostic analysis of cuproptosis-related gene in triple-negative breast cancer&lt;/Title&gt;&lt;Template&gt;Journal Article&lt;/Template&gt;&lt;Star&gt;0&lt;/Star&gt;&lt;Tag&gt;0&lt;/Tag&gt;&lt;Author&gt;Sha, S; Si, L; Wu, X; Chen, Y; Xiong, H; Xu, Y; Liu, W; Mei, H; Wang, T; Li, M&lt;/Author&gt;&lt;Year&gt;2022&lt;/Year&gt;&lt;Details&gt;&lt;_accession_num&gt;35979353&lt;/_accession_num&gt;&lt;_author_adr&gt;Department of Oncology, Affiliated Hospital of Nantong University, Medical School of Nantong University, Nantong, China.; Department of General Surgery, Affiliated Hospital of Nantong University, Medical School of Nantong University, Nantong, China.; Department of Clinical Medicine, Medical School of Nantong University, Nantong, China.; Department of Neurosurgery, Affiliated Hospital of Youjiang Medical University for Nationalities, Baise, China.; Department of Cardiothoracic Surgery, Affiliated Hospital of Nantong, University, Medical School of Nantong University, Nantong, China.; Department of Rehabilitation Medicine, Affiliated Hospital of Nantong University, Medical School of Nantong University, Nantong, China.; Department of Neurosurgery, Affiliated Hospital of Youjiang Medical University for Nationalities, Baise, China.; Department of Interventional Oncology, Renji Hospital, Shanghai Jiao Tong University School of Medicine, Shanghai, China.; Department of General Surgery, Affiliated Hospital of Nantong University, Medical School of Nantong University, Nantong, China.; Department of Interventional Oncology, Renji Hospital, Shanghai Jiao Tong University School of Medicine, Shanghai, China.; Department of Oncology, Affiliated Hospital of Nantong University, Medical School of Nantong University, Nantong, China.&lt;/_author_adr&gt;&lt;_collection_scope&gt;SCIE&lt;/_collection_scope&gt;&lt;_created&gt;64553722&lt;/_created&gt;&lt;_date&gt;2022-01-20&lt;/_date&gt;&lt;_date_display&gt;2022&lt;/_date_display&gt;&lt;_db_updated&gt;PubMed&lt;/_db_updated&gt;&lt;_doi&gt;10.3389/fimmu.2022.922780&lt;/_doi&gt;&lt;_impact_factor&gt;   8.786&lt;/_impact_factor&gt;&lt;_isbn&gt;1664-3224 (Electronic); 1664-3224 (Linking)&lt;/_isbn&gt;&lt;_journal&gt;Front Immunol&lt;/_journal&gt;&lt;_keywords&gt;*cuproptosis; *immunotherapy; *triple-negative breast cancer; *tumor microenvironment; *tumor mutation burden&lt;/_keywords&gt;&lt;_language&gt;eng&lt;/_language&gt;&lt;_modified&gt;64579349&lt;/_modified&gt;&lt;_ori_publication&gt;Copyright (c) 2022 Sha, Si, Wu, Chen, Xiong, Xu, Liu, Mei, Wang and Li.&lt;/_ori_publication&gt;&lt;_pages&gt;922780&lt;/_pages&gt;&lt;_subject_headings&gt;Biomarkers, Tumor/genetics; Humans; Nomograms; Prognosis; *Triple Negative Breast Neoplasms/pathology; Tumor Microenvironment/genetics&lt;/_subject_headings&gt;&lt;_tertiary_title&gt;Frontiers in immunology&lt;/_tertiary_title&gt;&lt;_type_work&gt;Journal Article; Research Support, Non-U.S. Gov&amp;apos;t&lt;/_type_work&gt;&lt;_url&gt;http://www.ncbi.nlm.nih.gov/entrez/query.fcgi?cmd=Retrieve&amp;amp;db=pubmed&amp;amp;dopt=Abstract&amp;amp;list_uids=35979353&amp;amp;query_hl=1&lt;/_url&gt;&lt;_volume&gt;13&lt;/_volume&gt;&lt;_social_category&gt;医学(2)&lt;/_social_category&gt;&lt;/Details&gt;&lt;Extra&gt;&lt;DBUID&gt;{F96A950B-833F-4880-A151-76DA2D6A2879}&lt;/DBUID&gt;&lt;/Extra&gt;&lt;/Item&gt;&lt;/References&gt;&lt;/Group&gt;&lt;Group&gt;&lt;References&gt;&lt;Item&gt;&lt;ID&gt;538&lt;/ID&gt;&lt;UID&gt;{B666758B-D7B1-4919-A537-B02C99D00D73}&lt;/UID&gt;&lt;Title&gt;Cuproptosis-Related Risk Score Predicts Prognosis and Characterizes the Tumor Microenvironment in Hepatocellular Carcinoma&lt;/Title&gt;&lt;Template&gt;Journal Article&lt;/Template&gt;&lt;Star&gt;0&lt;/Star&gt;&lt;Tag&gt;0&lt;/Tag&gt;&lt;Author&gt;Zhang, Z; Zeng, X; Wu, Y; Liu, Y; Zhang, X; Song, Z&lt;/Author&gt;&lt;Year&gt;2022&lt;/Year&gt;&lt;Details&gt;&lt;_accession_num&gt;35898502&lt;/_accession_num&gt;&lt;_author_adr&gt;Department of Oncology, The Third Xiangya Hospital of Central South University, Changsha, China.; Department of Gynecology, The Third Xiangya Hospital of Central South University, Changsha, China.; Xiangya School of Medicine, Central South University, Changsha, China.; Department of Pathology, The Third Xiangya Hospital of Central South University,  Changsha, China.; Department of Oncology, The Third Xiangya Hospital of Central South University, Changsha, China.; Department of Oncology, The Third Xiangya Hospital of Central South University, Changsha, China.&lt;/_author_adr&gt;&lt;_collection_scope&gt;SCIE&lt;/_collection_scope&gt;&lt;_created&gt;64553722&lt;/_created&gt;&lt;_date&gt;2022-01-20&lt;/_date&gt;&lt;_date_display&gt;2022&lt;/_date_display&gt;&lt;_db_updated&gt;PubMed&lt;/_db_updated&gt;&lt;_doi&gt;10.3389/fimmu.2022.925618&lt;/_doi&gt;&lt;_impact_factor&gt;   8.786&lt;/_impact_factor&gt;&lt;_isbn&gt;1664-3224 (Electronic); 1664-3224 (Linking)&lt;/_isbn&gt;&lt;_journal&gt;Front Immunol&lt;/_journal&gt;&lt;_keywords&gt;*Cuproptosis; *FDX1; *hepatocellular carcinoma; *prognostic model; *tumor microenvironment&lt;/_keywords&gt;&lt;_language&gt;eng&lt;/_language&gt;&lt;_modified&gt;64579349&lt;/_modified&gt;&lt;_ori_publication&gt;Copyright (c) 2022 Zhang, Zeng, Wu, Liu, Zhang and Song.&lt;/_ori_publication&gt;&lt;_pages&gt;925618&lt;/_pages&gt;&lt;_subject_headings&gt;*Carcinoma, Hepatocellular/genetics/metabolism/therapy; *Chemoembolization, Therapeutic; Humans; Kaplan-Meier Estimate; *Liver Neoplasms/genetics/metabolism/therapy; Prognosis; Risk Factors; Tumor Microenvironment/genetics&lt;/_subject_headings&gt;&lt;_tertiary_title&gt;Frontiers in immunology&lt;/_tertiary_title&gt;&lt;_type_work&gt;Journal Article; Research Support, Non-U.S. Gov&amp;apos;t&lt;/_type_work&gt;&lt;_url&gt;http://www.ncbi.nlm.nih.gov/entrez/query.fcgi?cmd=Retrieve&amp;amp;db=pubmed&amp;amp;dopt=Abstract&amp;amp;list_uids=35898502&amp;amp;query_hl=1&lt;/_url&gt;&lt;_volume&gt;13&lt;/_volume&gt;&lt;_social_category&gt;医学(2)&lt;/_social_category&gt;&lt;/Details&gt;&lt;Extra&gt;&lt;DBUID&gt;{F96A950B-833F-4880-A151-76DA2D6A2879}&lt;/DBUID&gt;&lt;/Extra&gt;&lt;/Item&gt;&lt;/References&gt;&lt;/Group&gt;&lt;/Citation&gt;_x000a_"/>
    <w:docVar w:name="NE.Ref{FD698544-D361-4BE4-AA18-4DD1AA23F5A9}" w:val=" ADDIN NE.Ref.{FD698544-D361-4BE4-AA18-4DD1AA23F5A9}&lt;Citation&gt;&lt;Group&gt;&lt;References&gt;&lt;Item&gt;&lt;ID&gt;552&lt;/ID&gt;&lt;UID&gt;{7D8416F2-20D1-4B60-AB9F-18E3418EACDE}&lt;/UID&gt;&lt;Title&gt;Compartmentalized activities of the pyruvate dehydrogenase complex sustain lipogenesis in prostate cancer&lt;/Title&gt;&lt;Template&gt;Journal Article&lt;/Template&gt;&lt;Star&gt;0&lt;/Star&gt;&lt;Tag&gt;0&lt;/Tag&gt;&lt;Author&gt;Chen, J; Guccini, I; Di Mitri, D; Brina, D; Revandkar, A; Sarti, M; Pasquini, E; Alajati, A; Pinton, S; Losa, M; Civenni, G; Catapano, C V; Sgrignani, J; Cavalli, A; D&amp;apos;Antuono, R; Asara, J M; Morandi, A; Chiarugi, P; Crotti, S; Agostini, M; Montopoli, M; Masgras, I; Rasola, A; Garcia-Escudero, R; Delaleu, N; Rinaldi, A; Bertoni, F; Bono, J; Carracedo, A; Alimonti, A&lt;/Author&gt;&lt;Year&gt;2018&lt;/Year&gt;&lt;Details&gt;&lt;_accession_num&gt;29335542&lt;/_accession_num&gt;&lt;_author_adr&gt;Institute of Oncology Research, Oncology Institute of Southern Switzerland, Universita della Svizzera Italiana, Bellinzona, Switzerland.; Faculty of Biology and Medicine, University of Lausanne, Lausanne, Switzerland.; Institute of Oncology Research, Oncology Institute of Southern Switzerland, Universita della Svizzera Italiana, Bellinzona, Switzerland.; Institute of Oncology Research, Oncology Institute of Southern Switzerland, Universita della Svizzera Italiana, Bellinzona, Switzerland.; Institute of Oncology Research, Oncology Institute of Southern Switzerland, Universita della Svizzera Italiana, Bellinzona, Switzerland.; Institute of Oncology Research, Oncology Institute of Southern Switzerland, Universita della Svizzera Italiana, Bellinzona, Switzerland.; Faculty of Biology and Medicine, University of Lausanne, Lausanne, Switzerland.; Institute of Oncology Research, Oncology Institute of Southern Switzerland, Universita della Svizzera Italiana, Bellinzona, Switzerland.; Institute of Oncology Research, Oncology Institute of Southern Switzerland, Universita della Svizzera Italiana, Bellinzona, Switzerland.; Institute of Oncology Research, Oncology Institute of Southern Switzerland, Universita della Svizzera Italiana, Bellinzona, Switzerland.; Institute of Oncology Research, Oncology Institute of Southern Switzerland, Universita della Svizzera Italiana, Bellinzona, Switzerland.; Institute of Oncology Research, Oncology Institute of Southern Switzerland, Universita della Svizzera Italiana, Bellinzona, Switzerland.; Institute of Oncology Research, Oncology Institute of Southern Switzerland, Universita della Svizzera Italiana, Bellinzona, Switzerland.; Institute of Oncology Research, Oncology Institute of Southern Switzerland, Universita della Svizzera Italiana, Bellinzona, Switzerland.; Computational Structural Biology, Institute for Research in Biomedicine, Universita della Svizzera Italiana, Bellinzona, Switzerland.; Computational Structural Biology, Institute for Research in Biomedicine, Universita della Svizzera Italiana, Bellinzona, Switzerland.; Imaging Facility, Institute for Research in Biomedicine, Universita della Svizzera Italiana, Bellinzona, Switzerland.; Division of Signal Transduction, Beth Israel Deaconess Medical Center and Harvard Medical School, Boston, MA, USA.; Department of Biomedical, Experimental and Clinical Sciences, University of Florence, Florence, Italy.; Department of Biomedical, Experimental and Clinical Sciences, University of Florence, Florence, Italy.; Nano-inspired Biomedicine Lab, Institute of Paediatric Research-Citta della Speranza, Padova, Italy.; Nano-inspired Biomedicine Lab, Institute of Paediatric Research-Citta della Speranza, Padova, Italy.; Surgical Clinic, Department of Surgical, Oncological and Gastroenterological Sciences, University of Padova, Padova, Italy.; Department of Pharmaceutical and Pharmacological Sciences, University of Padova,  Padova, Italy.; CNR Institute of Neuroscience and Department of Biomedical Sciences, University of Padova, Padova, Italy.; CNR Institute of Neuroscience and Department of Biomedical Sciences, University of Padova, Padova, Italy.; Molecular Oncology Unit, Centro de Investigaciones Energeticas, Medioambientales  y Tecnologicas, Madrid, Spain.; Biomedical Research Institute I+12, University Hospital 12 de Octubre, Madrid, Spain.; Centro de Investigacion Biomedica en Red de Cancer, Madrid, Spain.; Roegelmann Research Laboratory, Department of Clinical Science, University of Bergen, Bergen, Norway.; Institute of Oncology Research, Oncology Institute of Southern Switzerland, Universita della Svizzera Italiana, Bellinzona, Switzerland.; Institute of Oncology Research, Oncology Institute of Southern Switzerland, Universita della Svizzera Italiana, Bellinzona, Switzerland.; Drug Development Unit, Division of Cancer Therapeutics and Division of Clinical Studies, Royal Marsden NHS Foundation Trust and Institute of Cancer Research, London, UK.; Centro de Investigacion Biomedica en Red de Cancer, Madrid, Spain.; CIC bioGUNE, Bizkaia Technology Park, Bizkaia, Spain.; Ikerbasque, Basque Foundation for Science, Bilbao, Spain.; Biochemistry and Molecular Biology Department, University of the Basque Country,  Bilbao, Spain.; Institute of Oncology Research, Oncology Institute of Southern Switzerland, Universita della Svizzera Italiana, Bellinzona, Switzerland. andrea.alimonti@ior.iosi.ch.; Faculty of Biology and Medicine, University of Lausanne, Lausanne, Switzerland. andrea.alimonti@ior.iosi.ch.; Department of Medicine, Venetian Institute of Molecular Medicine, University of Padova, Padova, Italy. andrea.alimonti@ior.iosi.ch.&lt;/_author_adr&gt;&lt;_date_display&gt;2018 Feb&lt;/_date_display&gt;&lt;_date&gt;2018-02-01&lt;/_date&gt;&lt;_doi&gt;10.1038/s41588-017-0026-3&lt;/_doi&gt;&lt;_isbn&gt;1546-1718 (Electronic); 1061-4036 (Linking)&lt;/_isbn&gt;&lt;_issue&gt;2&lt;/_issue&gt;&lt;_journal&gt;Nat Genet&lt;/_journal&gt;&lt;_language&gt;eng&lt;/_language&gt;&lt;_pages&gt;219-228&lt;/_pages&gt;&lt;_subject_headings&gt;Animals; Cell Compartmentation/*physiology; Cell Line, Tumor; Cell Nucleus/genetics/metabolism/pathology; Cells, Cultured; Cytoplasm/genetics/metabolism/pathology; Humans; *Lipogenesis/genetics; Male; Mice; Mice, Knockout; Prostatic Neoplasms/genetics/*metabolism/pathology; Protein Processing, Post-Translational/genetics; Pyruvate Dehydrogenase (Lipoamide)/*genetics/metabolism; Pyruvate Dehydrogenase Complex/metabolism/*physiology&lt;/_subject_headings&gt;&lt;_tertiary_title&gt;Nature genetics&lt;/_tertiary_title&gt;&lt;_type_work&gt;Journal Article; Research Support, N.I.H., Extramural; Research Support, Non-U.S. Gov&amp;apos;t&lt;/_type_work&gt;&lt;_url&gt;http://www.ncbi.nlm.nih.gov/entrez/query.fcgi?cmd=Retrieve&amp;amp;db=pubmed&amp;amp;dopt=Abstract&amp;amp;list_uids=29335542&amp;amp;query_hl=1&lt;/_url&gt;&lt;_volume&gt;50&lt;/_volume&gt;&lt;_created&gt;64583595&lt;/_created&gt;&lt;_modified&gt;64583595&lt;/_modified&gt;&lt;_db_updated&gt;PubMed&lt;/_db_updated&gt;&lt;_impact_factor&gt;  41.307&lt;/_impact_factor&gt;&lt;_social_category&gt;生物学(1)&lt;/_social_category&gt;&lt;_collection_scope&gt;SCIE&lt;/_collection_scope&gt;&lt;/Details&gt;&lt;Extra&gt;&lt;DBUID&gt;{F96A950B-833F-4880-A151-76DA2D6A2879}&lt;/DBUID&gt;&lt;/Extra&gt;&lt;/Item&gt;&lt;/References&gt;&lt;/Group&gt;&lt;/Citation&gt;_x000a_"/>
    <w:docVar w:name="ne_docsoft" w:val="MSWord"/>
    <w:docVar w:name="ne_docversion" w:val="NoteExpress 2.0"/>
    <w:docVar w:name="ne_stylename" w:val="Numbered(multilingual)"/>
  </w:docVars>
  <w:rsids>
    <w:rsidRoot w:val="004E794B"/>
    <w:rsid w:val="000016E4"/>
    <w:rsid w:val="00007E0F"/>
    <w:rsid w:val="0001655A"/>
    <w:rsid w:val="00020B64"/>
    <w:rsid w:val="00021588"/>
    <w:rsid w:val="00046395"/>
    <w:rsid w:val="000662C3"/>
    <w:rsid w:val="0006744D"/>
    <w:rsid w:val="00084C0A"/>
    <w:rsid w:val="000872E9"/>
    <w:rsid w:val="0009255A"/>
    <w:rsid w:val="000D2771"/>
    <w:rsid w:val="000F0EF1"/>
    <w:rsid w:val="00100D18"/>
    <w:rsid w:val="0010132F"/>
    <w:rsid w:val="00104088"/>
    <w:rsid w:val="00104A5D"/>
    <w:rsid w:val="0011061E"/>
    <w:rsid w:val="001330A3"/>
    <w:rsid w:val="001462D7"/>
    <w:rsid w:val="001634BD"/>
    <w:rsid w:val="001775BB"/>
    <w:rsid w:val="00182E15"/>
    <w:rsid w:val="001A3D78"/>
    <w:rsid w:val="001B7449"/>
    <w:rsid w:val="001C42D6"/>
    <w:rsid w:val="001E0A6A"/>
    <w:rsid w:val="00207B8C"/>
    <w:rsid w:val="00220DE1"/>
    <w:rsid w:val="00223137"/>
    <w:rsid w:val="00223C67"/>
    <w:rsid w:val="00244EFD"/>
    <w:rsid w:val="00252A64"/>
    <w:rsid w:val="0025597A"/>
    <w:rsid w:val="002779E7"/>
    <w:rsid w:val="00277E22"/>
    <w:rsid w:val="00284CC2"/>
    <w:rsid w:val="002A7278"/>
    <w:rsid w:val="002C43A4"/>
    <w:rsid w:val="002D3A29"/>
    <w:rsid w:val="002E25BB"/>
    <w:rsid w:val="002F7D67"/>
    <w:rsid w:val="00342099"/>
    <w:rsid w:val="003420DC"/>
    <w:rsid w:val="00365AAD"/>
    <w:rsid w:val="0037063A"/>
    <w:rsid w:val="00375661"/>
    <w:rsid w:val="00393713"/>
    <w:rsid w:val="00395699"/>
    <w:rsid w:val="003C2765"/>
    <w:rsid w:val="003C58AF"/>
    <w:rsid w:val="003F3936"/>
    <w:rsid w:val="003F59CA"/>
    <w:rsid w:val="003F6694"/>
    <w:rsid w:val="00400FE5"/>
    <w:rsid w:val="00423A03"/>
    <w:rsid w:val="0042428C"/>
    <w:rsid w:val="00426708"/>
    <w:rsid w:val="00427353"/>
    <w:rsid w:val="00433B7C"/>
    <w:rsid w:val="00433FD1"/>
    <w:rsid w:val="00440412"/>
    <w:rsid w:val="00443BC4"/>
    <w:rsid w:val="004465A9"/>
    <w:rsid w:val="00461055"/>
    <w:rsid w:val="00465A48"/>
    <w:rsid w:val="00467517"/>
    <w:rsid w:val="00467CAF"/>
    <w:rsid w:val="00472033"/>
    <w:rsid w:val="00480F7D"/>
    <w:rsid w:val="00491667"/>
    <w:rsid w:val="004A04F8"/>
    <w:rsid w:val="004A48F3"/>
    <w:rsid w:val="004A598F"/>
    <w:rsid w:val="004B03C6"/>
    <w:rsid w:val="004D7F78"/>
    <w:rsid w:val="004E794B"/>
    <w:rsid w:val="004F3ED3"/>
    <w:rsid w:val="004F7271"/>
    <w:rsid w:val="00504CCF"/>
    <w:rsid w:val="005255EB"/>
    <w:rsid w:val="005370E0"/>
    <w:rsid w:val="00542DA1"/>
    <w:rsid w:val="00544519"/>
    <w:rsid w:val="00552A65"/>
    <w:rsid w:val="00564271"/>
    <w:rsid w:val="005665D5"/>
    <w:rsid w:val="005706F5"/>
    <w:rsid w:val="005732CC"/>
    <w:rsid w:val="00577AD2"/>
    <w:rsid w:val="00587B0B"/>
    <w:rsid w:val="0059349E"/>
    <w:rsid w:val="00595002"/>
    <w:rsid w:val="005B0376"/>
    <w:rsid w:val="005C2909"/>
    <w:rsid w:val="005D52FC"/>
    <w:rsid w:val="005E4577"/>
    <w:rsid w:val="00602452"/>
    <w:rsid w:val="0060359A"/>
    <w:rsid w:val="006129B4"/>
    <w:rsid w:val="00614FBA"/>
    <w:rsid w:val="006155F8"/>
    <w:rsid w:val="0063459C"/>
    <w:rsid w:val="006374CE"/>
    <w:rsid w:val="00643734"/>
    <w:rsid w:val="0064751A"/>
    <w:rsid w:val="00647641"/>
    <w:rsid w:val="00676FC8"/>
    <w:rsid w:val="006863DB"/>
    <w:rsid w:val="006A331A"/>
    <w:rsid w:val="006A42B7"/>
    <w:rsid w:val="006A5244"/>
    <w:rsid w:val="006B7EBD"/>
    <w:rsid w:val="006E0AEA"/>
    <w:rsid w:val="006E0C5E"/>
    <w:rsid w:val="006F343C"/>
    <w:rsid w:val="0070228D"/>
    <w:rsid w:val="00716DBD"/>
    <w:rsid w:val="0072677C"/>
    <w:rsid w:val="00735FBE"/>
    <w:rsid w:val="00741EAD"/>
    <w:rsid w:val="00750FB1"/>
    <w:rsid w:val="007572D3"/>
    <w:rsid w:val="00761550"/>
    <w:rsid w:val="0076184D"/>
    <w:rsid w:val="00772B8C"/>
    <w:rsid w:val="00776C90"/>
    <w:rsid w:val="00794512"/>
    <w:rsid w:val="007B0DF9"/>
    <w:rsid w:val="007C516D"/>
    <w:rsid w:val="007C6143"/>
    <w:rsid w:val="007D1284"/>
    <w:rsid w:val="007D3C4E"/>
    <w:rsid w:val="007D4D90"/>
    <w:rsid w:val="007D55A1"/>
    <w:rsid w:val="007D5927"/>
    <w:rsid w:val="007E6E52"/>
    <w:rsid w:val="007F54BC"/>
    <w:rsid w:val="00801805"/>
    <w:rsid w:val="008059C0"/>
    <w:rsid w:val="00821C31"/>
    <w:rsid w:val="00831B60"/>
    <w:rsid w:val="00832A90"/>
    <w:rsid w:val="00840973"/>
    <w:rsid w:val="00842A93"/>
    <w:rsid w:val="008441E8"/>
    <w:rsid w:val="00856DB5"/>
    <w:rsid w:val="00862130"/>
    <w:rsid w:val="00874197"/>
    <w:rsid w:val="00890038"/>
    <w:rsid w:val="008A41A4"/>
    <w:rsid w:val="008A5E15"/>
    <w:rsid w:val="008B0D4F"/>
    <w:rsid w:val="008C6791"/>
    <w:rsid w:val="008C6EB9"/>
    <w:rsid w:val="008D4C75"/>
    <w:rsid w:val="008E67F9"/>
    <w:rsid w:val="008F2233"/>
    <w:rsid w:val="008F28B5"/>
    <w:rsid w:val="008F5170"/>
    <w:rsid w:val="009109FD"/>
    <w:rsid w:val="00917E73"/>
    <w:rsid w:val="00927DD4"/>
    <w:rsid w:val="0098282E"/>
    <w:rsid w:val="00997AA4"/>
    <w:rsid w:val="009A0673"/>
    <w:rsid w:val="009A16A8"/>
    <w:rsid w:val="009B6146"/>
    <w:rsid w:val="009C024B"/>
    <w:rsid w:val="009E482B"/>
    <w:rsid w:val="009E59F7"/>
    <w:rsid w:val="009F34C5"/>
    <w:rsid w:val="009F403B"/>
    <w:rsid w:val="009F6FC1"/>
    <w:rsid w:val="00A03BFE"/>
    <w:rsid w:val="00A34089"/>
    <w:rsid w:val="00A40074"/>
    <w:rsid w:val="00A436A0"/>
    <w:rsid w:val="00A636D8"/>
    <w:rsid w:val="00A67151"/>
    <w:rsid w:val="00A75797"/>
    <w:rsid w:val="00A8003B"/>
    <w:rsid w:val="00A91668"/>
    <w:rsid w:val="00A972C5"/>
    <w:rsid w:val="00AB0C22"/>
    <w:rsid w:val="00AB3343"/>
    <w:rsid w:val="00AC4CD9"/>
    <w:rsid w:val="00AC60CB"/>
    <w:rsid w:val="00AD2EC1"/>
    <w:rsid w:val="00AD44EE"/>
    <w:rsid w:val="00AE25FC"/>
    <w:rsid w:val="00AE3552"/>
    <w:rsid w:val="00AF6D3B"/>
    <w:rsid w:val="00B002EB"/>
    <w:rsid w:val="00B104C9"/>
    <w:rsid w:val="00B16FA0"/>
    <w:rsid w:val="00B32638"/>
    <w:rsid w:val="00B334F9"/>
    <w:rsid w:val="00B44BF7"/>
    <w:rsid w:val="00B45DA5"/>
    <w:rsid w:val="00B50D47"/>
    <w:rsid w:val="00B63DEF"/>
    <w:rsid w:val="00B92C07"/>
    <w:rsid w:val="00BA532F"/>
    <w:rsid w:val="00BB5E70"/>
    <w:rsid w:val="00BB5FF4"/>
    <w:rsid w:val="00BC29DE"/>
    <w:rsid w:val="00BD3054"/>
    <w:rsid w:val="00BD30AB"/>
    <w:rsid w:val="00BD3B92"/>
    <w:rsid w:val="00BE07B5"/>
    <w:rsid w:val="00C06922"/>
    <w:rsid w:val="00C12BF6"/>
    <w:rsid w:val="00C267EF"/>
    <w:rsid w:val="00C334CE"/>
    <w:rsid w:val="00C4279C"/>
    <w:rsid w:val="00C44A61"/>
    <w:rsid w:val="00C52BB9"/>
    <w:rsid w:val="00C55DCD"/>
    <w:rsid w:val="00C5706C"/>
    <w:rsid w:val="00C6387A"/>
    <w:rsid w:val="00C64848"/>
    <w:rsid w:val="00C670F5"/>
    <w:rsid w:val="00C739FF"/>
    <w:rsid w:val="00C832B6"/>
    <w:rsid w:val="00C84D14"/>
    <w:rsid w:val="00C85E66"/>
    <w:rsid w:val="00C95EE0"/>
    <w:rsid w:val="00C96E0E"/>
    <w:rsid w:val="00CA19EC"/>
    <w:rsid w:val="00CB65DA"/>
    <w:rsid w:val="00CB7F2C"/>
    <w:rsid w:val="00CD5297"/>
    <w:rsid w:val="00CE3518"/>
    <w:rsid w:val="00CF61FC"/>
    <w:rsid w:val="00D06A04"/>
    <w:rsid w:val="00D1076F"/>
    <w:rsid w:val="00D118D4"/>
    <w:rsid w:val="00D127CE"/>
    <w:rsid w:val="00D13A08"/>
    <w:rsid w:val="00D44E44"/>
    <w:rsid w:val="00D45BA0"/>
    <w:rsid w:val="00D54635"/>
    <w:rsid w:val="00D55D1D"/>
    <w:rsid w:val="00D76F3D"/>
    <w:rsid w:val="00D93851"/>
    <w:rsid w:val="00D944C4"/>
    <w:rsid w:val="00D97A22"/>
    <w:rsid w:val="00D97F98"/>
    <w:rsid w:val="00DA1020"/>
    <w:rsid w:val="00DB0145"/>
    <w:rsid w:val="00DC06F4"/>
    <w:rsid w:val="00DC0A68"/>
    <w:rsid w:val="00DD32AC"/>
    <w:rsid w:val="00DE618E"/>
    <w:rsid w:val="00E04C7A"/>
    <w:rsid w:val="00E25E06"/>
    <w:rsid w:val="00E41236"/>
    <w:rsid w:val="00E665F0"/>
    <w:rsid w:val="00E8696C"/>
    <w:rsid w:val="00E9260F"/>
    <w:rsid w:val="00E95A4F"/>
    <w:rsid w:val="00EB1AB0"/>
    <w:rsid w:val="00EB6BB9"/>
    <w:rsid w:val="00EB6BDF"/>
    <w:rsid w:val="00EC2BAE"/>
    <w:rsid w:val="00ED1041"/>
    <w:rsid w:val="00ED472E"/>
    <w:rsid w:val="00EE27DF"/>
    <w:rsid w:val="00F26789"/>
    <w:rsid w:val="00F344E6"/>
    <w:rsid w:val="00F4119D"/>
    <w:rsid w:val="00F457F6"/>
    <w:rsid w:val="00F56253"/>
    <w:rsid w:val="00F57807"/>
    <w:rsid w:val="00F67B22"/>
    <w:rsid w:val="00F76911"/>
    <w:rsid w:val="00F83257"/>
    <w:rsid w:val="00F87C7C"/>
    <w:rsid w:val="00F974B0"/>
    <w:rsid w:val="00FA6212"/>
    <w:rsid w:val="00FB0380"/>
    <w:rsid w:val="00FB0E85"/>
    <w:rsid w:val="00FB55D9"/>
    <w:rsid w:val="00FB5EC3"/>
    <w:rsid w:val="00FC2520"/>
    <w:rsid w:val="00FC2CC2"/>
    <w:rsid w:val="00FC4428"/>
    <w:rsid w:val="00FC5E48"/>
    <w:rsid w:val="00FD38F5"/>
    <w:rsid w:val="00FD5B13"/>
    <w:rsid w:val="00FE7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3F2DEE"/>
  <w15:docId w15:val="{CF01FF6E-23A4-468B-BD2E-E292897ED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04A5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334CE"/>
    <w:pPr>
      <w:ind w:firstLineChars="200" w:firstLine="420"/>
    </w:pPr>
  </w:style>
  <w:style w:type="character" w:customStyle="1" w:styleId="fontstyle21">
    <w:name w:val="fontstyle21"/>
    <w:basedOn w:val="a0"/>
    <w:rsid w:val="00A03BFE"/>
    <w:rPr>
      <w:rFonts w:ascii="AdvOTd86a71d2" w:hAnsi="AdvOTd86a71d2" w:hint="default"/>
      <w:b w:val="0"/>
      <w:bCs w:val="0"/>
      <w:i w:val="0"/>
      <w:iCs w:val="0"/>
      <w:color w:val="000000"/>
      <w:sz w:val="14"/>
      <w:szCs w:val="14"/>
    </w:rPr>
  </w:style>
  <w:style w:type="character" w:customStyle="1" w:styleId="fontstyle01">
    <w:name w:val="fontstyle01"/>
    <w:basedOn w:val="a0"/>
    <w:rsid w:val="00365AAD"/>
    <w:rPr>
      <w:rFonts w:ascii="AdvOT1ef757c0" w:hAnsi="AdvOT1ef757c0" w:hint="default"/>
      <w:b w:val="0"/>
      <w:bCs w:val="0"/>
      <w:i w:val="0"/>
      <w:iCs w:val="0"/>
      <w:color w:val="000000"/>
      <w:sz w:val="18"/>
      <w:szCs w:val="18"/>
    </w:rPr>
  </w:style>
  <w:style w:type="paragraph" w:styleId="a4">
    <w:name w:val="header"/>
    <w:basedOn w:val="a"/>
    <w:link w:val="a5"/>
    <w:uiPriority w:val="99"/>
    <w:unhideWhenUsed/>
    <w:rsid w:val="002F7D6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F7D67"/>
    <w:rPr>
      <w:sz w:val="18"/>
      <w:szCs w:val="18"/>
    </w:rPr>
  </w:style>
  <w:style w:type="paragraph" w:styleId="a6">
    <w:name w:val="footer"/>
    <w:basedOn w:val="a"/>
    <w:link w:val="a7"/>
    <w:uiPriority w:val="99"/>
    <w:unhideWhenUsed/>
    <w:rsid w:val="002F7D67"/>
    <w:pPr>
      <w:tabs>
        <w:tab w:val="center" w:pos="4153"/>
        <w:tab w:val="right" w:pos="8306"/>
      </w:tabs>
      <w:snapToGrid w:val="0"/>
      <w:jc w:val="left"/>
    </w:pPr>
    <w:rPr>
      <w:sz w:val="18"/>
      <w:szCs w:val="18"/>
    </w:rPr>
  </w:style>
  <w:style w:type="character" w:customStyle="1" w:styleId="a7">
    <w:name w:val="页脚 字符"/>
    <w:basedOn w:val="a0"/>
    <w:link w:val="a6"/>
    <w:uiPriority w:val="99"/>
    <w:rsid w:val="002F7D67"/>
    <w:rPr>
      <w:sz w:val="18"/>
      <w:szCs w:val="18"/>
    </w:rPr>
  </w:style>
  <w:style w:type="character" w:styleId="a8">
    <w:name w:val="annotation reference"/>
    <w:basedOn w:val="a0"/>
    <w:uiPriority w:val="99"/>
    <w:semiHidden/>
    <w:unhideWhenUsed/>
    <w:rsid w:val="00A636D8"/>
    <w:rPr>
      <w:sz w:val="21"/>
      <w:szCs w:val="21"/>
    </w:rPr>
  </w:style>
  <w:style w:type="paragraph" w:styleId="a9">
    <w:name w:val="annotation text"/>
    <w:basedOn w:val="a"/>
    <w:link w:val="aa"/>
    <w:uiPriority w:val="99"/>
    <w:semiHidden/>
    <w:unhideWhenUsed/>
    <w:rsid w:val="00A636D8"/>
    <w:pPr>
      <w:jc w:val="left"/>
    </w:pPr>
  </w:style>
  <w:style w:type="character" w:customStyle="1" w:styleId="aa">
    <w:name w:val="批注文字 字符"/>
    <w:basedOn w:val="a0"/>
    <w:link w:val="a9"/>
    <w:uiPriority w:val="99"/>
    <w:semiHidden/>
    <w:rsid w:val="00A636D8"/>
  </w:style>
  <w:style w:type="paragraph" w:styleId="ab">
    <w:name w:val="annotation subject"/>
    <w:basedOn w:val="a9"/>
    <w:next w:val="a9"/>
    <w:link w:val="ac"/>
    <w:uiPriority w:val="99"/>
    <w:semiHidden/>
    <w:unhideWhenUsed/>
    <w:rsid w:val="00A636D8"/>
    <w:rPr>
      <w:b/>
      <w:bCs/>
    </w:rPr>
  </w:style>
  <w:style w:type="character" w:customStyle="1" w:styleId="ac">
    <w:name w:val="批注主题 字符"/>
    <w:basedOn w:val="aa"/>
    <w:link w:val="ab"/>
    <w:uiPriority w:val="99"/>
    <w:semiHidden/>
    <w:rsid w:val="00A636D8"/>
    <w:rPr>
      <w:b/>
      <w:bCs/>
    </w:rPr>
  </w:style>
  <w:style w:type="paragraph" w:styleId="ad">
    <w:name w:val="Revision"/>
    <w:hidden/>
    <w:uiPriority w:val="99"/>
    <w:semiHidden/>
    <w:rsid w:val="009C024B"/>
  </w:style>
  <w:style w:type="table" w:styleId="ae">
    <w:name w:val="Table Grid"/>
    <w:basedOn w:val="a1"/>
    <w:uiPriority w:val="39"/>
    <w:rsid w:val="007D4D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68886">
      <w:bodyDiv w:val="1"/>
      <w:marLeft w:val="0"/>
      <w:marRight w:val="0"/>
      <w:marTop w:val="0"/>
      <w:marBottom w:val="0"/>
      <w:divBdr>
        <w:top w:val="none" w:sz="0" w:space="0" w:color="auto"/>
        <w:left w:val="none" w:sz="0" w:space="0" w:color="auto"/>
        <w:bottom w:val="none" w:sz="0" w:space="0" w:color="auto"/>
        <w:right w:val="none" w:sz="0" w:space="0" w:color="auto"/>
      </w:divBdr>
    </w:div>
    <w:div w:id="46073325">
      <w:bodyDiv w:val="1"/>
      <w:marLeft w:val="0"/>
      <w:marRight w:val="0"/>
      <w:marTop w:val="0"/>
      <w:marBottom w:val="0"/>
      <w:divBdr>
        <w:top w:val="none" w:sz="0" w:space="0" w:color="auto"/>
        <w:left w:val="none" w:sz="0" w:space="0" w:color="auto"/>
        <w:bottom w:val="none" w:sz="0" w:space="0" w:color="auto"/>
        <w:right w:val="none" w:sz="0" w:space="0" w:color="auto"/>
      </w:divBdr>
    </w:div>
    <w:div w:id="896747909">
      <w:bodyDiv w:val="1"/>
      <w:marLeft w:val="0"/>
      <w:marRight w:val="0"/>
      <w:marTop w:val="0"/>
      <w:marBottom w:val="0"/>
      <w:divBdr>
        <w:top w:val="none" w:sz="0" w:space="0" w:color="auto"/>
        <w:left w:val="none" w:sz="0" w:space="0" w:color="auto"/>
        <w:bottom w:val="none" w:sz="0" w:space="0" w:color="auto"/>
        <w:right w:val="none" w:sz="0" w:space="0" w:color="auto"/>
      </w:divBdr>
    </w:div>
    <w:div w:id="13841376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7B6CC4-3129-47A1-94E9-EE37BC219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5347</TotalTime>
  <Pages>8</Pages>
  <Words>765</Words>
  <Characters>4367</Characters>
  <Application>Microsoft Office Word</Application>
  <DocSecurity>0</DocSecurity>
  <Lines>36</Lines>
  <Paragraphs>10</Paragraphs>
  <ScaleCrop>false</ScaleCrop>
  <Company/>
  <LinksUpToDate>false</LinksUpToDate>
  <CharactersWithSpaces>5122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zhoubinying@outlook.com</dc:creator>
  <cp:keywords/>
  <dc:description>NE.Ref</dc:description>
  <cp:lastModifiedBy>ZB-PC</cp:lastModifiedBy>
  <cp:revision>126</cp:revision>
  <dcterms:created xsi:type="dcterms:W3CDTF">2022-09-19T10:05:00Z</dcterms:created>
  <dcterms:modified xsi:type="dcterms:W3CDTF">2023-07-20T14:47:00Z</dcterms:modified>
</cp:coreProperties>
</file>