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58A94" w14:textId="711F41E5" w:rsidR="002B072D" w:rsidRPr="00ED272A" w:rsidRDefault="008F6F13" w:rsidP="002B072D">
      <w:pPr>
        <w:pStyle w:val="a7"/>
        <w:widowControl/>
        <w:numPr>
          <w:ilvl w:val="1"/>
          <w:numId w:val="1"/>
        </w:numPr>
        <w:spacing w:before="100" w:beforeAutospacing="1" w:after="100" w:afterAutospacing="1"/>
        <w:ind w:firstLineChars="0"/>
        <w:outlineLvl w:val="2"/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A</w:t>
      </w:r>
      <w:r w:rsidRPr="008F6F13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acquisition</w:t>
      </w:r>
      <w:proofErr w:type="spellEnd"/>
      <w:r w:rsidRPr="008F6F13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of datasets</w:t>
      </w:r>
      <w:r w:rsidR="002B072D" w:rsidRPr="00ED272A">
        <w:rPr>
          <w:i/>
          <w:iCs/>
        </w:rPr>
        <w:t xml:space="preserve"> </w:t>
      </w:r>
    </w:p>
    <w:p w14:paraId="537218AC" w14:textId="48825A95" w:rsidR="002B072D" w:rsidRPr="00B83752" w:rsidRDefault="008F6F13" w:rsidP="008F6F13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</w:t>
      </w:r>
      <w:r w:rsidRPr="002308D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he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E13838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data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</w:t>
      </w:r>
      <w:proofErr w:type="spellEnd"/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and clinical information </w:t>
      </w:r>
      <w:r w:rsidRPr="002308D3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of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451 melanoma </w:t>
      </w:r>
      <w:r w:rsid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sample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 were obtained from the TCGA-SKCM (http:</w:t>
      </w:r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//xena.ucsc.edu). The </w:t>
      </w:r>
      <w:proofErr w:type="spellStart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GTEx</w:t>
      </w:r>
      <w:proofErr w:type="spellEnd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dataset (https://www.gtexportal. org/home/datasets) was used to download the information.</w:t>
      </w:r>
      <w:r w:rsidR="002B072D"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R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software package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s were used for 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normaliz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ing the r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aw data.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W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then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divided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melanoma samples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from TCGA-SKCM </w:t>
      </w:r>
      <w:r w:rsidR="002B072D" w:rsidRPr="005E79E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stochastically</w:t>
      </w:r>
      <w:r w:rsidR="002B072D" w:rsidRPr="00B83752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into a training </w:t>
      </w:r>
      <w:r w:rsidR="002B072D" w:rsidRPr="005E79E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cohort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(n = 226) and a testing </w:t>
      </w:r>
      <w:r w:rsidR="002B072D" w:rsidRPr="005E79E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cohort</w:t>
      </w:r>
      <w:r w:rsidR="002B072D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(n = 225).</w:t>
      </w:r>
    </w:p>
    <w:p w14:paraId="1E3D3EAC" w14:textId="76704F9D" w:rsidR="002B072D" w:rsidRPr="00ED272A" w:rsidRDefault="00E13838" w:rsidP="002B072D">
      <w:pPr>
        <w:pStyle w:val="a7"/>
        <w:widowControl/>
        <w:numPr>
          <w:ilvl w:val="1"/>
          <w:numId w:val="1"/>
        </w:numPr>
        <w:spacing w:before="100" w:beforeAutospacing="1" w:after="100" w:afterAutospacing="1" w:line="360" w:lineRule="auto"/>
        <w:ind w:firstLineChars="0"/>
        <w:outlineLvl w:val="2"/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</w:t>
      </w:r>
      <w:r w:rsidR="002B072D" w:rsidRPr="00ED272A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Weighted Gene Co-Expression Networks Analysis (WGCNA)</w:t>
      </w:r>
    </w:p>
    <w:p w14:paraId="2E9A02F5" w14:textId="393B9D85" w:rsidR="002B072D" w:rsidRDefault="002B072D" w:rsidP="002B072D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WGCNA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was used to extract the t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ranscriptome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data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of genes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and 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different gene expression of TCGA. Sample clustering</w:t>
      </w:r>
      <w:r w:rsidRPr="00B83752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for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traits-related modules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of </w:t>
      </w:r>
      <w:proofErr w:type="spellStart"/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cuproptosis</w:t>
      </w:r>
      <w:proofErr w:type="spellEnd"/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was </w:t>
      </w:r>
      <w:r w:rsidR="008F6F13"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carr</w:t>
      </w:r>
      <w:r w:rsid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ie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d </w:t>
      </w:r>
      <w:r w:rsid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out through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“WGCNA”</w:t>
      </w:r>
      <w:r w:rsidR="00BF731A" w:rsidRPr="00BF731A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BF731A"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R package</w:t>
      </w:r>
      <w:r w:rsidR="00BF731A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.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K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ey modules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were identified according to s</w:t>
      </w:r>
      <w:r w:rsidRPr="00FB069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cale-free network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as 2, </w:t>
      </w:r>
      <w:proofErr w:type="spellStart"/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abline</w:t>
      </w:r>
      <w:proofErr w:type="spellEnd"/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as 0.25, and</w:t>
      </w:r>
      <w:r w:rsidRPr="002308D3">
        <w:rPr>
          <w:color w:val="000000" w:themeColor="text1"/>
        </w:rPr>
        <w:t xml:space="preserve"> 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minimal module threshold as 30. </w:t>
      </w:r>
      <w:r w:rsidR="008F6F13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It was discovered that the dominant element of a distinct gene module is called a module eigengene (ME).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a</w:t>
      </w:r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ssociations between </w:t>
      </w:r>
      <w:proofErr w:type="spellStart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cuproptosis</w:t>
      </w:r>
      <w:proofErr w:type="spellEnd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and ME were calculat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ed to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confirm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modules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based on the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value</w:t>
      </w:r>
      <w:r w:rsid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8F6F13" w:rsidRPr="008F6F13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＜</w:t>
      </w:r>
      <w:r w:rsidRPr="00B83752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0.05.</w:t>
      </w:r>
    </w:p>
    <w:p w14:paraId="44555A09" w14:textId="4DAB1E4A" w:rsidR="002B072D" w:rsidRPr="00ED272A" w:rsidRDefault="00E13838" w:rsidP="002B072D">
      <w:pPr>
        <w:pStyle w:val="a7"/>
        <w:widowControl/>
        <w:numPr>
          <w:ilvl w:val="1"/>
          <w:numId w:val="1"/>
        </w:numPr>
        <w:spacing w:before="100" w:beforeAutospacing="1" w:after="100" w:afterAutospacing="1" w:line="360" w:lineRule="auto"/>
        <w:ind w:firstLineChars="0"/>
        <w:outlineLvl w:val="2"/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</w:t>
      </w:r>
      <w:r w:rsidR="002B072D" w:rsidRPr="00ED272A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Construction and Verification of </w:t>
      </w:r>
      <w:proofErr w:type="spellStart"/>
      <w:r w:rsidR="002B072D" w:rsidRPr="00ED272A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Cuproptosis</w:t>
      </w:r>
      <w:proofErr w:type="spellEnd"/>
      <w:r w:rsidR="002B072D" w:rsidRPr="00ED272A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-related Gene Signature</w:t>
      </w:r>
    </w:p>
    <w:p w14:paraId="196BE2DD" w14:textId="0631D06F" w:rsidR="002B072D" w:rsidRPr="002308D3" w:rsidRDefault="002B072D" w:rsidP="002B072D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Univariate Cox regression analys</w:t>
      </w:r>
      <w:r w:rsidR="00E13838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s were employed to ascertain prognostic-related genes and </w:t>
      </w:r>
      <w:proofErr w:type="spellStart"/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cuproptosis</w:t>
      </w:r>
      <w:proofErr w:type="spellEnd"/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-related genes. The LASSO Cox regression </w:t>
      </w:r>
      <w:r w:rsidR="00742834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analysis 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was then u</w:t>
      </w:r>
      <w:r w:rsidR="00742834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tilized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for establishing the prognostic CGS. </w:t>
      </w:r>
      <w:r w:rsidR="008F6F13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The coefficients were </w:t>
      </w:r>
      <w:r w:rsidR="00E13838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figured out</w:t>
      </w:r>
      <w:r w:rsidR="008F6F13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for each patient's risk score </w:t>
      </w:r>
      <w:r w:rsidR="00E13838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in accordance with</w:t>
      </w:r>
      <w:r w:rsidR="008F6F13"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CGS:</w:t>
      </w:r>
      <w:r w:rsidRPr="002308D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risk score = ∑ (coefficient × mRNA expression).</w:t>
      </w:r>
    </w:p>
    <w:p w14:paraId="29B0ABAE" w14:textId="10355CE0" w:rsidR="002B072D" w:rsidRPr="00ED272A" w:rsidRDefault="00742834" w:rsidP="002B072D">
      <w:pPr>
        <w:pStyle w:val="a7"/>
        <w:widowControl/>
        <w:numPr>
          <w:ilvl w:val="1"/>
          <w:numId w:val="1"/>
        </w:numPr>
        <w:spacing w:before="100" w:beforeAutospacing="1" w:after="100" w:afterAutospacing="1"/>
        <w:ind w:firstLineChars="0"/>
        <w:jc w:val="left"/>
        <w:outlineLvl w:val="2"/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</w:t>
      </w:r>
      <w:r w:rsidR="002B072D" w:rsidRPr="00ED272A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Drug Sensitivity Analysis</w:t>
      </w:r>
    </w:p>
    <w:p w14:paraId="79B7012F" w14:textId="7243F049" w:rsidR="002B072D" w:rsidRPr="008F6F13" w:rsidRDefault="008F6F13" w:rsidP="002B072D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proofErr w:type="spellStart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GSCALite</w:t>
      </w:r>
      <w:proofErr w:type="spellEnd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database (available at https://david.ncifcrf.gov) was used to conduct the drug sensitivity study. The Spearman correlation analysis was </w:t>
      </w:r>
      <w:r w:rsidR="0074283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employe</w:t>
      </w:r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d to determine the </w:t>
      </w:r>
      <w:r w:rsidR="0074283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inter</w:t>
      </w:r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relationship between the drug sensitivity and the expression level of 16 target genes.</w:t>
      </w:r>
    </w:p>
    <w:p w14:paraId="6D9D24D3" w14:textId="102B646E" w:rsidR="002B072D" w:rsidRPr="00ED272A" w:rsidRDefault="002B072D" w:rsidP="002B072D">
      <w:pPr>
        <w:pStyle w:val="a7"/>
        <w:widowControl/>
        <w:numPr>
          <w:ilvl w:val="1"/>
          <w:numId w:val="1"/>
        </w:numPr>
        <w:spacing w:before="100" w:beforeAutospacing="1" w:after="100" w:afterAutospacing="1" w:line="360" w:lineRule="auto"/>
        <w:ind w:firstLineChars="0"/>
        <w:outlineLvl w:val="2"/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lastRenderedPageBreak/>
        <w:t xml:space="preserve"> </w:t>
      </w:r>
      <w:r w:rsidRPr="00ED272A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Cell Culture and Transfection</w:t>
      </w:r>
    </w:p>
    <w:p w14:paraId="409AA2D2" w14:textId="77DE589F" w:rsidR="002B072D" w:rsidRDefault="008F6F13" w:rsidP="002B072D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Dulbecco's modified Eagle's medium, 10% </w:t>
      </w:r>
      <w:proofErr w:type="spellStart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Zelanian</w:t>
      </w:r>
      <w:proofErr w:type="spellEnd"/>
      <w:r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quality fetal bovine serum, and 1% antibiotic antifungal product were added to the medium to enhance it for B16F10 melanoma cell culture.</w:t>
      </w:r>
      <w:r w:rsidR="002B072D"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Cells were </w:t>
      </w:r>
      <w:r w:rsidR="00CB45A1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cultured</w:t>
      </w:r>
      <w:r w:rsidR="002B072D"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in a humidified incubator </w:t>
      </w:r>
      <w:r w:rsidR="00CB45A1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with</w:t>
      </w:r>
      <w:r w:rsidR="002B072D"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37 °C </w:t>
      </w:r>
      <w:r w:rsidR="00CB45A1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and</w:t>
      </w:r>
      <w:r w:rsidR="002B072D" w:rsidRPr="008F6F1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5% CO2 atmosphere. The DNA</w:t>
      </w:r>
      <w:r w:rsidR="002B072D" w:rsidRPr="009C206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sequence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of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small interfering RNA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(si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RNA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)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B072D" w:rsidRPr="009C206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targeting PPIC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was</w:t>
      </w:r>
      <w:r w:rsidR="002B072D" w:rsidRPr="009C206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as follows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: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siPPIC</w:t>
      </w:r>
      <w:proofErr w:type="spellEnd"/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(forward, 5′-</w:t>
      </w:r>
      <w:r w:rsidR="001767A4" w:rsidRPr="001767A4"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GGA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UGG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ACU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GGG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UCA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CAG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ATT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-3′ and reverse, 5′-</w:t>
      </w:r>
      <w:r w:rsidR="001767A4" w:rsidRPr="001767A4"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UCU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GUG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ACC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CAG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UCC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AUC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767A4" w:rsidRP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CTT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-3′).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The knockdown efficiency of </w:t>
      </w:r>
      <w:proofErr w:type="spellStart"/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si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PPIC</w:t>
      </w:r>
      <w:proofErr w:type="spellEnd"/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was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evaluat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ed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using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2B072D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>r</w:t>
      </w:r>
      <w:r w:rsidR="002B072D" w:rsidRPr="0031608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eal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t</w:t>
      </w:r>
      <w:r w:rsidR="002B072D" w:rsidRPr="0031608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ime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</w:t>
      </w:r>
      <w:r w:rsidR="002B072D" w:rsidRPr="0031608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olymerase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</w:t>
      </w:r>
      <w:r w:rsidR="002B072D" w:rsidRPr="0031608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hain 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r</w:t>
      </w:r>
      <w:r w:rsidR="002B072D" w:rsidRPr="00316086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eaction</w:t>
      </w:r>
      <w:r w:rsid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tests</w:t>
      </w:r>
      <w:r w:rsidR="002B072D" w:rsidRPr="000F2C3E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076528FC" w14:textId="025E548D" w:rsidR="002B072D" w:rsidRPr="00ED272A" w:rsidRDefault="001767A4" w:rsidP="002B072D">
      <w:pPr>
        <w:pStyle w:val="a7"/>
        <w:widowControl/>
        <w:numPr>
          <w:ilvl w:val="1"/>
          <w:numId w:val="1"/>
        </w:numPr>
        <w:spacing w:before="100" w:beforeAutospacing="1" w:after="100" w:afterAutospacing="1" w:line="360" w:lineRule="auto"/>
        <w:ind w:firstLineChars="0"/>
        <w:outlineLvl w:val="2"/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</w:t>
      </w:r>
      <w:r w:rsidR="002B072D" w:rsidRPr="00ED272A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Cell Proliferation Assay</w:t>
      </w:r>
    </w:p>
    <w:p w14:paraId="256F42B0" w14:textId="2E9B45D9" w:rsidR="00932DB8" w:rsidRDefault="00932DB8" w:rsidP="00072A83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In 96-well plates, untreated B16F10 melanoma cells were transfected with </w:t>
      </w:r>
      <w:proofErr w:type="spellStart"/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siPPIC</w:t>
      </w:r>
      <w:proofErr w:type="spellEnd"/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proofErr w:type="spellStart"/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siPPIC</w:t>
      </w:r>
      <w:proofErr w:type="spellEnd"/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-NC, or untreated. The vemurafenib (MCE, Shanghai, China) were added in the cell supernatant with 2.5-2500.0 ng/mL for 24 h. The cell counting kit-8 (</w:t>
      </w:r>
      <w:proofErr w:type="spellStart"/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B</w:t>
      </w:r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eyotime</w:t>
      </w:r>
      <w:proofErr w:type="spellEnd"/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, Shanghai, China) was 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employe</w:t>
      </w:r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d for the cell proliferation assay. Using a plate reader (</w:t>
      </w:r>
      <w:proofErr w:type="spellStart"/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Hidex</w:t>
      </w:r>
      <w:proofErr w:type="spellEnd"/>
      <w:r w:rsidRPr="00932DB8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, Helsinki, Finland), the optical density of the cell suspension was calculated at 450 nm. Three different wells' average results were calculated. </w:t>
      </w:r>
    </w:p>
    <w:p w14:paraId="052ED109" w14:textId="0189FB03" w:rsidR="002B072D" w:rsidRPr="00072A83" w:rsidRDefault="00072A83" w:rsidP="00072A83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>1.7</w:t>
      </w:r>
      <w:r w:rsidR="002B072D" w:rsidRPr="00072A83">
        <w:rPr>
          <w:rFonts w:ascii="Times New Roman" w:eastAsia="宋体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Statistical Analysis</w:t>
      </w:r>
    </w:p>
    <w:p w14:paraId="6C7B58E0" w14:textId="30E2CA40" w:rsidR="002B072D" w:rsidRPr="002B072D" w:rsidRDefault="002B072D" w:rsidP="008E6820">
      <w:pPr>
        <w:widowControl/>
        <w:spacing w:before="100" w:beforeAutospacing="1" w:after="100" w:afterAutospacing="1" w:line="360" w:lineRule="auto"/>
        <w:outlineLvl w:val="2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  <w:r w:rsidRP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R studio software (version 4.0.2) were utilized for analyzing the data. The univariate or multivariate Cox regressions were performed for exploring the hazard ratio of forest plots. Kaplan-Meier curves was 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employe</w:t>
      </w:r>
      <w:r w:rsidRP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d for </w:t>
      </w:r>
      <w:r w:rsidR="001767A4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exploring</w:t>
      </w:r>
      <w:r w:rsidRP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the survival probability. Differences and correlations between two groups were </w:t>
      </w:r>
      <w:r w:rsidR="00D77460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probed</w:t>
      </w:r>
      <w:r w:rsidRPr="002B072D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via the Wilcoxon test and Pearson’s correlation test. Statistical significance was recognized as follow: *p &lt; 0.05; **p &lt; 0.01; ***p &lt; 0.001; NS, not significant.</w:t>
      </w:r>
    </w:p>
    <w:sectPr w:rsidR="002B072D" w:rsidRPr="002B0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35FD8" w14:textId="77777777" w:rsidR="00147406" w:rsidRDefault="00147406" w:rsidP="002B072D">
      <w:r>
        <w:separator/>
      </w:r>
    </w:p>
  </w:endnote>
  <w:endnote w:type="continuationSeparator" w:id="0">
    <w:p w14:paraId="0BCDAF2C" w14:textId="77777777" w:rsidR="00147406" w:rsidRDefault="00147406" w:rsidP="002B0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E7EBD" w14:textId="77777777" w:rsidR="00147406" w:rsidRDefault="00147406" w:rsidP="002B072D">
      <w:r>
        <w:separator/>
      </w:r>
    </w:p>
  </w:footnote>
  <w:footnote w:type="continuationSeparator" w:id="0">
    <w:p w14:paraId="14C750D4" w14:textId="77777777" w:rsidR="00147406" w:rsidRDefault="00147406" w:rsidP="002B07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F860E8"/>
    <w:multiLevelType w:val="multilevel"/>
    <w:tmpl w:val="B93A8E7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4BB1D6B"/>
    <w:multiLevelType w:val="multilevel"/>
    <w:tmpl w:val="DBFCF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529371305">
    <w:abstractNumId w:val="1"/>
  </w:num>
  <w:num w:numId="2" w16cid:durableId="81607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686"/>
    <w:rsid w:val="00072A83"/>
    <w:rsid w:val="000E02FD"/>
    <w:rsid w:val="00147406"/>
    <w:rsid w:val="001767A4"/>
    <w:rsid w:val="002308D3"/>
    <w:rsid w:val="00252DED"/>
    <w:rsid w:val="002B072D"/>
    <w:rsid w:val="003365A1"/>
    <w:rsid w:val="00742834"/>
    <w:rsid w:val="007D19A3"/>
    <w:rsid w:val="008E6820"/>
    <w:rsid w:val="008F6F13"/>
    <w:rsid w:val="00932DB8"/>
    <w:rsid w:val="009C4686"/>
    <w:rsid w:val="00A01CBF"/>
    <w:rsid w:val="00AA7E13"/>
    <w:rsid w:val="00BF731A"/>
    <w:rsid w:val="00CB45A1"/>
    <w:rsid w:val="00D102E0"/>
    <w:rsid w:val="00D53239"/>
    <w:rsid w:val="00D77460"/>
    <w:rsid w:val="00D8626B"/>
    <w:rsid w:val="00E13838"/>
    <w:rsid w:val="00F6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14A5DB"/>
  <w15:chartTrackingRefBased/>
  <w15:docId w15:val="{25AFA498-FA3C-4EBB-A323-173FC894A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7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7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07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0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072D"/>
    <w:rPr>
      <w:sz w:val="18"/>
      <w:szCs w:val="18"/>
    </w:rPr>
  </w:style>
  <w:style w:type="paragraph" w:styleId="a7">
    <w:name w:val="List Paragraph"/>
    <w:basedOn w:val="a"/>
    <w:uiPriority w:val="34"/>
    <w:qFormat/>
    <w:rsid w:val="002B072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496</Words>
  <Characters>2833</Characters>
  <Application>Microsoft Office Word</Application>
  <DocSecurity>0</DocSecurity>
  <Lines>23</Lines>
  <Paragraphs>6</Paragraphs>
  <ScaleCrop>false</ScaleCrop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斌 周</dc:creator>
  <cp:keywords/>
  <dc:description/>
  <cp:lastModifiedBy>斌 周</cp:lastModifiedBy>
  <cp:revision>16</cp:revision>
  <dcterms:created xsi:type="dcterms:W3CDTF">2023-07-02T08:47:00Z</dcterms:created>
  <dcterms:modified xsi:type="dcterms:W3CDTF">2023-07-03T06:19:00Z</dcterms:modified>
</cp:coreProperties>
</file>