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553" w:rsidRPr="002421EA" w:rsidRDefault="00AA6553" w:rsidP="00AA6553">
      <w:pPr>
        <w:rPr>
          <w:rFonts w:ascii="Times New Roman" w:hAnsi="Times New Roman" w:cs="Times New Roman"/>
        </w:rPr>
      </w:pPr>
    </w:p>
    <w:p w:rsidR="00AA6553" w:rsidRPr="002421EA" w:rsidRDefault="00AA6553" w:rsidP="00AA6553">
      <w:pPr>
        <w:pStyle w:val="Caption"/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1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Supplemental Table 1. Characteristics of depression risk, clinically significant fatigue, and relapse number at 2.5-year review. </w:t>
      </w:r>
    </w:p>
    <w:tbl>
      <w:tblPr>
        <w:tblStyle w:val="TableGrid"/>
        <w:tblW w:w="88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410"/>
        <w:gridCol w:w="1872"/>
        <w:gridCol w:w="2268"/>
        <w:gridCol w:w="2268"/>
      </w:tblGrid>
      <w:tr w:rsidR="00AA6553" w:rsidRPr="002421EA" w:rsidTr="00F66DA9">
        <w:tc>
          <w:tcPr>
            <w:tcW w:w="2410" w:type="dxa"/>
            <w:vAlign w:val="bottom"/>
          </w:tcPr>
          <w:p w:rsidR="00AA6553" w:rsidRPr="002421EA" w:rsidRDefault="00AA6553" w:rsidP="00F66DA9">
            <w:pPr>
              <w:rPr>
                <w:rFonts w:ascii="Times New Roman" w:hAnsi="Times New Roman" w:cs="Times New Roman"/>
                <w:b/>
              </w:rPr>
            </w:pPr>
            <w:r w:rsidRPr="002421EA">
              <w:rPr>
                <w:rFonts w:ascii="Times New Roman" w:hAnsi="Times New Roman" w:cs="Times New Roman"/>
                <w:b/>
              </w:rPr>
              <w:t>Depression risk</w:t>
            </w:r>
          </w:p>
        </w:tc>
        <w:tc>
          <w:tcPr>
            <w:tcW w:w="1872" w:type="dxa"/>
            <w:vAlign w:val="bottom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bottom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bottom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6553" w:rsidRPr="002421EA" w:rsidTr="00F66DA9">
        <w:tc>
          <w:tcPr>
            <w:tcW w:w="2410" w:type="dxa"/>
            <w:vAlign w:val="bottom"/>
          </w:tcPr>
          <w:p w:rsidR="00AA6553" w:rsidRPr="002421EA" w:rsidRDefault="00AA6553" w:rsidP="00F66D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vAlign w:val="bottom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n/N (row %)</w:t>
            </w:r>
          </w:p>
        </w:tc>
        <w:tc>
          <w:tcPr>
            <w:tcW w:w="2268" w:type="dxa"/>
            <w:vAlign w:val="bottom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 xml:space="preserve">aPR (95% </w:t>
            </w:r>
            <w:proofErr w:type="gramStart"/>
            <w:r w:rsidRPr="002421EA">
              <w:rPr>
                <w:rFonts w:ascii="Times New Roman" w:hAnsi="Times New Roman" w:cs="Times New Roman"/>
              </w:rPr>
              <w:t>CI)</w:t>
            </w:r>
            <w:r w:rsidRPr="002421EA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gramEnd"/>
          </w:p>
        </w:tc>
        <w:tc>
          <w:tcPr>
            <w:tcW w:w="2268" w:type="dxa"/>
            <w:vAlign w:val="bottom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21EA">
              <w:rPr>
                <w:rFonts w:ascii="Times New Roman" w:hAnsi="Times New Roman" w:cs="Times New Roman"/>
              </w:rPr>
              <w:t xml:space="preserve">aPR (95% </w:t>
            </w:r>
            <w:proofErr w:type="gramStart"/>
            <w:r w:rsidRPr="002421EA">
              <w:rPr>
                <w:rFonts w:ascii="Times New Roman" w:hAnsi="Times New Roman" w:cs="Times New Roman"/>
              </w:rPr>
              <w:t>CI)</w:t>
            </w:r>
            <w:r w:rsidRPr="002421EA">
              <w:rPr>
                <w:rFonts w:ascii="Times New Roman" w:hAnsi="Times New Roman" w:cs="Times New Roman"/>
                <w:vertAlign w:val="superscript"/>
              </w:rPr>
              <w:t>b</w:t>
            </w:r>
            <w:proofErr w:type="gramEnd"/>
          </w:p>
        </w:tc>
      </w:tr>
      <w:tr w:rsidR="00AA6553" w:rsidRPr="002421EA" w:rsidTr="00F66DA9">
        <w:tc>
          <w:tcPr>
            <w:tcW w:w="2410" w:type="dxa"/>
          </w:tcPr>
          <w:p w:rsidR="00AA6553" w:rsidRPr="002421EA" w:rsidRDefault="00AA6553" w:rsidP="00F66DA9">
            <w:pPr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 xml:space="preserve">Mastery </w:t>
            </w:r>
          </w:p>
          <w:p w:rsidR="00AA6553" w:rsidRPr="002421EA" w:rsidRDefault="00AA6553" w:rsidP="00F66DA9">
            <w:pPr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 xml:space="preserve"> 7-19</w:t>
            </w:r>
          </w:p>
          <w:p w:rsidR="00AA6553" w:rsidRPr="002421EA" w:rsidRDefault="00AA6553" w:rsidP="00F66DA9">
            <w:pPr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 xml:space="preserve"> &gt;19-21</w:t>
            </w:r>
          </w:p>
          <w:p w:rsidR="00AA6553" w:rsidRPr="002421EA" w:rsidRDefault="00AA6553" w:rsidP="00F66DA9">
            <w:pPr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 xml:space="preserve"> &gt;21-25</w:t>
            </w:r>
          </w:p>
          <w:p w:rsidR="00AA6553" w:rsidRPr="002421EA" w:rsidRDefault="00AA6553" w:rsidP="00F66DA9">
            <w:pPr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 xml:space="preserve"> &gt;25-28</w:t>
            </w:r>
          </w:p>
          <w:p w:rsidR="00AA6553" w:rsidRPr="002421EA" w:rsidRDefault="00AA6553" w:rsidP="00F66DA9">
            <w:pPr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  <w:i/>
              </w:rPr>
              <w:t xml:space="preserve"> Trend:</w:t>
            </w:r>
          </w:p>
        </w:tc>
        <w:tc>
          <w:tcPr>
            <w:tcW w:w="1872" w:type="dxa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90/224 (40.2%)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27/149 (18.1%)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16/215 (7.4%)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7/174 (4.0%)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1.00 [Reference]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21EA">
              <w:rPr>
                <w:rFonts w:ascii="Times New Roman" w:hAnsi="Times New Roman" w:cs="Times New Roman"/>
                <w:b/>
              </w:rPr>
              <w:t>0.45 (0.31, 0.65)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21EA">
              <w:rPr>
                <w:rFonts w:ascii="Times New Roman" w:hAnsi="Times New Roman" w:cs="Times New Roman"/>
                <w:b/>
              </w:rPr>
              <w:t>0.19 (0.11, 0.30)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21EA">
              <w:rPr>
                <w:rFonts w:ascii="Times New Roman" w:hAnsi="Times New Roman" w:cs="Times New Roman"/>
                <w:b/>
              </w:rPr>
              <w:t>0.10 (0.05, 0.21)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  <w:b/>
                <w:i/>
              </w:rPr>
              <w:t>p&lt;0.001</w:t>
            </w:r>
          </w:p>
        </w:tc>
        <w:tc>
          <w:tcPr>
            <w:tcW w:w="2268" w:type="dxa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1.00 [Reference]</w:t>
            </w:r>
          </w:p>
          <w:p w:rsidR="00AA6553" w:rsidRDefault="00B416D9" w:rsidP="00F66D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0.60 (0.41, 0.86)</w:t>
            </w:r>
          </w:p>
          <w:p w:rsidR="00B416D9" w:rsidRDefault="00B416D9" w:rsidP="00F66D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0.31 (0.19, 0.52)</w:t>
            </w:r>
          </w:p>
          <w:p w:rsidR="00B416D9" w:rsidRPr="002421EA" w:rsidRDefault="00B416D9" w:rsidP="00F66D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0.21 (0.10, 0.44)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21EA">
              <w:rPr>
                <w:rFonts w:ascii="Times New Roman" w:hAnsi="Times New Roman" w:cs="Times New Roman"/>
                <w:b/>
                <w:i/>
              </w:rPr>
              <w:t>p&lt;0.001</w:t>
            </w:r>
          </w:p>
        </w:tc>
      </w:tr>
      <w:tr w:rsidR="00AA6553" w:rsidRPr="002421EA" w:rsidTr="00F66DA9">
        <w:tc>
          <w:tcPr>
            <w:tcW w:w="2410" w:type="dxa"/>
            <w:tcBorders>
              <w:top w:val="nil"/>
            </w:tcBorders>
            <w:vAlign w:val="bottom"/>
          </w:tcPr>
          <w:p w:rsidR="00AA6553" w:rsidRPr="002421EA" w:rsidRDefault="00AA6553" w:rsidP="00F66DA9">
            <w:pPr>
              <w:rPr>
                <w:rFonts w:ascii="Times New Roman" w:hAnsi="Times New Roman" w:cs="Times New Roman"/>
                <w:b/>
              </w:rPr>
            </w:pPr>
            <w:r w:rsidRPr="002421EA">
              <w:rPr>
                <w:rFonts w:ascii="Times New Roman" w:hAnsi="Times New Roman" w:cs="Times New Roman"/>
                <w:b/>
              </w:rPr>
              <w:t>Clinically significant fatigue</w:t>
            </w:r>
          </w:p>
        </w:tc>
        <w:tc>
          <w:tcPr>
            <w:tcW w:w="1872" w:type="dxa"/>
            <w:tcBorders>
              <w:top w:val="nil"/>
            </w:tcBorders>
            <w:vAlign w:val="bottom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</w:tcBorders>
            <w:vAlign w:val="bottom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</w:tcBorders>
            <w:vAlign w:val="bottom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6553" w:rsidRPr="002421EA" w:rsidTr="00F66DA9">
        <w:tc>
          <w:tcPr>
            <w:tcW w:w="2410" w:type="dxa"/>
            <w:vAlign w:val="bottom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vAlign w:val="bottom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n/N (row %)</w:t>
            </w:r>
          </w:p>
        </w:tc>
        <w:tc>
          <w:tcPr>
            <w:tcW w:w="2268" w:type="dxa"/>
            <w:vAlign w:val="bottom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 xml:space="preserve">aPR (95% </w:t>
            </w:r>
            <w:proofErr w:type="gramStart"/>
            <w:r w:rsidRPr="002421EA">
              <w:rPr>
                <w:rFonts w:ascii="Times New Roman" w:hAnsi="Times New Roman" w:cs="Times New Roman"/>
              </w:rPr>
              <w:t>CI)</w:t>
            </w:r>
            <w:r w:rsidRPr="002421EA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gramEnd"/>
          </w:p>
        </w:tc>
        <w:tc>
          <w:tcPr>
            <w:tcW w:w="2268" w:type="dxa"/>
            <w:vAlign w:val="bottom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 xml:space="preserve">aPR (95% </w:t>
            </w:r>
            <w:proofErr w:type="gramStart"/>
            <w:r w:rsidRPr="002421EA">
              <w:rPr>
                <w:rFonts w:ascii="Times New Roman" w:hAnsi="Times New Roman" w:cs="Times New Roman"/>
              </w:rPr>
              <w:t>CI)</w:t>
            </w:r>
            <w:r w:rsidRPr="002421EA">
              <w:rPr>
                <w:rFonts w:ascii="Times New Roman" w:hAnsi="Times New Roman" w:cs="Times New Roman"/>
                <w:vertAlign w:val="superscript"/>
              </w:rPr>
              <w:t>c</w:t>
            </w:r>
            <w:proofErr w:type="gramEnd"/>
          </w:p>
        </w:tc>
      </w:tr>
      <w:tr w:rsidR="00AA6553" w:rsidRPr="002421EA" w:rsidTr="00F66DA9">
        <w:tc>
          <w:tcPr>
            <w:tcW w:w="2410" w:type="dxa"/>
          </w:tcPr>
          <w:p w:rsidR="00AA6553" w:rsidRPr="002421EA" w:rsidRDefault="00AA6553" w:rsidP="00F66DA9">
            <w:pPr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 xml:space="preserve">Mastery </w:t>
            </w:r>
          </w:p>
          <w:p w:rsidR="00AA6553" w:rsidRPr="002421EA" w:rsidRDefault="00AA6553" w:rsidP="00F66DA9">
            <w:pPr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 xml:space="preserve"> 7-19</w:t>
            </w:r>
          </w:p>
          <w:p w:rsidR="00AA6553" w:rsidRPr="002421EA" w:rsidRDefault="00AA6553" w:rsidP="00F66DA9">
            <w:pPr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 xml:space="preserve"> &gt;19-21</w:t>
            </w:r>
          </w:p>
          <w:p w:rsidR="00AA6553" w:rsidRPr="002421EA" w:rsidRDefault="00AA6553" w:rsidP="00F66DA9">
            <w:pPr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 xml:space="preserve"> &gt;21-25</w:t>
            </w:r>
          </w:p>
          <w:p w:rsidR="00AA6553" w:rsidRPr="002421EA" w:rsidRDefault="00AA6553" w:rsidP="00F66DA9">
            <w:pPr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 xml:space="preserve"> &gt;25-28</w:t>
            </w:r>
          </w:p>
          <w:p w:rsidR="00AA6553" w:rsidRPr="002421EA" w:rsidRDefault="00AA6553" w:rsidP="00F66DA9">
            <w:pPr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  <w:i/>
              </w:rPr>
              <w:t xml:space="preserve"> Trend:</w:t>
            </w:r>
          </w:p>
        </w:tc>
        <w:tc>
          <w:tcPr>
            <w:tcW w:w="1872" w:type="dxa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188/227 (82.8%)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96/148 (64.9%)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100/213 (47.0%)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56/171 (32.8%)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1.00 [Reference]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21EA">
              <w:rPr>
                <w:rFonts w:ascii="Times New Roman" w:hAnsi="Times New Roman" w:cs="Times New Roman"/>
                <w:b/>
              </w:rPr>
              <w:t>0.78 (0.69, 0.89)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21EA">
              <w:rPr>
                <w:rFonts w:ascii="Times New Roman" w:hAnsi="Times New Roman" w:cs="Times New Roman"/>
                <w:b/>
              </w:rPr>
              <w:t>0.57 (0.49, 0.66)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21EA">
              <w:rPr>
                <w:rFonts w:ascii="Times New Roman" w:hAnsi="Times New Roman" w:cs="Times New Roman"/>
                <w:b/>
              </w:rPr>
              <w:t>0.40 (0.32, 0.49)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  <w:b/>
                <w:i/>
              </w:rPr>
              <w:t>p&lt;0.001</w:t>
            </w:r>
          </w:p>
        </w:tc>
        <w:tc>
          <w:tcPr>
            <w:tcW w:w="2268" w:type="dxa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1.00 [Reference]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21EA">
              <w:rPr>
                <w:rFonts w:ascii="Times New Roman" w:hAnsi="Times New Roman" w:cs="Times New Roman"/>
                <w:b/>
              </w:rPr>
              <w:t>0.87 (0.76, 1.00)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21EA">
              <w:rPr>
                <w:rFonts w:ascii="Times New Roman" w:hAnsi="Times New Roman" w:cs="Times New Roman"/>
                <w:b/>
              </w:rPr>
              <w:t>0.69 (0.59, 0.80)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21EA">
              <w:rPr>
                <w:rFonts w:ascii="Times New Roman" w:hAnsi="Times New Roman" w:cs="Times New Roman"/>
                <w:b/>
              </w:rPr>
              <w:t>0.50 (0.40, 0.62)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421EA">
              <w:rPr>
                <w:rFonts w:ascii="Times New Roman" w:hAnsi="Times New Roman" w:cs="Times New Roman"/>
                <w:b/>
                <w:i/>
              </w:rPr>
              <w:t>p&lt;0.001</w:t>
            </w:r>
          </w:p>
        </w:tc>
      </w:tr>
      <w:tr w:rsidR="00AA6553" w:rsidRPr="002421EA" w:rsidTr="00F66DA9">
        <w:tc>
          <w:tcPr>
            <w:tcW w:w="2410" w:type="dxa"/>
            <w:vAlign w:val="bottom"/>
          </w:tcPr>
          <w:p w:rsidR="00AA6553" w:rsidRPr="002421EA" w:rsidRDefault="00AA6553" w:rsidP="00F66DA9">
            <w:pPr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Relapse number</w:t>
            </w:r>
          </w:p>
        </w:tc>
        <w:tc>
          <w:tcPr>
            <w:tcW w:w="1872" w:type="dxa"/>
            <w:vAlign w:val="bottom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bottom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bottom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6553" w:rsidRPr="002421EA" w:rsidTr="00F66DA9">
        <w:tc>
          <w:tcPr>
            <w:tcW w:w="2410" w:type="dxa"/>
          </w:tcPr>
          <w:p w:rsidR="00AA6553" w:rsidRPr="002421EA" w:rsidRDefault="00AA6553" w:rsidP="00F66D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n/N (col %)</w:t>
            </w:r>
          </w:p>
        </w:tc>
        <w:tc>
          <w:tcPr>
            <w:tcW w:w="2268" w:type="dxa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IRR (95% CI)</w:t>
            </w:r>
          </w:p>
        </w:tc>
        <w:tc>
          <w:tcPr>
            <w:tcW w:w="2268" w:type="dxa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421EA">
              <w:rPr>
                <w:rFonts w:ascii="Times New Roman" w:hAnsi="Times New Roman" w:cs="Times New Roman"/>
              </w:rPr>
              <w:t>aIRR</w:t>
            </w:r>
            <w:proofErr w:type="spellEnd"/>
            <w:r w:rsidRPr="002421EA">
              <w:rPr>
                <w:rFonts w:ascii="Times New Roman" w:hAnsi="Times New Roman" w:cs="Times New Roman"/>
              </w:rPr>
              <w:t xml:space="preserve"> (95% </w:t>
            </w:r>
            <w:proofErr w:type="gramStart"/>
            <w:r w:rsidRPr="002421EA">
              <w:rPr>
                <w:rFonts w:ascii="Times New Roman" w:hAnsi="Times New Roman" w:cs="Times New Roman"/>
              </w:rPr>
              <w:t>CI)</w:t>
            </w:r>
            <w:r w:rsidRPr="002421EA">
              <w:rPr>
                <w:rFonts w:ascii="Times New Roman" w:hAnsi="Times New Roman" w:cs="Times New Roman"/>
                <w:vertAlign w:val="superscript"/>
              </w:rPr>
              <w:t>*</w:t>
            </w:r>
            <w:proofErr w:type="gramEnd"/>
          </w:p>
        </w:tc>
      </w:tr>
      <w:tr w:rsidR="00AA6553" w:rsidRPr="002421EA" w:rsidTr="00F66DA9">
        <w:tc>
          <w:tcPr>
            <w:tcW w:w="2410" w:type="dxa"/>
          </w:tcPr>
          <w:p w:rsidR="00AA6553" w:rsidRPr="002421EA" w:rsidRDefault="00AA6553" w:rsidP="00F66DA9">
            <w:pPr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 xml:space="preserve">Mastery </w:t>
            </w:r>
          </w:p>
          <w:p w:rsidR="00AA6553" w:rsidRPr="002421EA" w:rsidRDefault="00AA6553" w:rsidP="00F66DA9">
            <w:pPr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 xml:space="preserve"> 7-19</w:t>
            </w:r>
          </w:p>
          <w:p w:rsidR="00AA6553" w:rsidRPr="002421EA" w:rsidRDefault="00AA6553" w:rsidP="00F66DA9">
            <w:pPr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 xml:space="preserve"> &gt;19-21</w:t>
            </w:r>
          </w:p>
          <w:p w:rsidR="00AA6553" w:rsidRPr="002421EA" w:rsidRDefault="00AA6553" w:rsidP="00F66DA9">
            <w:pPr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 xml:space="preserve"> &gt;21-25</w:t>
            </w:r>
          </w:p>
          <w:p w:rsidR="00AA6553" w:rsidRPr="002421EA" w:rsidRDefault="00AA6553" w:rsidP="00F66DA9">
            <w:pPr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 xml:space="preserve"> &gt;25-28</w:t>
            </w:r>
          </w:p>
          <w:p w:rsidR="00AA6553" w:rsidRPr="002421EA" w:rsidRDefault="00AA6553" w:rsidP="00F66DA9">
            <w:pPr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  <w:i/>
              </w:rPr>
              <w:t xml:space="preserve"> Trend:</w:t>
            </w:r>
          </w:p>
        </w:tc>
        <w:tc>
          <w:tcPr>
            <w:tcW w:w="1872" w:type="dxa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227/768 (29.6%)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151/768 (19.7%)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215/768 (28.0%)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175/768 (22.8%)</w:t>
            </w:r>
          </w:p>
        </w:tc>
        <w:tc>
          <w:tcPr>
            <w:tcW w:w="2268" w:type="dxa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1.00 [Reference]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21EA">
              <w:rPr>
                <w:rFonts w:ascii="Times New Roman" w:hAnsi="Times New Roman" w:cs="Times New Roman"/>
                <w:b/>
              </w:rPr>
              <w:t>0.40 (0.26, 0.61)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21EA">
              <w:rPr>
                <w:rFonts w:ascii="Times New Roman" w:hAnsi="Times New Roman" w:cs="Times New Roman"/>
                <w:b/>
              </w:rPr>
              <w:t>0.47 (0.33, 0.68)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21EA">
              <w:rPr>
                <w:rFonts w:ascii="Times New Roman" w:hAnsi="Times New Roman" w:cs="Times New Roman"/>
                <w:b/>
              </w:rPr>
              <w:t>0.33 (0.21, 0.51)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  <w:b/>
                <w:i/>
              </w:rPr>
              <w:t>p&lt;0.001</w:t>
            </w:r>
          </w:p>
        </w:tc>
        <w:tc>
          <w:tcPr>
            <w:tcW w:w="2268" w:type="dxa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1.00 [Reference]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21EA">
              <w:rPr>
                <w:rFonts w:ascii="Times New Roman" w:hAnsi="Times New Roman" w:cs="Times New Roman"/>
                <w:b/>
              </w:rPr>
              <w:t>0.52 (0.32, 0.83)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0.75 (0.50, 1.12)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0.68 (0.41, 1.13)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21EA">
              <w:rPr>
                <w:rFonts w:ascii="Times New Roman" w:hAnsi="Times New Roman" w:cs="Times New Roman"/>
                <w:i/>
              </w:rPr>
              <w:t>p=0.074</w:t>
            </w:r>
          </w:p>
        </w:tc>
      </w:tr>
      <w:tr w:rsidR="00AA6553" w:rsidRPr="002421EA" w:rsidTr="00F66DA9">
        <w:tc>
          <w:tcPr>
            <w:tcW w:w="8818" w:type="dxa"/>
            <w:gridSpan w:val="4"/>
          </w:tcPr>
          <w:p w:rsidR="00AA6553" w:rsidRPr="002421EA" w:rsidRDefault="00AA6553" w:rsidP="00F66DA9">
            <w:pPr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Depression risk and fatigue models by log-binomial regression, estimating adjusted prevalence ratio (aPR) (95% CI). Relapse number models by Poisson regression, estimating incidence rate ratio (IRR) (95% CI).</w:t>
            </w:r>
          </w:p>
          <w:p w:rsidR="00AA6553" w:rsidRPr="002421EA" w:rsidRDefault="00AA6553" w:rsidP="00F66DA9">
            <w:pPr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 xml:space="preserve"> Results in boldface denote statistical significance (p&lt;0.05). </w:t>
            </w:r>
          </w:p>
          <w:p w:rsidR="00AA6553" w:rsidRPr="002421EA" w:rsidRDefault="00AA6553" w:rsidP="00F66DA9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421EA">
              <w:rPr>
                <w:rFonts w:ascii="Times New Roman" w:hAnsi="Times New Roman" w:cs="Times New Roman"/>
              </w:rPr>
              <w:t>a</w:t>
            </w:r>
            <w:proofErr w:type="spellEnd"/>
            <w:proofErr w:type="gramEnd"/>
            <w:r w:rsidRPr="002421EA">
              <w:rPr>
                <w:rFonts w:ascii="Times New Roman" w:hAnsi="Times New Roman" w:cs="Times New Roman"/>
              </w:rPr>
              <w:t xml:space="preserve"> Adjusted for ongoing symptoms of relapse. </w:t>
            </w:r>
          </w:p>
          <w:p w:rsidR="00AA6553" w:rsidRPr="002421EA" w:rsidRDefault="00AA6553" w:rsidP="00F66DA9">
            <w:pPr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 xml:space="preserve">b Adjusted for ongoing symptoms of relapse, age, sex, disability, number of treated comorbidities, </w:t>
            </w:r>
            <w:r>
              <w:rPr>
                <w:rFonts w:ascii="Times New Roman" w:hAnsi="Times New Roman" w:cs="Times New Roman"/>
              </w:rPr>
              <w:t>clinically significant fatigue</w:t>
            </w:r>
            <w:r w:rsidR="00B416D9">
              <w:rPr>
                <w:rFonts w:ascii="Times New Roman" w:hAnsi="Times New Roman" w:cs="Times New Roman"/>
              </w:rPr>
              <w:t>, and prescription antidepressant medication use</w:t>
            </w:r>
            <w:bookmarkStart w:id="0" w:name="_GoBack"/>
            <w:bookmarkEnd w:id="0"/>
            <w:r w:rsidRPr="002421EA">
              <w:rPr>
                <w:rFonts w:ascii="Times New Roman" w:hAnsi="Times New Roman" w:cs="Times New Roman"/>
              </w:rPr>
              <w:t>.</w:t>
            </w:r>
          </w:p>
          <w:p w:rsidR="00AA6553" w:rsidRPr="002421EA" w:rsidRDefault="00AA6553" w:rsidP="00F66DA9">
            <w:pPr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c Multivariable log-binomial model adjusted for ongoing symptoms of recent relapse, age, sex, disability, number of treated comorbidities</w:t>
            </w:r>
            <w:r>
              <w:rPr>
                <w:rFonts w:ascii="Times New Roman" w:hAnsi="Times New Roman" w:cs="Times New Roman"/>
              </w:rPr>
              <w:t>, and depression risk</w:t>
            </w:r>
            <w:r w:rsidRPr="002421EA">
              <w:rPr>
                <w:rFonts w:ascii="Times New Roman" w:hAnsi="Times New Roman" w:cs="Times New Roman"/>
              </w:rPr>
              <w:t>.</w:t>
            </w:r>
          </w:p>
          <w:p w:rsidR="00AA6553" w:rsidRPr="002421EA" w:rsidDel="0076211C" w:rsidRDefault="00AA6553" w:rsidP="00F66DA9">
            <w:pPr>
              <w:rPr>
                <w:rFonts w:ascii="Times New Roman" w:hAnsi="Times New Roman" w:cs="Times New Roman"/>
                <w:b/>
              </w:rPr>
            </w:pPr>
            <w:r w:rsidRPr="002421EA">
              <w:rPr>
                <w:rFonts w:ascii="Times New Roman" w:hAnsi="Times New Roman" w:cs="Times New Roman"/>
              </w:rPr>
              <w:t>d Multivariable models adjusted for age, sex, MS type, depression risk and clinically significant fatigue.</w:t>
            </w:r>
          </w:p>
        </w:tc>
      </w:tr>
    </w:tbl>
    <w:p w:rsidR="00AA6553" w:rsidRPr="002421EA" w:rsidRDefault="00AA6553" w:rsidP="00AA6553">
      <w:pPr>
        <w:spacing w:line="360" w:lineRule="auto"/>
        <w:rPr>
          <w:rFonts w:ascii="Times New Roman" w:hAnsi="Times New Roman" w:cs="Times New Roman"/>
        </w:rPr>
      </w:pPr>
    </w:p>
    <w:p w:rsidR="00AA6553" w:rsidRPr="002421EA" w:rsidRDefault="00AA6553" w:rsidP="00AA6553">
      <w:pPr>
        <w:rPr>
          <w:rFonts w:ascii="Times New Roman" w:hAnsi="Times New Roman" w:cs="Times New Roman"/>
        </w:rPr>
      </w:pPr>
      <w:r w:rsidRPr="002421EA">
        <w:rPr>
          <w:rFonts w:ascii="Times New Roman" w:hAnsi="Times New Roman" w:cs="Times New Roman"/>
        </w:rPr>
        <w:br w:type="page"/>
      </w:r>
    </w:p>
    <w:p w:rsidR="00AA6553" w:rsidRPr="002421EA" w:rsidRDefault="00AA6553" w:rsidP="00AA6553">
      <w:pPr>
        <w:spacing w:line="360" w:lineRule="auto"/>
        <w:rPr>
          <w:rFonts w:ascii="Times New Roman" w:hAnsi="Times New Roman" w:cs="Times New Roman"/>
        </w:rPr>
        <w:sectPr w:rsidR="00AA6553" w:rsidRPr="002421EA" w:rsidSect="007A4268">
          <w:pgSz w:w="11900" w:h="16840"/>
          <w:pgMar w:top="1134" w:right="1134" w:bottom="1134" w:left="1134" w:header="709" w:footer="709" w:gutter="0"/>
          <w:cols w:space="708"/>
          <w:docGrid w:linePitch="360"/>
        </w:sectPr>
      </w:pPr>
    </w:p>
    <w:p w:rsidR="00AA6553" w:rsidRPr="002421EA" w:rsidRDefault="00AA6553" w:rsidP="00AA6553">
      <w:pPr>
        <w:pStyle w:val="Caption"/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1E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Supplemental Table 2. Characteristics of level of disability at 2.5-year review</w:t>
      </w:r>
    </w:p>
    <w:tbl>
      <w:tblPr>
        <w:tblStyle w:val="TableGrid"/>
        <w:tblW w:w="14572" w:type="dxa"/>
        <w:tblInd w:w="-5" w:type="dxa"/>
        <w:tblLook w:val="04A0" w:firstRow="1" w:lastRow="0" w:firstColumn="1" w:lastColumn="0" w:noHBand="0" w:noVBand="1"/>
      </w:tblPr>
      <w:tblGrid>
        <w:gridCol w:w="1596"/>
        <w:gridCol w:w="1549"/>
        <w:gridCol w:w="1525"/>
        <w:gridCol w:w="1666"/>
        <w:gridCol w:w="2059"/>
        <w:gridCol w:w="2059"/>
        <w:gridCol w:w="2059"/>
        <w:gridCol w:w="2059"/>
      </w:tblGrid>
      <w:tr w:rsidR="00AA6553" w:rsidRPr="002421EA" w:rsidTr="00F66DA9">
        <w:trPr>
          <w:trHeight w:val="310"/>
        </w:trPr>
        <w:tc>
          <w:tcPr>
            <w:tcW w:w="1596" w:type="dxa"/>
          </w:tcPr>
          <w:p w:rsidR="00AA6553" w:rsidRPr="002421EA" w:rsidRDefault="00AA6553" w:rsidP="00F66D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  <w:vAlign w:val="bottom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Mild</w:t>
            </w:r>
          </w:p>
        </w:tc>
        <w:tc>
          <w:tcPr>
            <w:tcW w:w="1525" w:type="dxa"/>
            <w:vAlign w:val="bottom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1666" w:type="dxa"/>
            <w:vAlign w:val="bottom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Severe</w:t>
            </w:r>
          </w:p>
        </w:tc>
        <w:tc>
          <w:tcPr>
            <w:tcW w:w="4118" w:type="dxa"/>
            <w:gridSpan w:val="2"/>
            <w:vAlign w:val="bottom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Moderate vs mild</w:t>
            </w:r>
          </w:p>
        </w:tc>
        <w:tc>
          <w:tcPr>
            <w:tcW w:w="4118" w:type="dxa"/>
            <w:gridSpan w:val="2"/>
            <w:vAlign w:val="bottom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Severe vs mild</w:t>
            </w:r>
          </w:p>
        </w:tc>
      </w:tr>
      <w:tr w:rsidR="00AA6553" w:rsidRPr="002421EA" w:rsidTr="00F66DA9">
        <w:trPr>
          <w:trHeight w:val="565"/>
        </w:trPr>
        <w:tc>
          <w:tcPr>
            <w:tcW w:w="1596" w:type="dxa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  <w:vAlign w:val="bottom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n (row %)</w:t>
            </w:r>
          </w:p>
        </w:tc>
        <w:tc>
          <w:tcPr>
            <w:tcW w:w="1525" w:type="dxa"/>
            <w:vAlign w:val="bottom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n (row %)</w:t>
            </w:r>
          </w:p>
        </w:tc>
        <w:tc>
          <w:tcPr>
            <w:tcW w:w="1666" w:type="dxa"/>
            <w:vAlign w:val="bottom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n (row %)</w:t>
            </w:r>
          </w:p>
        </w:tc>
        <w:tc>
          <w:tcPr>
            <w:tcW w:w="2059" w:type="dxa"/>
            <w:vAlign w:val="bottom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 xml:space="preserve">aPR (95% </w:t>
            </w:r>
            <w:proofErr w:type="gramStart"/>
            <w:r w:rsidRPr="002421EA">
              <w:rPr>
                <w:rFonts w:ascii="Times New Roman" w:hAnsi="Times New Roman" w:cs="Times New Roman"/>
              </w:rPr>
              <w:t>CI)</w:t>
            </w:r>
            <w:r w:rsidRPr="002421EA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gramEnd"/>
          </w:p>
        </w:tc>
        <w:tc>
          <w:tcPr>
            <w:tcW w:w="2059" w:type="dxa"/>
            <w:vAlign w:val="bottom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 xml:space="preserve">aPR (95% </w:t>
            </w:r>
            <w:proofErr w:type="gramStart"/>
            <w:r w:rsidRPr="002421EA">
              <w:rPr>
                <w:rFonts w:ascii="Times New Roman" w:hAnsi="Times New Roman" w:cs="Times New Roman"/>
              </w:rPr>
              <w:t>CI)</w:t>
            </w:r>
            <w:r w:rsidRPr="002421EA">
              <w:rPr>
                <w:rFonts w:ascii="Times New Roman" w:hAnsi="Times New Roman" w:cs="Times New Roman"/>
                <w:vertAlign w:val="superscript"/>
              </w:rPr>
              <w:t>b</w:t>
            </w:r>
            <w:proofErr w:type="gramEnd"/>
          </w:p>
        </w:tc>
        <w:tc>
          <w:tcPr>
            <w:tcW w:w="2059" w:type="dxa"/>
            <w:vAlign w:val="bottom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 xml:space="preserve">aPR (95% </w:t>
            </w:r>
            <w:proofErr w:type="gramStart"/>
            <w:r w:rsidRPr="002421EA">
              <w:rPr>
                <w:rFonts w:ascii="Times New Roman" w:hAnsi="Times New Roman" w:cs="Times New Roman"/>
              </w:rPr>
              <w:t>CI)</w:t>
            </w:r>
            <w:r w:rsidRPr="002421EA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gramEnd"/>
          </w:p>
        </w:tc>
        <w:tc>
          <w:tcPr>
            <w:tcW w:w="2059" w:type="dxa"/>
            <w:vAlign w:val="bottom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 xml:space="preserve">aPR (95% </w:t>
            </w:r>
            <w:proofErr w:type="gramStart"/>
            <w:r w:rsidRPr="002421EA">
              <w:rPr>
                <w:rFonts w:ascii="Times New Roman" w:hAnsi="Times New Roman" w:cs="Times New Roman"/>
              </w:rPr>
              <w:t>CI)</w:t>
            </w:r>
            <w:r w:rsidRPr="002421EA">
              <w:rPr>
                <w:rFonts w:ascii="Times New Roman" w:hAnsi="Times New Roman" w:cs="Times New Roman"/>
                <w:vertAlign w:val="superscript"/>
              </w:rPr>
              <w:t>b</w:t>
            </w:r>
            <w:proofErr w:type="gramEnd"/>
          </w:p>
        </w:tc>
      </w:tr>
      <w:tr w:rsidR="00AA6553" w:rsidRPr="002421EA" w:rsidTr="00F66DA9">
        <w:trPr>
          <w:trHeight w:val="339"/>
        </w:trPr>
        <w:tc>
          <w:tcPr>
            <w:tcW w:w="1596" w:type="dxa"/>
          </w:tcPr>
          <w:p w:rsidR="00AA6553" w:rsidRPr="002421EA" w:rsidRDefault="00AA6553" w:rsidP="00F66DA9">
            <w:pPr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 xml:space="preserve">Mastery </w:t>
            </w:r>
          </w:p>
          <w:p w:rsidR="00AA6553" w:rsidRPr="002421EA" w:rsidRDefault="00AA6553" w:rsidP="00F66DA9">
            <w:pPr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 xml:space="preserve"> 7-19</w:t>
            </w:r>
          </w:p>
          <w:p w:rsidR="00AA6553" w:rsidRPr="002421EA" w:rsidRDefault="00AA6553" w:rsidP="00F66DA9">
            <w:pPr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 xml:space="preserve"> &gt;19-21</w:t>
            </w:r>
          </w:p>
          <w:p w:rsidR="00AA6553" w:rsidRPr="002421EA" w:rsidRDefault="00AA6553" w:rsidP="00F66DA9">
            <w:pPr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 xml:space="preserve"> &gt;21-25</w:t>
            </w:r>
          </w:p>
          <w:p w:rsidR="00AA6553" w:rsidRPr="002421EA" w:rsidRDefault="00AA6553" w:rsidP="00F66DA9">
            <w:pPr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 xml:space="preserve"> &gt;25-28</w:t>
            </w:r>
          </w:p>
          <w:p w:rsidR="00AA6553" w:rsidRPr="002421EA" w:rsidRDefault="00AA6553" w:rsidP="00F66DA9">
            <w:pPr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 xml:space="preserve"> </w:t>
            </w:r>
            <w:r w:rsidRPr="002421EA">
              <w:rPr>
                <w:rFonts w:ascii="Times New Roman" w:hAnsi="Times New Roman" w:cs="Times New Roman"/>
                <w:i/>
              </w:rPr>
              <w:t>Trend:</w:t>
            </w:r>
          </w:p>
        </w:tc>
        <w:tc>
          <w:tcPr>
            <w:tcW w:w="1549" w:type="dxa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116 (49.2%)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92 (58.6%)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146 (66.4%)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132 (73.7%)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76 (32.2%)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55 (35.0%)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57 (25.9%)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38 (21.2%)</w:t>
            </w:r>
          </w:p>
        </w:tc>
        <w:tc>
          <w:tcPr>
            <w:tcW w:w="1666" w:type="dxa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44 (18.6%)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10 (6.4%)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17 (7.7%)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9 (5.0%)</w:t>
            </w:r>
          </w:p>
        </w:tc>
        <w:tc>
          <w:tcPr>
            <w:tcW w:w="2059" w:type="dxa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1.00 [Reference]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21EA">
              <w:rPr>
                <w:rFonts w:ascii="Times New Roman" w:hAnsi="Times New Roman" w:cs="Times New Roman"/>
              </w:rPr>
              <w:t>0.94 (0.72, 1.24)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21EA">
              <w:rPr>
                <w:rFonts w:ascii="Times New Roman" w:hAnsi="Times New Roman" w:cs="Times New Roman"/>
                <w:b/>
              </w:rPr>
              <w:t>0.71 (0.54, 0.94)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21EA">
              <w:rPr>
                <w:rFonts w:ascii="Times New Roman" w:hAnsi="Times New Roman" w:cs="Times New Roman"/>
                <w:b/>
              </w:rPr>
              <w:t>0.56 (0.41, 0.79)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  <w:b/>
                <w:i/>
              </w:rPr>
              <w:t>p&lt;0.001</w:t>
            </w:r>
          </w:p>
        </w:tc>
        <w:tc>
          <w:tcPr>
            <w:tcW w:w="2059" w:type="dxa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1.00 [Reference]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1.06 (0.81, 1.40)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1.06 (0.80, 1.39)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0.91 (0.64, 1.28)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421EA">
              <w:rPr>
                <w:rFonts w:ascii="Times New Roman" w:hAnsi="Times New Roman" w:cs="Times New Roman"/>
                <w:i/>
              </w:rPr>
              <w:t>p=0.73</w:t>
            </w:r>
          </w:p>
        </w:tc>
        <w:tc>
          <w:tcPr>
            <w:tcW w:w="2059" w:type="dxa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1.00 [Reference]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21EA">
              <w:rPr>
                <w:rFonts w:ascii="Times New Roman" w:hAnsi="Times New Roman" w:cs="Times New Roman"/>
                <w:b/>
              </w:rPr>
              <w:t>0.36 (0.19, 0.68)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21EA">
              <w:rPr>
                <w:rFonts w:ascii="Times New Roman" w:hAnsi="Times New Roman" w:cs="Times New Roman"/>
                <w:b/>
              </w:rPr>
              <w:t>0.38 (0.23, 0.63)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21EA">
              <w:rPr>
                <w:rFonts w:ascii="Times New Roman" w:hAnsi="Times New Roman" w:cs="Times New Roman"/>
                <w:b/>
              </w:rPr>
              <w:t>0.23 (0.12, 0.46)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  <w:b/>
                <w:i/>
              </w:rPr>
              <w:t>p&lt;0.001</w:t>
            </w:r>
          </w:p>
        </w:tc>
        <w:tc>
          <w:tcPr>
            <w:tcW w:w="2059" w:type="dxa"/>
          </w:tcPr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1.00 [Reference]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  <w:b/>
              </w:rPr>
              <w:t>0.35 (0.18, 0.67)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>0.68 (0.40, 1.14)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21EA">
              <w:rPr>
                <w:rFonts w:ascii="Times New Roman" w:hAnsi="Times New Roman" w:cs="Times New Roman"/>
                <w:b/>
              </w:rPr>
              <w:t>0.39 (0.18, 0.80)</w:t>
            </w:r>
          </w:p>
          <w:p w:rsidR="00AA6553" w:rsidRPr="002421EA" w:rsidRDefault="00AA6553" w:rsidP="00F66DA9">
            <w:pPr>
              <w:jc w:val="center"/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  <w:b/>
                <w:i/>
              </w:rPr>
              <w:t>p=0.015</w:t>
            </w:r>
          </w:p>
        </w:tc>
      </w:tr>
      <w:tr w:rsidR="00AA6553" w:rsidRPr="002421EA" w:rsidTr="00F66DA9">
        <w:trPr>
          <w:trHeight w:val="339"/>
        </w:trPr>
        <w:tc>
          <w:tcPr>
            <w:tcW w:w="14572" w:type="dxa"/>
            <w:gridSpan w:val="8"/>
          </w:tcPr>
          <w:p w:rsidR="00AA6553" w:rsidRPr="002421EA" w:rsidRDefault="00AA6553" w:rsidP="00F66DA9">
            <w:pPr>
              <w:rPr>
                <w:rFonts w:ascii="Times New Roman" w:hAnsi="Times New Roman" w:cs="Times New Roman"/>
              </w:rPr>
            </w:pPr>
            <w:r w:rsidRPr="002421EA">
              <w:rPr>
                <w:rFonts w:ascii="Times New Roman" w:hAnsi="Times New Roman" w:cs="Times New Roman"/>
              </w:rPr>
              <w:t xml:space="preserve">All models by log-binomial regression, estimating adjusted prevalence ratio (aPR) (95% CI). Results in boldface denote statistical significance. </w:t>
            </w:r>
          </w:p>
          <w:p w:rsidR="00AA6553" w:rsidRPr="002421EA" w:rsidRDefault="00AA6553" w:rsidP="00F66DA9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421EA">
              <w:rPr>
                <w:rFonts w:ascii="Times New Roman" w:hAnsi="Times New Roman" w:cs="Times New Roman"/>
              </w:rPr>
              <w:t>a</w:t>
            </w:r>
            <w:proofErr w:type="spellEnd"/>
            <w:proofErr w:type="gramEnd"/>
            <w:r w:rsidRPr="002421EA">
              <w:rPr>
                <w:rFonts w:ascii="Times New Roman" w:hAnsi="Times New Roman" w:cs="Times New Roman"/>
              </w:rPr>
              <w:t xml:space="preserve"> Adjusted for ongoing symptoms of relapse. </w:t>
            </w:r>
          </w:p>
          <w:p w:rsidR="00AA6553" w:rsidRPr="002421EA" w:rsidRDefault="00AA6553" w:rsidP="00F66DA9">
            <w:pPr>
              <w:rPr>
                <w:rFonts w:ascii="Times New Roman" w:hAnsi="Times New Roman" w:cs="Times New Roman"/>
                <w:b/>
              </w:rPr>
            </w:pPr>
            <w:r w:rsidRPr="002421EA">
              <w:rPr>
                <w:rFonts w:ascii="Times New Roman" w:hAnsi="Times New Roman" w:cs="Times New Roman"/>
              </w:rPr>
              <w:t>b Adjusted for ongoing symptoms of relapse, age, sex, clinically significant fatigue, number of treated comorbidities, and depression risk.</w:t>
            </w:r>
          </w:p>
        </w:tc>
      </w:tr>
    </w:tbl>
    <w:p w:rsidR="0077552E" w:rsidRDefault="00B416D9"/>
    <w:sectPr w:rsidR="0077552E" w:rsidSect="00AA655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553"/>
    <w:rsid w:val="0009295D"/>
    <w:rsid w:val="000D1CCC"/>
    <w:rsid w:val="006A721C"/>
    <w:rsid w:val="00AA6553"/>
    <w:rsid w:val="00AF6138"/>
    <w:rsid w:val="00B4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E437D"/>
  <w15:chartTrackingRefBased/>
  <w15:docId w15:val="{D7A9C0BC-4EDB-4D72-83AC-F7B40603D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A6553"/>
    <w:pPr>
      <w:spacing w:after="0" w:line="240" w:lineRule="auto"/>
    </w:pPr>
    <w:rPr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6553"/>
    <w:pPr>
      <w:spacing w:after="0" w:line="240" w:lineRule="auto"/>
    </w:pPr>
    <w:rPr>
      <w:sz w:val="24"/>
      <w:szCs w:val="24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A6553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443</Words>
  <Characters>2527</Characters>
  <Application>Microsoft Office Word</Application>
  <DocSecurity>0</DocSecurity>
  <Lines>21</Lines>
  <Paragraphs>5</Paragraphs>
  <ScaleCrop>false</ScaleCrop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Simpson-Yap</dc:creator>
  <cp:keywords/>
  <dc:description/>
  <cp:lastModifiedBy>Steve Simpson-Yap</cp:lastModifiedBy>
  <cp:revision>2</cp:revision>
  <dcterms:created xsi:type="dcterms:W3CDTF">2021-02-11T22:29:00Z</dcterms:created>
  <dcterms:modified xsi:type="dcterms:W3CDTF">2021-02-12T00:40:00Z</dcterms:modified>
</cp:coreProperties>
</file>