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EB085" w14:textId="21CE02F8" w:rsidR="00FD5C5D" w:rsidRDefault="00B05C3C" w:rsidP="00B05C3C">
      <w:pPr>
        <w:pStyle w:val="Titre1"/>
        <w:rPr>
          <w:lang w:eastAsia="ko-KR"/>
        </w:rPr>
      </w:pPr>
      <w:bookmarkStart w:id="0" w:name="_Hlk139903309"/>
      <w:r w:rsidRPr="00D667BC">
        <w:rPr>
          <w:lang w:val="en-GB"/>
        </w:rPr>
        <w:t>A</w:t>
      </w:r>
      <w:bookmarkEnd w:id="0"/>
      <w:r>
        <w:rPr>
          <w:lang w:val="en-GB"/>
        </w:rPr>
        <w:t xml:space="preserve">dditional file </w:t>
      </w:r>
      <w:r w:rsidR="00E4118B">
        <w:rPr>
          <w:lang w:val="en-GB"/>
        </w:rPr>
        <w:t>6</w:t>
      </w:r>
      <w:r>
        <w:rPr>
          <w:lang w:val="en-GB"/>
        </w:rPr>
        <w:t xml:space="preserve">. </w:t>
      </w:r>
      <w:r w:rsidR="00E4118B" w:rsidRPr="008C560D">
        <w:rPr>
          <w:lang w:eastAsia="ko-KR"/>
        </w:rPr>
        <w:t>Summary results for measurement properties</w:t>
      </w:r>
    </w:p>
    <w:tbl>
      <w:tblPr>
        <w:tblStyle w:val="Grilledutableau2"/>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2479"/>
        <w:gridCol w:w="2679"/>
        <w:gridCol w:w="1866"/>
        <w:gridCol w:w="1706"/>
        <w:gridCol w:w="2652"/>
        <w:gridCol w:w="2171"/>
      </w:tblGrid>
      <w:tr w:rsidR="0012540F" w:rsidRPr="008B5BB8" w14:paraId="792FCBF8" w14:textId="77777777" w:rsidTr="00B73B8A">
        <w:trPr>
          <w:cantSplit/>
          <w:trHeight w:val="965"/>
          <w:tblHeader/>
        </w:trPr>
        <w:tc>
          <w:tcPr>
            <w:tcW w:w="599" w:type="pct"/>
            <w:tcBorders>
              <w:top w:val="single" w:sz="4" w:space="0" w:color="auto"/>
              <w:left w:val="nil"/>
              <w:bottom w:val="single" w:sz="4" w:space="0" w:color="auto"/>
              <w:right w:val="nil"/>
            </w:tcBorders>
            <w:vAlign w:val="center"/>
            <w:hideMark/>
          </w:tcPr>
          <w:p w14:paraId="76ECDDC5"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Instrument</w:t>
            </w:r>
          </w:p>
        </w:tc>
        <w:tc>
          <w:tcPr>
            <w:tcW w:w="805" w:type="pct"/>
            <w:tcBorders>
              <w:top w:val="single" w:sz="4" w:space="0" w:color="auto"/>
              <w:left w:val="nil"/>
              <w:bottom w:val="single" w:sz="4" w:space="0" w:color="auto"/>
              <w:right w:val="nil"/>
            </w:tcBorders>
            <w:vAlign w:val="center"/>
            <w:hideMark/>
          </w:tcPr>
          <w:p w14:paraId="7804C33A"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Structural validity</w:t>
            </w:r>
          </w:p>
        </w:tc>
        <w:tc>
          <w:tcPr>
            <w:tcW w:w="870" w:type="pct"/>
            <w:tcBorders>
              <w:top w:val="single" w:sz="4" w:space="0" w:color="auto"/>
              <w:left w:val="nil"/>
              <w:bottom w:val="single" w:sz="4" w:space="0" w:color="auto"/>
              <w:right w:val="nil"/>
            </w:tcBorders>
            <w:vAlign w:val="center"/>
            <w:hideMark/>
          </w:tcPr>
          <w:p w14:paraId="69C2813A"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Internal consistency</w:t>
            </w:r>
          </w:p>
        </w:tc>
        <w:tc>
          <w:tcPr>
            <w:tcW w:w="606" w:type="pct"/>
            <w:tcBorders>
              <w:top w:val="single" w:sz="4" w:space="0" w:color="auto"/>
              <w:left w:val="nil"/>
              <w:bottom w:val="single" w:sz="4" w:space="0" w:color="auto"/>
              <w:right w:val="nil"/>
            </w:tcBorders>
            <w:vAlign w:val="center"/>
            <w:hideMark/>
          </w:tcPr>
          <w:p w14:paraId="65E48355"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Cross-cultural/ measurement invariance</w:t>
            </w:r>
          </w:p>
        </w:tc>
        <w:tc>
          <w:tcPr>
            <w:tcW w:w="554" w:type="pct"/>
            <w:tcBorders>
              <w:top w:val="single" w:sz="4" w:space="0" w:color="auto"/>
              <w:left w:val="nil"/>
              <w:bottom w:val="single" w:sz="4" w:space="0" w:color="auto"/>
              <w:right w:val="nil"/>
            </w:tcBorders>
            <w:vAlign w:val="center"/>
            <w:hideMark/>
          </w:tcPr>
          <w:p w14:paraId="0A8F37FD"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Reliability</w:t>
            </w:r>
          </w:p>
        </w:tc>
        <w:tc>
          <w:tcPr>
            <w:tcW w:w="861" w:type="pct"/>
            <w:tcBorders>
              <w:top w:val="single" w:sz="4" w:space="0" w:color="auto"/>
              <w:left w:val="nil"/>
              <w:bottom w:val="single" w:sz="4" w:space="0" w:color="auto"/>
              <w:right w:val="nil"/>
            </w:tcBorders>
            <w:vAlign w:val="center"/>
            <w:hideMark/>
          </w:tcPr>
          <w:p w14:paraId="33638BCD"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Hypotheses testing: convergent validity</w:t>
            </w:r>
          </w:p>
        </w:tc>
        <w:tc>
          <w:tcPr>
            <w:tcW w:w="706" w:type="pct"/>
            <w:tcBorders>
              <w:top w:val="single" w:sz="4" w:space="0" w:color="auto"/>
              <w:left w:val="nil"/>
              <w:bottom w:val="single" w:sz="4" w:space="0" w:color="auto"/>
              <w:right w:val="nil"/>
            </w:tcBorders>
            <w:vAlign w:val="center"/>
            <w:hideMark/>
          </w:tcPr>
          <w:p w14:paraId="0CF6F55E" w14:textId="77777777" w:rsidR="0012540F" w:rsidRPr="0012540F" w:rsidRDefault="0012540F" w:rsidP="00B73B8A">
            <w:pPr>
              <w:widowControl w:val="0"/>
              <w:autoSpaceDE w:val="0"/>
              <w:autoSpaceDN w:val="0"/>
              <w:spacing w:after="0"/>
              <w:contextualSpacing/>
              <w:jc w:val="center"/>
              <w:rPr>
                <w:rFonts w:asciiTheme="minorHAnsi" w:hAnsiTheme="minorHAnsi" w:cstheme="minorHAnsi"/>
                <w:b/>
                <w:bCs/>
                <w:sz w:val="20"/>
                <w:szCs w:val="20"/>
              </w:rPr>
            </w:pPr>
            <w:r w:rsidRPr="0012540F">
              <w:rPr>
                <w:rFonts w:asciiTheme="minorHAnsi" w:hAnsiTheme="minorHAnsi" w:cstheme="minorHAnsi"/>
                <w:b/>
                <w:bCs/>
                <w:sz w:val="20"/>
                <w:szCs w:val="20"/>
              </w:rPr>
              <w:t>Hypotheses testing: discriminant, known-groups validity</w:t>
            </w:r>
          </w:p>
        </w:tc>
      </w:tr>
      <w:tr w:rsidR="0012540F" w:rsidRPr="0012540F" w14:paraId="2EEBE07F" w14:textId="77777777" w:rsidTr="00B73B8A">
        <w:trPr>
          <w:cantSplit/>
          <w:trHeight w:val="4947"/>
        </w:trPr>
        <w:tc>
          <w:tcPr>
            <w:tcW w:w="599" w:type="pct"/>
            <w:tcBorders>
              <w:top w:val="single" w:sz="4" w:space="0" w:color="auto"/>
              <w:left w:val="nil"/>
              <w:bottom w:val="nil"/>
              <w:right w:val="nil"/>
            </w:tcBorders>
            <w:vAlign w:val="center"/>
            <w:hideMark/>
          </w:tcPr>
          <w:p w14:paraId="53463688" w14:textId="5CC3D32D" w:rsidR="0012540F" w:rsidRPr="00B0291E" w:rsidRDefault="0012540F" w:rsidP="00E472E8">
            <w:pPr>
              <w:widowControl w:val="0"/>
              <w:autoSpaceDE w:val="0"/>
              <w:autoSpaceDN w:val="0"/>
              <w:spacing w:after="0"/>
              <w:ind w:left="-57" w:right="-57"/>
              <w:contextualSpacing/>
              <w:jc w:val="left"/>
              <w:rPr>
                <w:rFonts w:asciiTheme="minorHAnsi" w:hAnsiTheme="minorHAnsi" w:cstheme="minorHAnsi"/>
                <w:sz w:val="20"/>
                <w:szCs w:val="20"/>
                <w:lang w:val="en-GB"/>
              </w:rPr>
            </w:pPr>
            <w:r w:rsidRPr="0012540F">
              <w:rPr>
                <w:rFonts w:asciiTheme="minorHAnsi" w:hAnsiTheme="minorHAnsi" w:cstheme="minorHAnsi"/>
                <w:sz w:val="20"/>
                <w:szCs w:val="20"/>
                <w:lang w:val="fr-CH"/>
              </w:rPr>
              <w:t xml:space="preserve">eHEALS </w:t>
            </w:r>
            <w:r w:rsidRPr="00B0291E">
              <w:rPr>
                <w:rFonts w:asciiTheme="minorHAnsi" w:hAnsiTheme="minorHAnsi" w:cstheme="minorHAnsi"/>
                <w:sz w:val="20"/>
                <w:szCs w:val="20"/>
                <w:lang w:val="en-GB"/>
              </w:rPr>
              <w:t>(</w:t>
            </w:r>
            <w:r w:rsidR="00415889" w:rsidRPr="00B0291E">
              <w:rPr>
                <w:rFonts w:asciiTheme="minorHAnsi" w:hAnsiTheme="minorHAnsi" w:cstheme="minorHAnsi"/>
                <w:sz w:val="20"/>
                <w:szCs w:val="20"/>
                <w:lang w:val="en-GB"/>
              </w:rPr>
              <w:t>A01</w:t>
            </w:r>
            <w:r w:rsidR="00B0291E">
              <w:rPr>
                <w:rFonts w:asciiTheme="minorHAnsi" w:hAnsiTheme="minorHAnsi" w:cstheme="minorHAnsi"/>
                <w:sz w:val="20"/>
                <w:szCs w:val="20"/>
                <w:lang w:val="en-GB"/>
              </w:rPr>
              <w:t>-A17</w:t>
            </w:r>
            <w:r w:rsidRPr="00B0291E">
              <w:rPr>
                <w:rFonts w:asciiTheme="minorHAnsi" w:hAnsiTheme="minorHAnsi" w:cstheme="minorHAnsi"/>
                <w:sz w:val="20"/>
                <w:szCs w:val="20"/>
                <w:lang w:val="en-GB"/>
              </w:rPr>
              <w:t>)</w:t>
            </w:r>
          </w:p>
        </w:tc>
        <w:tc>
          <w:tcPr>
            <w:tcW w:w="805" w:type="pct"/>
            <w:tcBorders>
              <w:top w:val="single" w:sz="4" w:space="0" w:color="auto"/>
              <w:left w:val="nil"/>
              <w:bottom w:val="nil"/>
              <w:right w:val="nil"/>
            </w:tcBorders>
            <w:vAlign w:val="center"/>
            <w:hideMark/>
          </w:tcPr>
          <w:p w14:paraId="47A6D46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factor: (</w:t>
            </w:r>
            <w:r w:rsidRPr="0012540F">
              <w:rPr>
                <w:rFonts w:asciiTheme="minorHAnsi" w:hAnsiTheme="minorHAnsi" w:cstheme="minorHAnsi"/>
                <w:i/>
                <w:iCs/>
                <w:sz w:val="20"/>
                <w:szCs w:val="20"/>
              </w:rPr>
              <w:t>n</w:t>
            </w:r>
            <w:r w:rsidRPr="0012540F">
              <w:rPr>
                <w:rFonts w:asciiTheme="minorHAnsi" w:hAnsiTheme="minorHAnsi" w:cstheme="minorHAnsi"/>
                <w:sz w:val="20"/>
                <w:szCs w:val="20"/>
              </w:rPr>
              <w:t>=9,643)</w:t>
            </w:r>
          </w:p>
          <w:p w14:paraId="662E3FF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13 out of 16 were confirmed using EFA, CFA, and IRT/Rasch analysis.</w:t>
            </w:r>
          </w:p>
        </w:tc>
        <w:tc>
          <w:tcPr>
            <w:tcW w:w="870" w:type="pct"/>
            <w:tcBorders>
              <w:top w:val="single" w:sz="4" w:space="0" w:color="auto"/>
              <w:left w:val="nil"/>
              <w:bottom w:val="nil"/>
              <w:right w:val="nil"/>
            </w:tcBorders>
            <w:vAlign w:val="center"/>
            <w:hideMark/>
          </w:tcPr>
          <w:p w14:paraId="1758BF73"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&lt;Qualitative summary&gt;</w:t>
            </w:r>
          </w:p>
          <w:p w14:paraId="42B554A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 range from 0.88 to 0.93 (</w:t>
            </w:r>
            <w:r w:rsidRPr="0012540F">
              <w:rPr>
                <w:rFonts w:asciiTheme="minorHAnsi" w:hAnsiTheme="minorHAnsi" w:cstheme="minorHAnsi"/>
                <w:i/>
                <w:sz w:val="20"/>
                <w:szCs w:val="20"/>
              </w:rPr>
              <w:t>n</w:t>
            </w:r>
            <w:r w:rsidRPr="0012540F">
              <w:rPr>
                <w:rFonts w:asciiTheme="minorHAnsi" w:hAnsiTheme="minorHAnsi" w:cstheme="minorHAnsi"/>
                <w:sz w:val="20"/>
                <w:szCs w:val="20"/>
              </w:rPr>
              <w:t>=8,702).</w:t>
            </w:r>
          </w:p>
          <w:p w14:paraId="417D552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Omega: .99 (</w:t>
            </w:r>
            <w:r w:rsidRPr="0012540F">
              <w:rPr>
                <w:rFonts w:asciiTheme="minorHAnsi" w:hAnsiTheme="minorHAnsi" w:cstheme="minorHAnsi"/>
                <w:i/>
                <w:iCs/>
                <w:sz w:val="20"/>
                <w:szCs w:val="20"/>
              </w:rPr>
              <w:t>n</w:t>
            </w:r>
            <w:r w:rsidRPr="0012540F">
              <w:rPr>
                <w:rFonts w:asciiTheme="minorHAnsi" w:hAnsiTheme="minorHAnsi" w:cstheme="minorHAnsi"/>
                <w:sz w:val="20"/>
                <w:szCs w:val="20"/>
              </w:rPr>
              <w:t>=703)</w:t>
            </w:r>
          </w:p>
          <w:p w14:paraId="00385B6A" w14:textId="77777777" w:rsidR="0012540F" w:rsidRPr="0012540F" w:rsidRDefault="0012540F" w:rsidP="00B73B8A">
            <w:pPr>
              <w:widowControl w:val="0"/>
              <w:autoSpaceDE w:val="0"/>
              <w:autoSpaceDN w:val="0"/>
              <w:spacing w:after="0"/>
              <w:contextualSpacing/>
              <w:jc w:val="left"/>
              <w:rPr>
                <w:rFonts w:asciiTheme="minorHAnsi" w:hAnsiTheme="minorHAnsi" w:cstheme="minorHAnsi"/>
                <w:i/>
                <w:iCs/>
                <w:sz w:val="20"/>
                <w:szCs w:val="20"/>
              </w:rPr>
            </w:pPr>
            <w:r w:rsidRPr="0012540F">
              <w:rPr>
                <w:rFonts w:asciiTheme="minorHAnsi" w:hAnsiTheme="minorHAnsi" w:cstheme="minorHAnsi"/>
                <w:sz w:val="20"/>
                <w:szCs w:val="20"/>
              </w:rPr>
              <w:t>Person reliability: .80-. 87 (</w:t>
            </w:r>
            <w:r w:rsidRPr="0012540F">
              <w:rPr>
                <w:rFonts w:asciiTheme="minorHAnsi" w:hAnsiTheme="minorHAnsi" w:cstheme="minorHAnsi"/>
                <w:i/>
                <w:sz w:val="20"/>
                <w:szCs w:val="20"/>
              </w:rPr>
              <w:t>n</w:t>
            </w:r>
            <w:r w:rsidRPr="0012540F">
              <w:rPr>
                <w:rFonts w:asciiTheme="minorHAnsi" w:hAnsiTheme="minorHAnsi" w:cstheme="minorHAnsi"/>
                <w:i/>
                <w:iCs/>
                <w:sz w:val="20"/>
                <w:szCs w:val="20"/>
              </w:rPr>
              <w:t>=888)</w:t>
            </w:r>
          </w:p>
          <w:p w14:paraId="0D17A55D"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Item reliability: ranged from .61 to -.93 (</w:t>
            </w:r>
            <w:r w:rsidRPr="0012540F">
              <w:rPr>
                <w:rFonts w:asciiTheme="minorHAnsi" w:hAnsiTheme="minorHAnsi" w:cstheme="minorHAnsi"/>
                <w:i/>
                <w:sz w:val="20"/>
                <w:szCs w:val="20"/>
              </w:rPr>
              <w:t>n= 1072</w:t>
            </w:r>
            <w:r w:rsidRPr="0012540F">
              <w:rPr>
                <w:rFonts w:asciiTheme="minorHAnsi" w:hAnsiTheme="minorHAnsi" w:cstheme="minorHAnsi"/>
                <w:iCs/>
                <w:sz w:val="20"/>
                <w:szCs w:val="20"/>
              </w:rPr>
              <w:t>)</w:t>
            </w:r>
          </w:p>
          <w:p w14:paraId="5F2F8892"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Person separation index: 2.36 (</w:t>
            </w:r>
            <w:r w:rsidRPr="0012540F">
              <w:rPr>
                <w:rFonts w:asciiTheme="minorHAnsi" w:hAnsiTheme="minorHAnsi" w:cstheme="minorHAnsi"/>
                <w:i/>
                <w:sz w:val="20"/>
                <w:szCs w:val="20"/>
              </w:rPr>
              <w:t>n</w:t>
            </w:r>
            <w:r w:rsidRPr="0012540F">
              <w:rPr>
                <w:rFonts w:asciiTheme="minorHAnsi" w:hAnsiTheme="minorHAnsi" w:cstheme="minorHAnsi"/>
                <w:sz w:val="20"/>
                <w:szCs w:val="20"/>
              </w:rPr>
              <w:t>=388)</w:t>
            </w:r>
          </w:p>
          <w:p w14:paraId="3D97429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Item separation index: 3.62 (</w:t>
            </w:r>
            <w:r w:rsidRPr="0012540F">
              <w:rPr>
                <w:rFonts w:asciiTheme="minorHAnsi" w:hAnsiTheme="minorHAnsi" w:cstheme="minorHAnsi"/>
                <w:i/>
                <w:iCs/>
                <w:sz w:val="20"/>
                <w:szCs w:val="20"/>
              </w:rPr>
              <w:t>n</w:t>
            </w:r>
            <w:r w:rsidRPr="0012540F">
              <w:rPr>
                <w:rFonts w:asciiTheme="minorHAnsi" w:hAnsiTheme="minorHAnsi" w:cstheme="minorHAnsi"/>
                <w:sz w:val="20"/>
                <w:szCs w:val="20"/>
              </w:rPr>
              <w:t>=388)</w:t>
            </w:r>
          </w:p>
        </w:tc>
        <w:tc>
          <w:tcPr>
            <w:tcW w:w="606" w:type="pct"/>
            <w:tcBorders>
              <w:top w:val="single" w:sz="4" w:space="0" w:color="auto"/>
              <w:left w:val="nil"/>
              <w:bottom w:val="nil"/>
              <w:right w:val="nil"/>
            </w:tcBorders>
            <w:vAlign w:val="center"/>
            <w:hideMark/>
          </w:tcPr>
          <w:p w14:paraId="6EE170B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4 out of 5 studies were confirmed</w:t>
            </w:r>
          </w:p>
          <w:p w14:paraId="59AD231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t>
            </w:r>
            <w:r w:rsidRPr="0012540F">
              <w:rPr>
                <w:rFonts w:asciiTheme="minorHAnsi" w:hAnsiTheme="minorHAnsi" w:cstheme="minorHAnsi"/>
                <w:i/>
                <w:sz w:val="20"/>
                <w:szCs w:val="20"/>
              </w:rPr>
              <w:t>n=</w:t>
            </w:r>
            <w:r w:rsidRPr="0012540F">
              <w:rPr>
                <w:rFonts w:asciiTheme="minorHAnsi" w:hAnsiTheme="minorHAnsi" w:cstheme="minorHAnsi"/>
                <w:sz w:val="20"/>
                <w:szCs w:val="20"/>
              </w:rPr>
              <w:t>2,349)</w:t>
            </w:r>
          </w:p>
        </w:tc>
        <w:tc>
          <w:tcPr>
            <w:tcW w:w="554" w:type="pct"/>
            <w:tcBorders>
              <w:top w:val="single" w:sz="4" w:space="0" w:color="auto"/>
              <w:left w:val="nil"/>
              <w:bottom w:val="nil"/>
              <w:right w:val="nil"/>
            </w:tcBorders>
            <w:vAlign w:val="center"/>
            <w:hideMark/>
          </w:tcPr>
          <w:p w14:paraId="6228460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&lt;Kappa&gt;</w:t>
            </w:r>
          </w:p>
          <w:p w14:paraId="3E13737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Weighted quadratic kappa (items): .64-.79 (</w:t>
            </w:r>
            <w:r w:rsidRPr="0012540F">
              <w:rPr>
                <w:rFonts w:asciiTheme="minorHAnsi" w:hAnsiTheme="minorHAnsi" w:cstheme="minorHAnsi"/>
                <w:i/>
                <w:sz w:val="20"/>
                <w:szCs w:val="20"/>
              </w:rPr>
              <w:t>n</w:t>
            </w:r>
            <w:r w:rsidRPr="0012540F">
              <w:rPr>
                <w:rFonts w:asciiTheme="minorHAnsi" w:hAnsiTheme="minorHAnsi" w:cstheme="minorHAnsi"/>
                <w:sz w:val="20"/>
                <w:szCs w:val="20"/>
              </w:rPr>
              <w:t>=35)</w:t>
            </w:r>
          </w:p>
        </w:tc>
        <w:tc>
          <w:tcPr>
            <w:tcW w:w="861" w:type="pct"/>
            <w:tcBorders>
              <w:top w:val="single" w:sz="4" w:space="0" w:color="auto"/>
              <w:left w:val="nil"/>
              <w:bottom w:val="nil"/>
              <w:right w:val="nil"/>
            </w:tcBorders>
            <w:vAlign w:val="center"/>
            <w:hideMark/>
          </w:tcPr>
          <w:p w14:paraId="0B41EF9B"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Hypotheses were confirmed (</w:t>
            </w:r>
            <w:r w:rsidRPr="0012540F">
              <w:rPr>
                <w:rFonts w:asciiTheme="minorHAnsi" w:hAnsiTheme="minorHAnsi" w:cstheme="minorHAnsi"/>
                <w:i/>
                <w:sz w:val="20"/>
                <w:szCs w:val="20"/>
              </w:rPr>
              <w:t>n</w:t>
            </w:r>
            <w:r w:rsidRPr="0012540F">
              <w:rPr>
                <w:rFonts w:asciiTheme="minorHAnsi" w:hAnsiTheme="minorHAnsi" w:cstheme="minorHAnsi"/>
                <w:sz w:val="20"/>
                <w:szCs w:val="20"/>
              </w:rPr>
              <w:t>= 5,145), with:</w:t>
            </w:r>
          </w:p>
          <w:p w14:paraId="7B91D071"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-age, gender, education</w:t>
            </w:r>
          </w:p>
          <w:p w14:paraId="23F675AA"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-computer/internet comparators (Internet use-hours/day, computer skills, web use, computer knowledge, online health information-seeking, attitudes toward the adoption of the ICTs for health purposes, eHealth predisposition, use of Internet searching strategies, use of digital media)</w:t>
            </w:r>
          </w:p>
          <w:p w14:paraId="410CC2EA"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-health-related comparators (perceived health)</w:t>
            </w:r>
          </w:p>
          <w:p w14:paraId="5419CFCE" w14:textId="38578F35" w:rsidR="0012540F" w:rsidRPr="0012540F" w:rsidRDefault="0012540F" w:rsidP="00FE7354">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-with health literacy</w:t>
            </w:r>
          </w:p>
        </w:tc>
        <w:tc>
          <w:tcPr>
            <w:tcW w:w="706" w:type="pct"/>
            <w:tcBorders>
              <w:top w:val="single" w:sz="4" w:space="0" w:color="auto"/>
              <w:left w:val="nil"/>
              <w:bottom w:val="nil"/>
              <w:right w:val="nil"/>
            </w:tcBorders>
            <w:vAlign w:val="center"/>
            <w:hideMark/>
          </w:tcPr>
          <w:p w14:paraId="7D45FAB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Hypotheses were confirmed (</w:t>
            </w:r>
            <w:r w:rsidRPr="0012540F">
              <w:rPr>
                <w:rFonts w:asciiTheme="minorHAnsi" w:hAnsiTheme="minorHAnsi" w:cstheme="minorHAnsi"/>
                <w:i/>
                <w:iCs/>
                <w:sz w:val="20"/>
                <w:szCs w:val="20"/>
              </w:rPr>
              <w:t>n</w:t>
            </w:r>
            <w:r w:rsidRPr="0012540F">
              <w:rPr>
                <w:rFonts w:asciiTheme="minorHAnsi" w:hAnsiTheme="minorHAnsi" w:cstheme="minorHAnsi"/>
                <w:sz w:val="20"/>
                <w:szCs w:val="20"/>
              </w:rPr>
              <w:t>=104).</w:t>
            </w:r>
          </w:p>
          <w:p w14:paraId="00B0E38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-Groups by readiness to use the internet for researching health-related information</w:t>
            </w:r>
          </w:p>
          <w:p w14:paraId="1D1574CE"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-with Groups by readiness to use the internet as a primary source of information</w:t>
            </w:r>
          </w:p>
          <w:p w14:paraId="5B2ED69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-with age groups</w:t>
            </w:r>
          </w:p>
        </w:tc>
      </w:tr>
      <w:tr w:rsidR="0012540F" w:rsidRPr="008B5BB8" w14:paraId="126A170D" w14:textId="77777777" w:rsidTr="00B73B8A">
        <w:trPr>
          <w:cantSplit/>
          <w:trHeight w:val="1914"/>
        </w:trPr>
        <w:tc>
          <w:tcPr>
            <w:tcW w:w="599" w:type="pct"/>
            <w:tcBorders>
              <w:top w:val="nil"/>
              <w:left w:val="nil"/>
              <w:bottom w:val="nil"/>
              <w:right w:val="nil"/>
            </w:tcBorders>
            <w:vAlign w:val="center"/>
            <w:hideMark/>
          </w:tcPr>
          <w:p w14:paraId="69013A1E" w14:textId="5F894BB3" w:rsidR="0012540F" w:rsidRPr="0012540F" w:rsidRDefault="0012540F" w:rsidP="00E472E8">
            <w:pPr>
              <w:widowControl w:val="0"/>
              <w:autoSpaceDE w:val="0"/>
              <w:autoSpaceDN w:val="0"/>
              <w:spacing w:after="0"/>
              <w:jc w:val="left"/>
              <w:rPr>
                <w:rFonts w:asciiTheme="minorHAnsi" w:hAnsiTheme="minorHAnsi" w:cstheme="minorHAnsi"/>
                <w:sz w:val="20"/>
                <w:szCs w:val="20"/>
                <w:lang w:val="fr-CH"/>
              </w:rPr>
            </w:pPr>
            <w:r w:rsidRPr="0012540F">
              <w:rPr>
                <w:rFonts w:asciiTheme="minorHAnsi" w:hAnsiTheme="minorHAnsi" w:cstheme="minorHAnsi"/>
                <w:sz w:val="20"/>
                <w:szCs w:val="20"/>
                <w:lang w:val="fr-CH"/>
              </w:rPr>
              <w:t>eHEALS (</w:t>
            </w:r>
            <w:r w:rsidR="00B0291E">
              <w:rPr>
                <w:rFonts w:asciiTheme="minorHAnsi" w:hAnsiTheme="minorHAnsi" w:cstheme="minorHAnsi"/>
                <w:sz w:val="20"/>
                <w:szCs w:val="20"/>
                <w:lang w:val="fr-CH"/>
              </w:rPr>
              <w:t>A08,A16,A18</w:t>
            </w:r>
            <w:r w:rsidRPr="0012540F">
              <w:rPr>
                <w:rFonts w:asciiTheme="minorHAnsi" w:hAnsiTheme="minorHAnsi" w:cstheme="minorHAnsi"/>
                <w:sz w:val="20"/>
                <w:szCs w:val="20"/>
                <w:lang w:val="fr-CH"/>
              </w:rPr>
              <w:t>)</w:t>
            </w:r>
          </w:p>
        </w:tc>
        <w:tc>
          <w:tcPr>
            <w:tcW w:w="805" w:type="pct"/>
            <w:tcBorders>
              <w:top w:val="nil"/>
              <w:left w:val="nil"/>
              <w:bottom w:val="nil"/>
              <w:right w:val="nil"/>
            </w:tcBorders>
            <w:vAlign w:val="center"/>
          </w:tcPr>
          <w:p w14:paraId="6F1F6CFC"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r w:rsidRPr="0012540F">
              <w:rPr>
                <w:rFonts w:asciiTheme="minorHAnsi" w:hAnsiTheme="minorHAnsi" w:cstheme="minorHAnsi"/>
                <w:sz w:val="20"/>
                <w:szCs w:val="20"/>
              </w:rPr>
              <w:t>2 factors</w:t>
            </w:r>
            <w:r w:rsidRPr="0012540F">
              <w:rPr>
                <w:rFonts w:asciiTheme="minorHAnsi" w:hAnsiTheme="minorHAnsi" w:cstheme="minorHAnsi"/>
                <w:sz w:val="20"/>
                <w:szCs w:val="20"/>
                <w:vertAlign w:val="superscript"/>
              </w:rPr>
              <w:t>a</w:t>
            </w:r>
            <w:r w:rsidRPr="0012540F">
              <w:rPr>
                <w:rFonts w:asciiTheme="minorHAnsi" w:hAnsiTheme="minorHAnsi" w:cstheme="minorHAnsi"/>
                <w:sz w:val="20"/>
                <w:szCs w:val="20"/>
              </w:rPr>
              <w:t>: (</w:t>
            </w:r>
            <w:r w:rsidRPr="0012540F">
              <w:rPr>
                <w:rFonts w:asciiTheme="minorHAnsi" w:hAnsiTheme="minorHAnsi" w:cstheme="minorHAnsi"/>
                <w:i/>
                <w:iCs/>
                <w:sz w:val="20"/>
                <w:szCs w:val="20"/>
              </w:rPr>
              <w:t>n</w:t>
            </w:r>
            <w:r w:rsidRPr="0012540F">
              <w:rPr>
                <w:rFonts w:asciiTheme="minorHAnsi" w:hAnsiTheme="minorHAnsi" w:cstheme="minorHAnsi"/>
                <w:sz w:val="20"/>
                <w:szCs w:val="20"/>
              </w:rPr>
              <w:t>=1,326)</w:t>
            </w:r>
          </w:p>
          <w:p w14:paraId="23A4E274"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r w:rsidRPr="0012540F">
              <w:rPr>
                <w:rFonts w:asciiTheme="minorHAnsi" w:hAnsiTheme="minorHAnsi" w:cstheme="minorHAnsi"/>
                <w:sz w:val="20"/>
                <w:szCs w:val="20"/>
              </w:rPr>
              <w:t>2 out of 3 were confirmed using CFA</w:t>
            </w:r>
          </w:p>
          <w:p w14:paraId="07904CFE"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p>
        </w:tc>
        <w:tc>
          <w:tcPr>
            <w:tcW w:w="870" w:type="pct"/>
            <w:tcBorders>
              <w:top w:val="nil"/>
              <w:left w:val="nil"/>
              <w:bottom w:val="nil"/>
              <w:right w:val="nil"/>
            </w:tcBorders>
            <w:vAlign w:val="center"/>
            <w:hideMark/>
          </w:tcPr>
          <w:p w14:paraId="45E65F60"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r w:rsidRPr="0012540F">
              <w:rPr>
                <w:rFonts w:asciiTheme="minorHAnsi" w:hAnsiTheme="minorHAnsi" w:cstheme="minorHAnsi"/>
                <w:sz w:val="20"/>
                <w:szCs w:val="20"/>
              </w:rPr>
              <w:t>Cronbach’s alpha: (</w:t>
            </w:r>
            <w:r w:rsidRPr="0012540F">
              <w:rPr>
                <w:rFonts w:asciiTheme="minorHAnsi" w:hAnsiTheme="minorHAnsi" w:cstheme="minorHAnsi"/>
                <w:i/>
                <w:sz w:val="20"/>
                <w:szCs w:val="20"/>
              </w:rPr>
              <w:t>n</w:t>
            </w:r>
            <w:r w:rsidRPr="0012540F">
              <w:rPr>
                <w:rFonts w:asciiTheme="minorHAnsi" w:hAnsiTheme="minorHAnsi" w:cstheme="minorHAnsi"/>
                <w:sz w:val="20"/>
                <w:szCs w:val="20"/>
              </w:rPr>
              <w:t>=327)</w:t>
            </w:r>
          </w:p>
          <w:p w14:paraId="31E5BB12"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r w:rsidRPr="0012540F">
              <w:rPr>
                <w:rFonts w:asciiTheme="minorHAnsi" w:hAnsiTheme="minorHAnsi" w:cstheme="minorHAnsi"/>
                <w:sz w:val="20"/>
                <w:szCs w:val="20"/>
              </w:rPr>
              <w:t>Information seeking : .88</w:t>
            </w:r>
          </w:p>
          <w:p w14:paraId="5546692B"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r w:rsidRPr="0012540F">
              <w:rPr>
                <w:rFonts w:asciiTheme="minorHAnsi" w:hAnsiTheme="minorHAnsi" w:cstheme="minorHAnsi"/>
                <w:sz w:val="20"/>
                <w:szCs w:val="20"/>
              </w:rPr>
              <w:t>Information appraisal : .83</w:t>
            </w:r>
          </w:p>
        </w:tc>
        <w:tc>
          <w:tcPr>
            <w:tcW w:w="606" w:type="pct"/>
            <w:tcBorders>
              <w:top w:val="nil"/>
              <w:left w:val="nil"/>
              <w:bottom w:val="nil"/>
              <w:right w:val="nil"/>
            </w:tcBorders>
            <w:vAlign w:val="center"/>
          </w:tcPr>
          <w:p w14:paraId="093D8957"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p>
        </w:tc>
        <w:tc>
          <w:tcPr>
            <w:tcW w:w="554" w:type="pct"/>
            <w:tcBorders>
              <w:top w:val="nil"/>
              <w:left w:val="nil"/>
              <w:bottom w:val="nil"/>
              <w:right w:val="nil"/>
            </w:tcBorders>
            <w:vAlign w:val="center"/>
          </w:tcPr>
          <w:p w14:paraId="18CA859B"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p>
        </w:tc>
        <w:tc>
          <w:tcPr>
            <w:tcW w:w="861" w:type="pct"/>
            <w:tcBorders>
              <w:top w:val="nil"/>
              <w:left w:val="nil"/>
              <w:bottom w:val="nil"/>
              <w:right w:val="nil"/>
            </w:tcBorders>
            <w:vAlign w:val="center"/>
            <w:hideMark/>
          </w:tcPr>
          <w:p w14:paraId="2C744B39" w14:textId="77777777" w:rsidR="0012540F" w:rsidRPr="0012540F" w:rsidRDefault="0012540F" w:rsidP="00B73B8A">
            <w:pPr>
              <w:widowControl w:val="0"/>
              <w:autoSpaceDE w:val="0"/>
              <w:autoSpaceDN w:val="0"/>
              <w:spacing w:after="0"/>
              <w:ind w:left="-57" w:right="-57"/>
              <w:jc w:val="left"/>
              <w:rPr>
                <w:rFonts w:asciiTheme="minorHAnsi" w:hAnsiTheme="minorHAnsi" w:cstheme="minorHAnsi"/>
                <w:sz w:val="20"/>
                <w:szCs w:val="20"/>
              </w:rPr>
            </w:pPr>
            <w:r w:rsidRPr="0012540F">
              <w:rPr>
                <w:rFonts w:asciiTheme="minorHAnsi" w:hAnsiTheme="minorHAnsi" w:cstheme="minorHAnsi"/>
                <w:sz w:val="20"/>
                <w:szCs w:val="20"/>
              </w:rPr>
              <w:t>Hypotheses were confirmed (n=444), with:</w:t>
            </w:r>
          </w:p>
          <w:p w14:paraId="0476A13A" w14:textId="77777777" w:rsidR="0012540F" w:rsidRPr="0012540F" w:rsidRDefault="0012540F" w:rsidP="00B73B8A">
            <w:pPr>
              <w:widowControl w:val="0"/>
              <w:autoSpaceDE w:val="0"/>
              <w:autoSpaceDN w:val="0"/>
              <w:spacing w:after="0"/>
              <w:ind w:left="-57" w:right="-57"/>
              <w:jc w:val="left"/>
              <w:rPr>
                <w:rFonts w:asciiTheme="minorHAnsi" w:hAnsiTheme="minorHAnsi" w:cstheme="minorHAnsi"/>
                <w:sz w:val="20"/>
                <w:szCs w:val="20"/>
              </w:rPr>
            </w:pPr>
            <w:r w:rsidRPr="0012540F">
              <w:rPr>
                <w:rFonts w:asciiTheme="minorHAnsi" w:hAnsiTheme="minorHAnsi" w:cstheme="minorHAnsi"/>
                <w:sz w:val="20"/>
                <w:szCs w:val="20"/>
              </w:rPr>
              <w:t>-age</w:t>
            </w:r>
          </w:p>
          <w:p w14:paraId="08D93EF4" w14:textId="77777777" w:rsidR="00EE2061"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-computer/internet related comparators (online behaviors, health information seeking on the</w:t>
            </w:r>
            <w:r w:rsidR="00EE2061">
              <w:rPr>
                <w:rFonts w:asciiTheme="minorHAnsi" w:hAnsiTheme="minorHAnsi" w:cstheme="minorHAnsi"/>
                <w:sz w:val="20"/>
                <w:szCs w:val="20"/>
              </w:rPr>
              <w:t xml:space="preserve"> </w:t>
            </w:r>
            <w:r w:rsidR="00EE2061" w:rsidRPr="0012540F">
              <w:rPr>
                <w:rFonts w:asciiTheme="minorHAnsi" w:hAnsiTheme="minorHAnsi" w:cstheme="minorHAnsi"/>
                <w:sz w:val="20"/>
                <w:szCs w:val="20"/>
              </w:rPr>
              <w:t>Web, use of internet)</w:t>
            </w:r>
          </w:p>
          <w:p w14:paraId="5613E78A" w14:textId="1150D1D6" w:rsidR="0012540F" w:rsidRPr="0012540F" w:rsidRDefault="00EE2061" w:rsidP="00B73B8A">
            <w:pPr>
              <w:widowControl w:val="0"/>
              <w:autoSpaceDE w:val="0"/>
              <w:autoSpaceDN w:val="0"/>
              <w:ind w:left="-57" w:right="-57"/>
              <w:jc w:val="left"/>
              <w:rPr>
                <w:rFonts w:asciiTheme="minorHAnsi" w:hAnsiTheme="minorHAnsi" w:cstheme="minorHAnsi"/>
                <w:sz w:val="20"/>
                <w:szCs w:val="20"/>
              </w:rPr>
            </w:pPr>
            <w:r w:rsidRPr="0012540F">
              <w:rPr>
                <w:rFonts w:asciiTheme="minorHAnsi" w:hAnsiTheme="minorHAnsi" w:cstheme="minorHAnsi"/>
                <w:sz w:val="20"/>
                <w:szCs w:val="20"/>
              </w:rPr>
              <w:t>- health-related comparators (health competency, self-efficacy, eHealth predisposition)</w:t>
            </w:r>
          </w:p>
        </w:tc>
        <w:tc>
          <w:tcPr>
            <w:tcW w:w="706" w:type="pct"/>
            <w:tcBorders>
              <w:top w:val="nil"/>
              <w:left w:val="nil"/>
              <w:bottom w:val="nil"/>
              <w:right w:val="nil"/>
            </w:tcBorders>
            <w:vAlign w:val="center"/>
          </w:tcPr>
          <w:p w14:paraId="54A67F2F" w14:textId="77777777" w:rsidR="0012540F" w:rsidRPr="0012540F" w:rsidRDefault="0012540F" w:rsidP="00B73B8A">
            <w:pPr>
              <w:widowControl w:val="0"/>
              <w:autoSpaceDE w:val="0"/>
              <w:autoSpaceDN w:val="0"/>
              <w:spacing w:after="0"/>
              <w:jc w:val="left"/>
              <w:rPr>
                <w:rFonts w:asciiTheme="minorHAnsi" w:hAnsiTheme="minorHAnsi" w:cstheme="minorHAnsi"/>
                <w:sz w:val="20"/>
                <w:szCs w:val="20"/>
              </w:rPr>
            </w:pPr>
          </w:p>
        </w:tc>
      </w:tr>
      <w:tr w:rsidR="0012540F" w:rsidRPr="008B5BB8" w14:paraId="1A8EFFF6" w14:textId="77777777" w:rsidTr="00B73B8A">
        <w:trPr>
          <w:cantSplit/>
        </w:trPr>
        <w:tc>
          <w:tcPr>
            <w:tcW w:w="599" w:type="pct"/>
            <w:tcBorders>
              <w:top w:val="nil"/>
              <w:left w:val="nil"/>
              <w:bottom w:val="single" w:sz="4" w:space="0" w:color="auto"/>
              <w:right w:val="nil"/>
            </w:tcBorders>
            <w:vAlign w:val="center"/>
            <w:hideMark/>
          </w:tcPr>
          <w:p w14:paraId="7BAD8F59" w14:textId="30FCAD4E" w:rsidR="0012540F" w:rsidRPr="0012540F" w:rsidRDefault="0012540F" w:rsidP="00E472E8">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eHEALS</w:t>
            </w:r>
            <w:r w:rsidR="00E472E8">
              <w:rPr>
                <w:rFonts w:asciiTheme="minorHAnsi" w:hAnsiTheme="minorHAnsi" w:cstheme="minorHAnsi"/>
                <w:sz w:val="20"/>
                <w:szCs w:val="20"/>
              </w:rPr>
              <w:t xml:space="preserve"> </w:t>
            </w:r>
            <w:r w:rsidRPr="0012540F">
              <w:rPr>
                <w:rFonts w:asciiTheme="minorHAnsi" w:hAnsiTheme="minorHAnsi" w:cstheme="minorHAnsi"/>
                <w:sz w:val="20"/>
                <w:szCs w:val="20"/>
              </w:rPr>
              <w:t>(</w:t>
            </w:r>
            <w:r w:rsidR="00B0291E">
              <w:rPr>
                <w:rFonts w:asciiTheme="minorHAnsi" w:hAnsiTheme="minorHAnsi" w:cstheme="minorHAnsi"/>
                <w:sz w:val="20"/>
                <w:szCs w:val="20"/>
              </w:rPr>
              <w:t>A19</w:t>
            </w:r>
            <w:r w:rsidRPr="0012540F">
              <w:rPr>
                <w:rFonts w:asciiTheme="minorHAnsi" w:hAnsiTheme="minorHAnsi" w:cstheme="minorHAnsi"/>
                <w:sz w:val="20"/>
                <w:szCs w:val="20"/>
              </w:rPr>
              <w:t>)</w:t>
            </w:r>
          </w:p>
        </w:tc>
        <w:tc>
          <w:tcPr>
            <w:tcW w:w="805" w:type="pct"/>
            <w:tcBorders>
              <w:top w:val="nil"/>
              <w:left w:val="nil"/>
              <w:bottom w:val="single" w:sz="4" w:space="0" w:color="auto"/>
              <w:right w:val="nil"/>
            </w:tcBorders>
            <w:vAlign w:val="center"/>
            <w:hideMark/>
          </w:tcPr>
          <w:p w14:paraId="4C613AFF"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2 factors</w:t>
            </w:r>
            <w:r w:rsidRPr="0012540F">
              <w:rPr>
                <w:rFonts w:asciiTheme="minorHAnsi" w:hAnsiTheme="minorHAnsi" w:cstheme="minorHAnsi"/>
                <w:sz w:val="20"/>
                <w:szCs w:val="20"/>
                <w:vertAlign w:val="superscript"/>
              </w:rPr>
              <w:t>b</w:t>
            </w:r>
            <w:r w:rsidRPr="0012540F">
              <w:rPr>
                <w:rFonts w:asciiTheme="minorHAnsi" w:hAnsiTheme="minorHAnsi" w:cstheme="minorHAnsi"/>
                <w:sz w:val="20"/>
                <w:szCs w:val="20"/>
              </w:rPr>
              <w:t>: (n=199)</w:t>
            </w:r>
          </w:p>
          <w:p w14:paraId="4921379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1 was confirmed using CFA</w:t>
            </w:r>
          </w:p>
        </w:tc>
        <w:tc>
          <w:tcPr>
            <w:tcW w:w="870" w:type="pct"/>
            <w:tcBorders>
              <w:top w:val="nil"/>
              <w:left w:val="nil"/>
              <w:bottom w:val="single" w:sz="4" w:space="0" w:color="auto"/>
              <w:right w:val="nil"/>
            </w:tcBorders>
            <w:vAlign w:val="center"/>
            <w:hideMark/>
          </w:tcPr>
          <w:p w14:paraId="1A5F0F8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w:t>
            </w:r>
          </w:p>
          <w:p w14:paraId="4BE355D4"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t>
            </w:r>
            <w:r w:rsidRPr="0012540F">
              <w:rPr>
                <w:rFonts w:asciiTheme="minorHAnsi" w:hAnsiTheme="minorHAnsi" w:cstheme="minorHAnsi"/>
                <w:i/>
                <w:iCs/>
                <w:sz w:val="20"/>
                <w:szCs w:val="20"/>
              </w:rPr>
              <w:t>n</w:t>
            </w:r>
            <w:r w:rsidRPr="0012540F">
              <w:rPr>
                <w:rFonts w:ascii="Cambria Math" w:eastAsia="Batang" w:hAnsi="Cambria Math" w:cs="Cambria Math"/>
                <w:sz w:val="20"/>
                <w:szCs w:val="20"/>
              </w:rPr>
              <w:t>≒</w:t>
            </w:r>
            <w:r w:rsidRPr="0012540F">
              <w:rPr>
                <w:rFonts w:asciiTheme="minorHAnsi" w:hAnsiTheme="minorHAnsi" w:cstheme="minorHAnsi"/>
                <w:sz w:val="20"/>
                <w:szCs w:val="20"/>
              </w:rPr>
              <w:t>199)</w:t>
            </w:r>
          </w:p>
          <w:p w14:paraId="6B609129"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Factor 1: .83, Factor 2: .83</w:t>
            </w:r>
          </w:p>
        </w:tc>
        <w:tc>
          <w:tcPr>
            <w:tcW w:w="606" w:type="pct"/>
            <w:tcBorders>
              <w:top w:val="nil"/>
              <w:left w:val="nil"/>
              <w:bottom w:val="single" w:sz="4" w:space="0" w:color="auto"/>
              <w:right w:val="nil"/>
            </w:tcBorders>
            <w:vAlign w:val="center"/>
          </w:tcPr>
          <w:p w14:paraId="72ADC85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554" w:type="pct"/>
            <w:tcBorders>
              <w:top w:val="nil"/>
              <w:left w:val="nil"/>
              <w:bottom w:val="single" w:sz="4" w:space="0" w:color="auto"/>
              <w:right w:val="nil"/>
            </w:tcBorders>
            <w:vAlign w:val="center"/>
          </w:tcPr>
          <w:p w14:paraId="0FEC2BA5"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single" w:sz="4" w:space="0" w:color="auto"/>
              <w:right w:val="nil"/>
            </w:tcBorders>
            <w:vAlign w:val="center"/>
          </w:tcPr>
          <w:p w14:paraId="725311A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Hypothesis was confirmed (</w:t>
            </w:r>
            <w:r w:rsidRPr="0012540F">
              <w:rPr>
                <w:rFonts w:asciiTheme="minorHAnsi" w:hAnsiTheme="minorHAnsi" w:cstheme="minorHAnsi"/>
                <w:i/>
                <w:iCs/>
                <w:sz w:val="20"/>
                <w:szCs w:val="20"/>
              </w:rPr>
              <w:t>n=</w:t>
            </w:r>
            <w:r w:rsidRPr="0012540F">
              <w:rPr>
                <w:rFonts w:asciiTheme="minorHAnsi" w:hAnsiTheme="minorHAnsi" w:cstheme="minorHAnsi"/>
                <w:sz w:val="20"/>
                <w:szCs w:val="20"/>
              </w:rPr>
              <w:t>199):</w:t>
            </w:r>
          </w:p>
          <w:p w14:paraId="77D96D7D"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 xml:space="preserve">-with health literacy </w:t>
            </w:r>
            <w:r w:rsidRPr="0012540F">
              <w:rPr>
                <w:rFonts w:asciiTheme="minorHAnsi" w:hAnsiTheme="minorHAnsi" w:cstheme="minorHAnsi"/>
                <w:i/>
                <w:iCs/>
                <w:sz w:val="20"/>
                <w:szCs w:val="20"/>
              </w:rPr>
              <w:t>r</w:t>
            </w:r>
            <w:r w:rsidRPr="0012540F">
              <w:rPr>
                <w:rFonts w:asciiTheme="minorHAnsi" w:hAnsiTheme="minorHAnsi" w:cstheme="minorHAnsi"/>
                <w:sz w:val="20"/>
                <w:szCs w:val="20"/>
              </w:rPr>
              <w:t>=.36</w:t>
            </w:r>
          </w:p>
        </w:tc>
        <w:tc>
          <w:tcPr>
            <w:tcW w:w="706" w:type="pct"/>
            <w:tcBorders>
              <w:top w:val="nil"/>
              <w:left w:val="nil"/>
              <w:bottom w:val="single" w:sz="4" w:space="0" w:color="auto"/>
              <w:right w:val="nil"/>
            </w:tcBorders>
            <w:vAlign w:val="center"/>
          </w:tcPr>
          <w:p w14:paraId="6B4A403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12540F" w14:paraId="28039076" w14:textId="77777777" w:rsidTr="00B73B8A">
        <w:trPr>
          <w:cantSplit/>
        </w:trPr>
        <w:tc>
          <w:tcPr>
            <w:tcW w:w="599" w:type="pct"/>
            <w:tcBorders>
              <w:top w:val="single" w:sz="4" w:space="0" w:color="auto"/>
              <w:left w:val="nil"/>
              <w:bottom w:val="nil"/>
              <w:right w:val="nil"/>
            </w:tcBorders>
            <w:vAlign w:val="center"/>
            <w:hideMark/>
          </w:tcPr>
          <w:p w14:paraId="07569D47" w14:textId="68914966" w:rsidR="0012540F" w:rsidRPr="0012540F" w:rsidRDefault="0012540F" w:rsidP="00E472E8">
            <w:pPr>
              <w:widowControl w:val="0"/>
              <w:autoSpaceDE w:val="0"/>
              <w:autoSpaceDN w:val="0"/>
              <w:spacing w:after="0"/>
              <w:contextualSpacing/>
              <w:jc w:val="left"/>
              <w:rPr>
                <w:rFonts w:asciiTheme="minorHAnsi" w:hAnsiTheme="minorHAnsi" w:cstheme="minorHAnsi"/>
                <w:sz w:val="20"/>
                <w:szCs w:val="20"/>
                <w:lang w:val="fr-CH"/>
              </w:rPr>
            </w:pPr>
            <w:r w:rsidRPr="0012540F">
              <w:rPr>
                <w:rFonts w:asciiTheme="minorHAnsi" w:hAnsiTheme="minorHAnsi" w:cstheme="minorHAnsi"/>
                <w:sz w:val="20"/>
                <w:szCs w:val="20"/>
                <w:lang w:val="fr-CH"/>
              </w:rPr>
              <w:lastRenderedPageBreak/>
              <w:t>eHEALS (</w:t>
            </w:r>
            <w:r w:rsidR="00B0291E">
              <w:rPr>
                <w:rFonts w:asciiTheme="minorHAnsi" w:hAnsiTheme="minorHAnsi" w:cstheme="minorHAnsi"/>
                <w:sz w:val="20"/>
                <w:szCs w:val="20"/>
                <w:lang w:val="fr-CH"/>
              </w:rPr>
              <w:t>A20-A22</w:t>
            </w:r>
            <w:r w:rsidRPr="0012540F">
              <w:rPr>
                <w:rFonts w:asciiTheme="minorHAnsi" w:hAnsiTheme="minorHAnsi" w:cstheme="minorHAnsi"/>
                <w:sz w:val="20"/>
                <w:szCs w:val="20"/>
                <w:lang w:val="fr-CH"/>
              </w:rPr>
              <w:t>)</w:t>
            </w:r>
          </w:p>
        </w:tc>
        <w:tc>
          <w:tcPr>
            <w:tcW w:w="805" w:type="pct"/>
            <w:tcBorders>
              <w:top w:val="single" w:sz="4" w:space="0" w:color="auto"/>
              <w:left w:val="nil"/>
              <w:bottom w:val="nil"/>
              <w:right w:val="nil"/>
            </w:tcBorders>
            <w:vAlign w:val="center"/>
            <w:hideMark/>
          </w:tcPr>
          <w:p w14:paraId="20DC73C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2 factors</w:t>
            </w:r>
            <w:r w:rsidRPr="0012540F">
              <w:rPr>
                <w:rFonts w:asciiTheme="minorHAnsi" w:hAnsiTheme="minorHAnsi" w:cstheme="minorHAnsi"/>
                <w:sz w:val="20"/>
                <w:szCs w:val="20"/>
                <w:vertAlign w:val="superscript"/>
              </w:rPr>
              <w:t>c</w:t>
            </w:r>
            <w:r w:rsidRPr="0012540F">
              <w:rPr>
                <w:rFonts w:asciiTheme="minorHAnsi" w:hAnsiTheme="minorHAnsi" w:cstheme="minorHAnsi"/>
                <w:sz w:val="20"/>
                <w:szCs w:val="20"/>
              </w:rPr>
              <w:t>: (</w:t>
            </w:r>
            <w:r w:rsidRPr="0012540F">
              <w:rPr>
                <w:rFonts w:asciiTheme="minorHAnsi" w:hAnsiTheme="minorHAnsi" w:cstheme="minorHAnsi"/>
                <w:i/>
                <w:iCs/>
                <w:sz w:val="20"/>
                <w:szCs w:val="20"/>
              </w:rPr>
              <w:t>n</w:t>
            </w:r>
            <w:r w:rsidRPr="0012540F">
              <w:rPr>
                <w:rFonts w:asciiTheme="minorHAnsi" w:hAnsiTheme="minorHAnsi" w:cstheme="minorHAnsi"/>
                <w:sz w:val="20"/>
                <w:szCs w:val="20"/>
              </w:rPr>
              <w:t>=407)</w:t>
            </w:r>
          </w:p>
          <w:p w14:paraId="4451671D"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3 out of 3 were confirmed using EFA CFA</w:t>
            </w:r>
          </w:p>
        </w:tc>
        <w:tc>
          <w:tcPr>
            <w:tcW w:w="870" w:type="pct"/>
            <w:tcBorders>
              <w:top w:val="single" w:sz="4" w:space="0" w:color="auto"/>
              <w:left w:val="nil"/>
              <w:bottom w:val="nil"/>
              <w:right w:val="nil"/>
            </w:tcBorders>
            <w:vAlign w:val="center"/>
            <w:hideMark/>
          </w:tcPr>
          <w:p w14:paraId="01ED9FA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 (</w:t>
            </w:r>
            <w:r w:rsidRPr="0012540F">
              <w:rPr>
                <w:rFonts w:asciiTheme="minorHAnsi" w:hAnsiTheme="minorHAnsi" w:cstheme="minorHAnsi"/>
                <w:i/>
                <w:iCs/>
                <w:sz w:val="20"/>
                <w:szCs w:val="20"/>
              </w:rPr>
              <w:t>n</w:t>
            </w:r>
            <w:r w:rsidRPr="0012540F">
              <w:rPr>
                <w:rFonts w:asciiTheme="minorHAnsi" w:hAnsiTheme="minorHAnsi" w:cstheme="minorHAnsi"/>
                <w:sz w:val="20"/>
                <w:szCs w:val="20"/>
              </w:rPr>
              <w:t>=288)</w:t>
            </w:r>
          </w:p>
          <w:p w14:paraId="141179A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Factor 1: .95, Factor 2: .83</w:t>
            </w:r>
          </w:p>
        </w:tc>
        <w:tc>
          <w:tcPr>
            <w:tcW w:w="606" w:type="pct"/>
            <w:tcBorders>
              <w:top w:val="single" w:sz="4" w:space="0" w:color="auto"/>
              <w:left w:val="nil"/>
              <w:bottom w:val="nil"/>
              <w:right w:val="nil"/>
            </w:tcBorders>
            <w:vAlign w:val="center"/>
          </w:tcPr>
          <w:p w14:paraId="7D7565F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554" w:type="pct"/>
            <w:tcBorders>
              <w:top w:val="single" w:sz="4" w:space="0" w:color="auto"/>
              <w:left w:val="nil"/>
              <w:bottom w:val="nil"/>
              <w:right w:val="nil"/>
            </w:tcBorders>
            <w:vAlign w:val="center"/>
            <w:hideMark/>
          </w:tcPr>
          <w:p w14:paraId="1BD5CB9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single" w:sz="4" w:space="0" w:color="auto"/>
              <w:left w:val="nil"/>
              <w:bottom w:val="nil"/>
              <w:right w:val="nil"/>
            </w:tcBorders>
            <w:vAlign w:val="center"/>
            <w:hideMark/>
          </w:tcPr>
          <w:p w14:paraId="73EF1F83"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Hypothesis was confirmed (</w:t>
            </w:r>
            <w:r w:rsidRPr="0012540F">
              <w:rPr>
                <w:rFonts w:asciiTheme="minorHAnsi" w:hAnsiTheme="minorHAnsi" w:cstheme="minorHAnsi"/>
                <w:i/>
                <w:iCs/>
                <w:sz w:val="20"/>
                <w:szCs w:val="20"/>
              </w:rPr>
              <w:t>n</w:t>
            </w:r>
            <w:r w:rsidRPr="0012540F">
              <w:rPr>
                <w:rFonts w:asciiTheme="minorHAnsi" w:hAnsiTheme="minorHAnsi" w:cstheme="minorHAnsi"/>
                <w:sz w:val="20"/>
                <w:szCs w:val="20"/>
              </w:rPr>
              <w:t>=187), with:</w:t>
            </w:r>
          </w:p>
          <w:p w14:paraId="3798DA6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xml:space="preserve">- computer literacy: </w:t>
            </w:r>
            <w:r w:rsidRPr="0012540F">
              <w:rPr>
                <w:rFonts w:asciiTheme="minorHAnsi" w:hAnsiTheme="minorHAnsi" w:cstheme="minorHAnsi"/>
                <w:i/>
                <w:iCs/>
                <w:sz w:val="20"/>
                <w:szCs w:val="20"/>
              </w:rPr>
              <w:t>r</w:t>
            </w:r>
            <w:r w:rsidRPr="0012540F">
              <w:rPr>
                <w:rFonts w:asciiTheme="minorHAnsi" w:hAnsiTheme="minorHAnsi" w:cstheme="minorHAnsi"/>
                <w:sz w:val="20"/>
                <w:szCs w:val="20"/>
              </w:rPr>
              <w:t>=.68</w:t>
            </w:r>
          </w:p>
        </w:tc>
        <w:tc>
          <w:tcPr>
            <w:tcW w:w="706" w:type="pct"/>
            <w:tcBorders>
              <w:top w:val="single" w:sz="4" w:space="0" w:color="auto"/>
              <w:left w:val="nil"/>
              <w:bottom w:val="nil"/>
              <w:right w:val="nil"/>
            </w:tcBorders>
            <w:vAlign w:val="center"/>
          </w:tcPr>
          <w:p w14:paraId="7DFE8364"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8B5BB8" w14:paraId="5143D6EF" w14:textId="77777777" w:rsidTr="00B73B8A">
        <w:trPr>
          <w:cantSplit/>
        </w:trPr>
        <w:tc>
          <w:tcPr>
            <w:tcW w:w="599" w:type="pct"/>
            <w:tcBorders>
              <w:top w:val="nil"/>
              <w:left w:val="nil"/>
              <w:bottom w:val="nil"/>
              <w:right w:val="nil"/>
            </w:tcBorders>
            <w:vAlign w:val="center"/>
          </w:tcPr>
          <w:p w14:paraId="75C594E0" w14:textId="28B9B382" w:rsidR="0012540F" w:rsidRPr="0012540F" w:rsidRDefault="0012540F" w:rsidP="00E472E8">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eHEALS (</w:t>
            </w:r>
            <w:r w:rsidR="00E472E8">
              <w:rPr>
                <w:rFonts w:asciiTheme="minorHAnsi" w:hAnsiTheme="minorHAnsi" w:cstheme="minorHAnsi"/>
                <w:sz w:val="20"/>
                <w:szCs w:val="20"/>
              </w:rPr>
              <w:t>A23</w:t>
            </w:r>
            <w:r w:rsidRPr="0012540F">
              <w:rPr>
                <w:rFonts w:asciiTheme="minorHAnsi" w:hAnsiTheme="minorHAnsi" w:cstheme="minorHAnsi"/>
                <w:sz w:val="20"/>
                <w:szCs w:val="20"/>
              </w:rPr>
              <w:t>)</w:t>
            </w:r>
          </w:p>
        </w:tc>
        <w:tc>
          <w:tcPr>
            <w:tcW w:w="805" w:type="pct"/>
            <w:tcBorders>
              <w:top w:val="nil"/>
              <w:left w:val="nil"/>
              <w:bottom w:val="nil"/>
              <w:right w:val="nil"/>
            </w:tcBorders>
            <w:vAlign w:val="center"/>
          </w:tcPr>
          <w:p w14:paraId="37ED58B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3 factors</w:t>
            </w:r>
            <w:r w:rsidRPr="0012540F">
              <w:rPr>
                <w:rFonts w:asciiTheme="minorHAnsi" w:hAnsiTheme="minorHAnsi" w:cstheme="minorHAnsi"/>
                <w:sz w:val="20"/>
                <w:szCs w:val="20"/>
                <w:vertAlign w:val="superscript"/>
              </w:rPr>
              <w:t>d:</w:t>
            </w:r>
            <w:r w:rsidRPr="0012540F">
              <w:rPr>
                <w:rFonts w:asciiTheme="minorHAnsi" w:hAnsiTheme="minorHAnsi" w:cstheme="minorHAnsi"/>
                <w:sz w:val="20"/>
                <w:szCs w:val="20"/>
              </w:rPr>
              <w:t xml:space="preserve"> (n=996)</w:t>
            </w:r>
          </w:p>
          <w:p w14:paraId="27719B15"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1 was confirmed using CFA</w:t>
            </w:r>
          </w:p>
        </w:tc>
        <w:tc>
          <w:tcPr>
            <w:tcW w:w="870" w:type="pct"/>
            <w:tcBorders>
              <w:top w:val="nil"/>
              <w:left w:val="nil"/>
              <w:bottom w:val="nil"/>
              <w:right w:val="nil"/>
            </w:tcBorders>
            <w:vAlign w:val="center"/>
          </w:tcPr>
          <w:p w14:paraId="4C57415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606" w:type="pct"/>
            <w:tcBorders>
              <w:top w:val="nil"/>
              <w:left w:val="nil"/>
              <w:bottom w:val="nil"/>
              <w:right w:val="nil"/>
            </w:tcBorders>
            <w:vAlign w:val="center"/>
          </w:tcPr>
          <w:p w14:paraId="4A7319E6"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1 out of 1 Multi-group CFA was confirmed across countries (</w:t>
            </w:r>
            <w:r w:rsidRPr="0012540F">
              <w:rPr>
                <w:rFonts w:asciiTheme="minorHAnsi" w:hAnsiTheme="minorHAnsi" w:cstheme="minorHAnsi"/>
                <w:i/>
                <w:sz w:val="20"/>
                <w:szCs w:val="20"/>
              </w:rPr>
              <w:t>n</w:t>
            </w:r>
            <w:r w:rsidRPr="0012540F">
              <w:rPr>
                <w:rFonts w:asciiTheme="minorHAnsi" w:hAnsiTheme="minorHAnsi" w:cstheme="minorHAnsi"/>
                <w:sz w:val="20"/>
                <w:szCs w:val="20"/>
              </w:rPr>
              <w:t>=996)</w:t>
            </w:r>
          </w:p>
        </w:tc>
        <w:tc>
          <w:tcPr>
            <w:tcW w:w="554" w:type="pct"/>
            <w:tcBorders>
              <w:top w:val="nil"/>
              <w:left w:val="nil"/>
              <w:bottom w:val="nil"/>
              <w:right w:val="nil"/>
            </w:tcBorders>
            <w:vAlign w:val="center"/>
          </w:tcPr>
          <w:p w14:paraId="3CB55E3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nil"/>
              <w:right w:val="nil"/>
            </w:tcBorders>
            <w:vAlign w:val="center"/>
          </w:tcPr>
          <w:p w14:paraId="14ECB07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706" w:type="pct"/>
            <w:tcBorders>
              <w:top w:val="nil"/>
              <w:left w:val="nil"/>
              <w:bottom w:val="nil"/>
              <w:right w:val="nil"/>
            </w:tcBorders>
            <w:vAlign w:val="center"/>
          </w:tcPr>
          <w:p w14:paraId="573A6D17"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p>
          <w:p w14:paraId="7777FD78" w14:textId="77777777" w:rsidR="0012540F" w:rsidRPr="0012540F" w:rsidRDefault="0012540F" w:rsidP="00B73B8A">
            <w:pPr>
              <w:widowControl w:val="0"/>
              <w:autoSpaceDE w:val="0"/>
              <w:autoSpaceDN w:val="0"/>
              <w:spacing w:after="0"/>
              <w:contextualSpacing/>
              <w:jc w:val="left"/>
              <w:rPr>
                <w:rFonts w:asciiTheme="minorHAnsi" w:hAnsiTheme="minorHAnsi" w:cstheme="minorHAnsi"/>
                <w:b/>
                <w:bCs/>
                <w:sz w:val="20"/>
                <w:szCs w:val="20"/>
                <w:u w:val="single"/>
              </w:rPr>
            </w:pPr>
          </w:p>
        </w:tc>
      </w:tr>
      <w:tr w:rsidR="0012540F" w:rsidRPr="008B5BB8" w14:paraId="4AFEADBA" w14:textId="77777777" w:rsidTr="00B73B8A">
        <w:trPr>
          <w:cantSplit/>
        </w:trPr>
        <w:tc>
          <w:tcPr>
            <w:tcW w:w="599" w:type="pct"/>
            <w:tcBorders>
              <w:top w:val="nil"/>
              <w:left w:val="nil"/>
              <w:bottom w:val="nil"/>
              <w:right w:val="nil"/>
            </w:tcBorders>
            <w:vAlign w:val="center"/>
            <w:hideMark/>
          </w:tcPr>
          <w:p w14:paraId="43650704" w14:textId="772859D1" w:rsidR="0012540F" w:rsidRPr="0012540F" w:rsidRDefault="0012540F" w:rsidP="00E472E8">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eHEALS (</w:t>
            </w:r>
            <w:r w:rsidR="00E472E8">
              <w:rPr>
                <w:rFonts w:asciiTheme="minorHAnsi" w:hAnsiTheme="minorHAnsi" w:cstheme="minorHAnsi"/>
                <w:sz w:val="20"/>
                <w:szCs w:val="20"/>
              </w:rPr>
              <w:t>A24</w:t>
            </w:r>
            <w:r w:rsidRPr="0012540F">
              <w:rPr>
                <w:rFonts w:asciiTheme="minorHAnsi" w:hAnsiTheme="minorHAnsi" w:cstheme="minorHAnsi"/>
                <w:sz w:val="20"/>
                <w:szCs w:val="20"/>
              </w:rPr>
              <w:t>)</w:t>
            </w:r>
          </w:p>
        </w:tc>
        <w:tc>
          <w:tcPr>
            <w:tcW w:w="805" w:type="pct"/>
            <w:tcBorders>
              <w:top w:val="nil"/>
              <w:left w:val="nil"/>
              <w:bottom w:val="nil"/>
              <w:right w:val="nil"/>
            </w:tcBorders>
            <w:vAlign w:val="center"/>
            <w:hideMark/>
          </w:tcPr>
          <w:p w14:paraId="15CAF1D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3 factors</w:t>
            </w:r>
            <w:r w:rsidRPr="0012540F">
              <w:rPr>
                <w:rFonts w:asciiTheme="minorHAnsi" w:hAnsiTheme="minorHAnsi" w:cstheme="minorHAnsi"/>
                <w:sz w:val="20"/>
                <w:szCs w:val="20"/>
                <w:vertAlign w:val="superscript"/>
              </w:rPr>
              <w:t>e</w:t>
            </w:r>
            <w:r w:rsidRPr="0012540F">
              <w:rPr>
                <w:rFonts w:asciiTheme="minorHAnsi" w:hAnsiTheme="minorHAnsi" w:cstheme="minorHAnsi"/>
                <w:sz w:val="20"/>
                <w:szCs w:val="20"/>
              </w:rPr>
              <w:t>: (</w:t>
            </w:r>
            <w:r w:rsidRPr="0012540F">
              <w:rPr>
                <w:rFonts w:asciiTheme="minorHAnsi" w:hAnsiTheme="minorHAnsi" w:cstheme="minorHAnsi"/>
                <w:i/>
                <w:sz w:val="20"/>
                <w:szCs w:val="20"/>
              </w:rPr>
              <w:t>n</w:t>
            </w:r>
            <w:r w:rsidRPr="0012540F">
              <w:rPr>
                <w:rFonts w:asciiTheme="minorHAnsi" w:hAnsiTheme="minorHAnsi" w:cstheme="minorHAnsi"/>
                <w:sz w:val="20"/>
                <w:szCs w:val="20"/>
              </w:rPr>
              <w:t>=256)</w:t>
            </w:r>
          </w:p>
          <w:p w14:paraId="25AD2A63"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1 out 1 was confirmed using CFA</w:t>
            </w:r>
          </w:p>
        </w:tc>
        <w:tc>
          <w:tcPr>
            <w:tcW w:w="870" w:type="pct"/>
            <w:tcBorders>
              <w:top w:val="nil"/>
              <w:left w:val="nil"/>
              <w:bottom w:val="nil"/>
              <w:right w:val="nil"/>
            </w:tcBorders>
            <w:vAlign w:val="center"/>
          </w:tcPr>
          <w:p w14:paraId="7F3FEAE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606" w:type="pct"/>
            <w:tcBorders>
              <w:top w:val="nil"/>
              <w:left w:val="nil"/>
              <w:bottom w:val="nil"/>
              <w:right w:val="nil"/>
            </w:tcBorders>
            <w:vAlign w:val="center"/>
          </w:tcPr>
          <w:p w14:paraId="5223C96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554" w:type="pct"/>
            <w:tcBorders>
              <w:top w:val="nil"/>
              <w:left w:val="nil"/>
              <w:bottom w:val="nil"/>
              <w:right w:val="nil"/>
            </w:tcBorders>
            <w:vAlign w:val="center"/>
          </w:tcPr>
          <w:p w14:paraId="41F26FD3"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nil"/>
              <w:right w:val="nil"/>
            </w:tcBorders>
            <w:vAlign w:val="center"/>
          </w:tcPr>
          <w:p w14:paraId="0CB8D1B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706" w:type="pct"/>
            <w:tcBorders>
              <w:top w:val="nil"/>
              <w:left w:val="nil"/>
              <w:bottom w:val="nil"/>
              <w:right w:val="nil"/>
            </w:tcBorders>
            <w:vAlign w:val="center"/>
          </w:tcPr>
          <w:p w14:paraId="295207B7" w14:textId="77777777" w:rsidR="0012540F" w:rsidRPr="0012540F" w:rsidRDefault="0012540F" w:rsidP="00B73B8A">
            <w:pPr>
              <w:widowControl w:val="0"/>
              <w:autoSpaceDE w:val="0"/>
              <w:autoSpaceDN w:val="0"/>
              <w:spacing w:after="0"/>
              <w:contextualSpacing/>
              <w:jc w:val="left"/>
              <w:rPr>
                <w:rFonts w:asciiTheme="minorHAnsi" w:hAnsiTheme="minorHAnsi" w:cstheme="minorHAnsi"/>
                <w:b/>
                <w:bCs/>
                <w:sz w:val="20"/>
                <w:szCs w:val="20"/>
                <w:u w:val="single"/>
              </w:rPr>
            </w:pPr>
          </w:p>
        </w:tc>
      </w:tr>
      <w:tr w:rsidR="0012540F" w:rsidRPr="0012540F" w14:paraId="473EEE4E" w14:textId="77777777" w:rsidTr="00B73B8A">
        <w:trPr>
          <w:cantSplit/>
        </w:trPr>
        <w:tc>
          <w:tcPr>
            <w:tcW w:w="599" w:type="pct"/>
            <w:tcBorders>
              <w:top w:val="nil"/>
              <w:left w:val="nil"/>
              <w:bottom w:val="nil"/>
              <w:right w:val="nil"/>
            </w:tcBorders>
            <w:vAlign w:val="center"/>
            <w:hideMark/>
          </w:tcPr>
          <w:p w14:paraId="548CD7EB" w14:textId="0533D41D"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eHEALS (</w:t>
            </w:r>
            <w:r w:rsidR="00E472E8">
              <w:rPr>
                <w:rFonts w:asciiTheme="minorHAnsi" w:hAnsiTheme="minorHAnsi" w:cstheme="minorHAnsi"/>
                <w:sz w:val="20"/>
                <w:szCs w:val="20"/>
              </w:rPr>
              <w:t>A25</w:t>
            </w:r>
            <w:r w:rsidRPr="0012540F">
              <w:rPr>
                <w:rFonts w:asciiTheme="minorHAnsi" w:hAnsiTheme="minorHAnsi" w:cstheme="minorHAnsi"/>
                <w:sz w:val="20"/>
                <w:szCs w:val="20"/>
              </w:rPr>
              <w:t>)</w:t>
            </w:r>
          </w:p>
        </w:tc>
        <w:tc>
          <w:tcPr>
            <w:tcW w:w="805" w:type="pct"/>
            <w:tcBorders>
              <w:top w:val="nil"/>
              <w:left w:val="nil"/>
              <w:bottom w:val="nil"/>
              <w:right w:val="nil"/>
            </w:tcBorders>
            <w:vAlign w:val="center"/>
            <w:hideMark/>
          </w:tcPr>
          <w:p w14:paraId="3A442D6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3 factors</w:t>
            </w:r>
            <w:r w:rsidRPr="0012540F">
              <w:rPr>
                <w:rFonts w:asciiTheme="minorHAnsi" w:hAnsiTheme="minorHAnsi" w:cstheme="minorHAnsi"/>
                <w:sz w:val="20"/>
                <w:szCs w:val="20"/>
                <w:vertAlign w:val="superscript"/>
              </w:rPr>
              <w:t>f</w:t>
            </w:r>
            <w:r w:rsidRPr="0012540F">
              <w:rPr>
                <w:rFonts w:asciiTheme="minorHAnsi" w:hAnsiTheme="minorHAnsi" w:cstheme="minorHAnsi"/>
                <w:sz w:val="20"/>
                <w:szCs w:val="20"/>
              </w:rPr>
              <w:t>: (n=829)</w:t>
            </w:r>
          </w:p>
          <w:p w14:paraId="648EE33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1 was confirmed using CFA</w:t>
            </w:r>
          </w:p>
        </w:tc>
        <w:tc>
          <w:tcPr>
            <w:tcW w:w="870" w:type="pct"/>
            <w:tcBorders>
              <w:top w:val="nil"/>
              <w:left w:val="nil"/>
              <w:bottom w:val="nil"/>
              <w:right w:val="nil"/>
            </w:tcBorders>
            <w:vAlign w:val="center"/>
            <w:hideMark/>
          </w:tcPr>
          <w:p w14:paraId="58AFBF8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 (</w:t>
            </w:r>
            <w:r w:rsidRPr="0012540F">
              <w:rPr>
                <w:rFonts w:asciiTheme="minorHAnsi" w:hAnsiTheme="minorHAnsi" w:cstheme="minorHAnsi"/>
                <w:i/>
                <w:iCs/>
                <w:sz w:val="20"/>
                <w:szCs w:val="20"/>
              </w:rPr>
              <w:t>n</w:t>
            </w:r>
            <w:r w:rsidRPr="0012540F">
              <w:rPr>
                <w:rFonts w:asciiTheme="minorHAnsi" w:hAnsiTheme="minorHAnsi" w:cstheme="minorHAnsi"/>
                <w:sz w:val="20"/>
                <w:szCs w:val="20"/>
              </w:rPr>
              <w:t>=829)</w:t>
            </w:r>
          </w:p>
          <w:p w14:paraId="69534BE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Information awareness: .84, Information seeking: .88, Information engagement: .84</w:t>
            </w:r>
          </w:p>
          <w:p w14:paraId="3B9396B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Omega: (</w:t>
            </w:r>
            <w:r w:rsidRPr="0012540F">
              <w:rPr>
                <w:rFonts w:asciiTheme="minorHAnsi" w:hAnsiTheme="minorHAnsi" w:cstheme="minorHAnsi"/>
                <w:i/>
                <w:iCs/>
                <w:sz w:val="20"/>
                <w:szCs w:val="20"/>
              </w:rPr>
              <w:t>n</w:t>
            </w:r>
            <w:r w:rsidRPr="0012540F">
              <w:rPr>
                <w:rFonts w:asciiTheme="minorHAnsi" w:hAnsiTheme="minorHAnsi" w:cstheme="minorHAnsi"/>
                <w:sz w:val="20"/>
                <w:szCs w:val="20"/>
              </w:rPr>
              <w:t>=829)</w:t>
            </w:r>
          </w:p>
          <w:p w14:paraId="2808B980"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Information awareness: .84, Information seeking: .88, Information engagement: .84</w:t>
            </w:r>
          </w:p>
        </w:tc>
        <w:tc>
          <w:tcPr>
            <w:tcW w:w="606" w:type="pct"/>
            <w:tcBorders>
              <w:top w:val="nil"/>
              <w:left w:val="nil"/>
              <w:bottom w:val="nil"/>
              <w:right w:val="nil"/>
            </w:tcBorders>
            <w:vAlign w:val="center"/>
            <w:hideMark/>
          </w:tcPr>
          <w:p w14:paraId="71C13BFD"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1 Multi-group CFA was confirmed across generation groups (</w:t>
            </w:r>
            <w:r w:rsidRPr="0012540F">
              <w:rPr>
                <w:rFonts w:asciiTheme="minorHAnsi" w:hAnsiTheme="minorHAnsi" w:cstheme="minorHAnsi"/>
                <w:i/>
                <w:iCs/>
                <w:sz w:val="20"/>
                <w:szCs w:val="20"/>
              </w:rPr>
              <w:t>n</w:t>
            </w:r>
            <w:r w:rsidRPr="0012540F">
              <w:rPr>
                <w:rFonts w:asciiTheme="minorHAnsi" w:hAnsiTheme="minorHAnsi" w:cstheme="minorHAnsi"/>
                <w:sz w:val="20"/>
                <w:szCs w:val="20"/>
              </w:rPr>
              <w:t>=829)</w:t>
            </w:r>
          </w:p>
        </w:tc>
        <w:tc>
          <w:tcPr>
            <w:tcW w:w="554" w:type="pct"/>
            <w:tcBorders>
              <w:top w:val="nil"/>
              <w:left w:val="nil"/>
              <w:bottom w:val="nil"/>
              <w:right w:val="nil"/>
            </w:tcBorders>
            <w:vAlign w:val="center"/>
          </w:tcPr>
          <w:p w14:paraId="1D27469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nil"/>
              <w:right w:val="nil"/>
            </w:tcBorders>
            <w:vAlign w:val="center"/>
          </w:tcPr>
          <w:p w14:paraId="06CC7F2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706" w:type="pct"/>
            <w:tcBorders>
              <w:top w:val="nil"/>
              <w:left w:val="nil"/>
              <w:bottom w:val="nil"/>
              <w:right w:val="nil"/>
            </w:tcBorders>
            <w:vAlign w:val="center"/>
            <w:hideMark/>
          </w:tcPr>
          <w:p w14:paraId="6E36C2A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Hypothesis was confirmed (</w:t>
            </w:r>
            <w:r w:rsidRPr="0012540F">
              <w:rPr>
                <w:rFonts w:asciiTheme="minorHAnsi" w:hAnsiTheme="minorHAnsi" w:cstheme="minorHAnsi"/>
                <w:i/>
                <w:iCs/>
                <w:sz w:val="20"/>
                <w:szCs w:val="20"/>
              </w:rPr>
              <w:t>n</w:t>
            </w:r>
            <w:r w:rsidRPr="0012540F">
              <w:rPr>
                <w:rFonts w:asciiTheme="minorHAnsi" w:hAnsiTheme="minorHAnsi" w:cstheme="minorHAnsi"/>
                <w:sz w:val="20"/>
                <w:szCs w:val="20"/>
              </w:rPr>
              <w:t>=829), with:</w:t>
            </w:r>
          </w:p>
          <w:p w14:paraId="45D63F15"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-age groups.</w:t>
            </w:r>
          </w:p>
        </w:tc>
      </w:tr>
      <w:tr w:rsidR="0012540F" w:rsidRPr="008B5BB8" w14:paraId="565CE809" w14:textId="77777777" w:rsidTr="00B73B8A">
        <w:trPr>
          <w:cantSplit/>
          <w:trHeight w:val="3761"/>
        </w:trPr>
        <w:tc>
          <w:tcPr>
            <w:tcW w:w="599" w:type="pct"/>
            <w:tcBorders>
              <w:top w:val="nil"/>
              <w:left w:val="nil"/>
              <w:bottom w:val="single" w:sz="4" w:space="0" w:color="auto"/>
              <w:right w:val="nil"/>
            </w:tcBorders>
            <w:vAlign w:val="center"/>
            <w:hideMark/>
          </w:tcPr>
          <w:p w14:paraId="544912D5"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xml:space="preserve">eHEALS </w:t>
            </w:r>
          </w:p>
          <w:p w14:paraId="12644FD2" w14:textId="5A4EFEF0"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w:t>
            </w:r>
            <w:r w:rsidR="00E472E8">
              <w:rPr>
                <w:rFonts w:asciiTheme="minorHAnsi" w:hAnsiTheme="minorHAnsi" w:cstheme="minorHAnsi"/>
                <w:sz w:val="20"/>
                <w:szCs w:val="20"/>
              </w:rPr>
              <w:t>A16</w:t>
            </w:r>
            <w:r w:rsidRPr="0012540F">
              <w:rPr>
                <w:rFonts w:asciiTheme="minorHAnsi" w:hAnsiTheme="minorHAnsi" w:cstheme="minorHAnsi"/>
                <w:sz w:val="20"/>
                <w:szCs w:val="20"/>
              </w:rPr>
              <w:t>)</w:t>
            </w:r>
          </w:p>
        </w:tc>
        <w:tc>
          <w:tcPr>
            <w:tcW w:w="805" w:type="pct"/>
            <w:tcBorders>
              <w:top w:val="nil"/>
              <w:left w:val="nil"/>
              <w:bottom w:val="single" w:sz="4" w:space="0" w:color="auto"/>
              <w:right w:val="nil"/>
            </w:tcBorders>
            <w:vAlign w:val="center"/>
            <w:hideMark/>
          </w:tcPr>
          <w:p w14:paraId="2D56E7F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Bifactor model</w:t>
            </w:r>
            <w:r w:rsidRPr="0012540F">
              <w:rPr>
                <w:rFonts w:asciiTheme="minorHAnsi" w:hAnsiTheme="minorHAnsi" w:cstheme="minorHAnsi"/>
                <w:sz w:val="20"/>
                <w:szCs w:val="20"/>
                <w:vertAlign w:val="superscript"/>
              </w:rPr>
              <w:t>g</w:t>
            </w:r>
            <w:r w:rsidRPr="0012540F">
              <w:rPr>
                <w:rFonts w:asciiTheme="minorHAnsi" w:hAnsiTheme="minorHAnsi" w:cstheme="minorHAnsi"/>
                <w:sz w:val="20"/>
                <w:szCs w:val="20"/>
              </w:rPr>
              <w:t>: (</w:t>
            </w:r>
            <w:r w:rsidRPr="0012540F">
              <w:rPr>
                <w:rFonts w:asciiTheme="minorHAnsi" w:hAnsiTheme="minorHAnsi" w:cstheme="minorHAnsi"/>
                <w:i/>
                <w:iCs/>
                <w:sz w:val="20"/>
                <w:szCs w:val="20"/>
              </w:rPr>
              <w:t>n</w:t>
            </w:r>
            <w:r w:rsidRPr="0012540F">
              <w:rPr>
                <w:rFonts w:asciiTheme="minorHAnsi" w:hAnsiTheme="minorHAnsi" w:cstheme="minorHAnsi"/>
                <w:sz w:val="20"/>
                <w:szCs w:val="20"/>
              </w:rPr>
              <w:t>=703)</w:t>
            </w:r>
          </w:p>
          <w:p w14:paraId="7A0E66F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1 was undetermined.</w:t>
            </w:r>
          </w:p>
        </w:tc>
        <w:tc>
          <w:tcPr>
            <w:tcW w:w="870" w:type="pct"/>
            <w:tcBorders>
              <w:top w:val="nil"/>
              <w:left w:val="nil"/>
              <w:bottom w:val="single" w:sz="4" w:space="0" w:color="auto"/>
              <w:right w:val="nil"/>
            </w:tcBorders>
            <w:vAlign w:val="center"/>
            <w:hideMark/>
          </w:tcPr>
          <w:p w14:paraId="15910952"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Omega for a general factor: .99, but no information for the two group factors (</w:t>
            </w:r>
            <w:r w:rsidRPr="0012540F">
              <w:rPr>
                <w:rFonts w:asciiTheme="minorHAnsi" w:hAnsiTheme="minorHAnsi" w:cstheme="minorHAnsi"/>
                <w:i/>
                <w:iCs/>
                <w:sz w:val="20"/>
                <w:szCs w:val="20"/>
              </w:rPr>
              <w:t>n</w:t>
            </w:r>
            <w:r w:rsidRPr="0012540F">
              <w:rPr>
                <w:rFonts w:asciiTheme="minorHAnsi" w:hAnsiTheme="minorHAnsi" w:cstheme="minorHAnsi"/>
                <w:sz w:val="20"/>
                <w:szCs w:val="20"/>
              </w:rPr>
              <w:t>=703).</w:t>
            </w:r>
          </w:p>
        </w:tc>
        <w:tc>
          <w:tcPr>
            <w:tcW w:w="606" w:type="pct"/>
            <w:tcBorders>
              <w:top w:val="nil"/>
              <w:left w:val="nil"/>
              <w:bottom w:val="single" w:sz="4" w:space="0" w:color="auto"/>
              <w:right w:val="nil"/>
            </w:tcBorders>
            <w:vAlign w:val="center"/>
          </w:tcPr>
          <w:p w14:paraId="781F3E5E"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554" w:type="pct"/>
            <w:tcBorders>
              <w:top w:val="nil"/>
              <w:left w:val="nil"/>
              <w:bottom w:val="single" w:sz="4" w:space="0" w:color="auto"/>
              <w:right w:val="nil"/>
            </w:tcBorders>
            <w:vAlign w:val="center"/>
          </w:tcPr>
          <w:p w14:paraId="61A8831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single" w:sz="4" w:space="0" w:color="auto"/>
              <w:right w:val="nil"/>
            </w:tcBorders>
            <w:vAlign w:val="center"/>
          </w:tcPr>
          <w:p w14:paraId="18BA461A" w14:textId="26049FAF"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Hypotheses were confirmed (n=29,060 /</w:t>
            </w:r>
            <w:r w:rsidR="00EE2061">
              <w:rPr>
                <w:rFonts w:asciiTheme="minorHAnsi" w:hAnsiTheme="minorHAnsi" w:cstheme="minorHAnsi"/>
                <w:sz w:val="20"/>
                <w:szCs w:val="20"/>
              </w:rPr>
              <w:t xml:space="preserve"> </w:t>
            </w:r>
            <w:r w:rsidRPr="0012540F">
              <w:rPr>
                <w:rFonts w:asciiTheme="minorHAnsi" w:hAnsiTheme="minorHAnsi" w:cstheme="minorHAnsi"/>
                <w:sz w:val="20"/>
                <w:szCs w:val="20"/>
              </w:rPr>
              <w:t>13 countries), with:</w:t>
            </w:r>
          </w:p>
          <w:p w14:paraId="3D201C20"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-General HL (r=.53)</w:t>
            </w:r>
          </w:p>
          <w:p w14:paraId="13E3D8CF"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-Navigational HL (r= .55)</w:t>
            </w:r>
          </w:p>
          <w:p w14:paraId="2701473B"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lang w:val="fr-CH"/>
              </w:rPr>
            </w:pPr>
            <w:r w:rsidRPr="0012540F">
              <w:rPr>
                <w:rFonts w:asciiTheme="minorHAnsi" w:hAnsiTheme="minorHAnsi" w:cstheme="minorHAnsi"/>
                <w:sz w:val="20"/>
                <w:szCs w:val="20"/>
                <w:lang w:val="fr-CH"/>
              </w:rPr>
              <w:t>-Communicative HL (Q11: r= .39, Q6: r= .31)</w:t>
            </w:r>
          </w:p>
          <w:p w14:paraId="77166797"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-Vaccination HL (r= .38)</w:t>
            </w:r>
          </w:p>
          <w:p w14:paraId="3190FEC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limitation by long-term illnesses/health problems (ρ= .18)</w:t>
            </w:r>
          </w:p>
          <w:p w14:paraId="228BA42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-self-perceived health (ρ= - .18),</w:t>
            </w:r>
          </w:p>
          <w:p w14:paraId="6225A0BE"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 contacts with GPs/family doctors (ρ= - .13)</w:t>
            </w:r>
          </w:p>
        </w:tc>
        <w:tc>
          <w:tcPr>
            <w:tcW w:w="706" w:type="pct"/>
            <w:tcBorders>
              <w:top w:val="nil"/>
              <w:left w:val="nil"/>
              <w:bottom w:val="single" w:sz="4" w:space="0" w:color="auto"/>
              <w:right w:val="nil"/>
            </w:tcBorders>
            <w:vAlign w:val="center"/>
          </w:tcPr>
          <w:p w14:paraId="58948FC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8B5BB8" w14:paraId="2E532B87" w14:textId="77777777" w:rsidTr="00B73B8A">
        <w:trPr>
          <w:cantSplit/>
          <w:trHeight w:val="2840"/>
        </w:trPr>
        <w:tc>
          <w:tcPr>
            <w:tcW w:w="599" w:type="pct"/>
            <w:tcBorders>
              <w:top w:val="single" w:sz="4" w:space="0" w:color="auto"/>
              <w:left w:val="nil"/>
              <w:bottom w:val="nil"/>
              <w:right w:val="nil"/>
            </w:tcBorders>
            <w:vAlign w:val="center"/>
            <w:hideMark/>
          </w:tcPr>
          <w:p w14:paraId="6A4D8AA5" w14:textId="2289F712"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EE2061">
              <w:rPr>
                <w:rFonts w:asciiTheme="minorHAnsi" w:hAnsiTheme="minorHAnsi" w:cstheme="minorHAnsi"/>
                <w:sz w:val="20"/>
                <w:szCs w:val="20"/>
              </w:rPr>
              <w:t>HL</w:t>
            </w:r>
            <w:r w:rsidRPr="00EE2061">
              <w:rPr>
                <w:rFonts w:asciiTheme="minorHAnsi" w:hAnsiTheme="minorHAnsi" w:cstheme="minorHAnsi"/>
                <w:sz w:val="20"/>
                <w:szCs w:val="20"/>
                <w:vertAlign w:val="subscript"/>
              </w:rPr>
              <w:t>19</w:t>
            </w:r>
            <w:r w:rsidRPr="00EE2061">
              <w:rPr>
                <w:rFonts w:asciiTheme="minorHAnsi" w:hAnsiTheme="minorHAnsi" w:cstheme="minorHAnsi"/>
                <w:sz w:val="20"/>
                <w:szCs w:val="20"/>
              </w:rPr>
              <w:t>-DIGI (</w:t>
            </w:r>
            <w:r w:rsidR="00E472E8">
              <w:rPr>
                <w:rFonts w:asciiTheme="minorHAnsi" w:hAnsiTheme="minorHAnsi" w:cstheme="minorHAnsi"/>
                <w:sz w:val="20"/>
                <w:szCs w:val="20"/>
              </w:rPr>
              <w:t>A26</w:t>
            </w:r>
            <w:r w:rsidRPr="00EE2061">
              <w:rPr>
                <w:rFonts w:asciiTheme="minorHAnsi" w:hAnsiTheme="minorHAnsi" w:cstheme="minorHAnsi"/>
                <w:sz w:val="20"/>
                <w:szCs w:val="20"/>
              </w:rPr>
              <w:t>)</w:t>
            </w:r>
          </w:p>
        </w:tc>
        <w:tc>
          <w:tcPr>
            <w:tcW w:w="805" w:type="pct"/>
            <w:tcBorders>
              <w:top w:val="single" w:sz="4" w:space="0" w:color="auto"/>
              <w:left w:val="nil"/>
              <w:bottom w:val="nil"/>
              <w:right w:val="nil"/>
            </w:tcBorders>
            <w:vAlign w:val="center"/>
            <w:hideMark/>
          </w:tcPr>
          <w:p w14:paraId="3BCCDB2C"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lang w:val="de-CH"/>
              </w:rPr>
            </w:pPr>
            <w:r w:rsidRPr="00EE2061">
              <w:rPr>
                <w:rFonts w:asciiTheme="minorHAnsi" w:hAnsiTheme="minorHAnsi" w:cstheme="minorHAnsi"/>
                <w:sz w:val="20"/>
                <w:szCs w:val="20"/>
                <w:lang w:val="de-CH"/>
              </w:rPr>
              <w:t>CFA and Rasch (n=480, 2x n=240)</w:t>
            </w:r>
          </w:p>
        </w:tc>
        <w:tc>
          <w:tcPr>
            <w:tcW w:w="870" w:type="pct"/>
            <w:tcBorders>
              <w:top w:val="single" w:sz="4" w:space="0" w:color="auto"/>
              <w:left w:val="nil"/>
              <w:bottom w:val="nil"/>
              <w:right w:val="nil"/>
            </w:tcBorders>
            <w:vAlign w:val="center"/>
          </w:tcPr>
          <w:p w14:paraId="3D00EACC"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EE2061">
              <w:rPr>
                <w:rFonts w:asciiTheme="minorHAnsi" w:hAnsiTheme="minorHAnsi" w:cstheme="minorHAnsi"/>
                <w:sz w:val="20"/>
                <w:szCs w:val="20"/>
              </w:rPr>
              <w:t>Cronbach’s alpha: .83, varying across countries from 0.77 to 0.87. (</w:t>
            </w:r>
            <w:r w:rsidRPr="00EE2061">
              <w:rPr>
                <w:rFonts w:asciiTheme="minorHAnsi" w:hAnsiTheme="minorHAnsi" w:cstheme="minorHAnsi"/>
                <w:i/>
                <w:iCs/>
                <w:sz w:val="20"/>
                <w:szCs w:val="20"/>
              </w:rPr>
              <w:t>n</w:t>
            </w:r>
            <w:r w:rsidRPr="00EE2061">
              <w:rPr>
                <w:rFonts w:asciiTheme="minorHAnsi" w:hAnsiTheme="minorHAnsi" w:cstheme="minorHAnsi"/>
                <w:sz w:val="20"/>
                <w:szCs w:val="20"/>
              </w:rPr>
              <w:t>=29,060 /13 countries)</w:t>
            </w:r>
          </w:p>
        </w:tc>
        <w:tc>
          <w:tcPr>
            <w:tcW w:w="606" w:type="pct"/>
            <w:tcBorders>
              <w:top w:val="single" w:sz="4" w:space="0" w:color="auto"/>
              <w:left w:val="nil"/>
              <w:bottom w:val="nil"/>
              <w:right w:val="nil"/>
            </w:tcBorders>
            <w:vAlign w:val="center"/>
          </w:tcPr>
          <w:p w14:paraId="673C5658" w14:textId="21D8407D"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No DIF were found for age and gender, but there is DIF across countries</w:t>
            </w:r>
          </w:p>
        </w:tc>
        <w:tc>
          <w:tcPr>
            <w:tcW w:w="554" w:type="pct"/>
            <w:tcBorders>
              <w:top w:val="single" w:sz="4" w:space="0" w:color="auto"/>
              <w:left w:val="nil"/>
              <w:bottom w:val="nil"/>
              <w:right w:val="nil"/>
            </w:tcBorders>
            <w:vAlign w:val="center"/>
          </w:tcPr>
          <w:p w14:paraId="10C95DB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single" w:sz="4" w:space="0" w:color="auto"/>
              <w:left w:val="nil"/>
              <w:bottom w:val="nil"/>
              <w:right w:val="nil"/>
            </w:tcBorders>
            <w:vAlign w:val="center"/>
            <w:hideMark/>
          </w:tcPr>
          <w:p w14:paraId="181BFC1C"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Hypotheses were confirmed (</w:t>
            </w:r>
            <w:r w:rsidRPr="0012540F">
              <w:rPr>
                <w:rFonts w:asciiTheme="minorHAnsi" w:hAnsiTheme="minorHAnsi" w:cstheme="minorHAnsi"/>
                <w:bCs/>
                <w:i/>
                <w:sz w:val="20"/>
                <w:szCs w:val="20"/>
              </w:rPr>
              <w:t>n</w:t>
            </w:r>
            <w:r w:rsidRPr="0012540F">
              <w:rPr>
                <w:rFonts w:asciiTheme="minorHAnsi" w:hAnsiTheme="minorHAnsi" w:cstheme="minorHAnsi"/>
                <w:bCs/>
                <w:sz w:val="20"/>
                <w:szCs w:val="20"/>
              </w:rPr>
              <w:t>=200), with:</w:t>
            </w:r>
          </w:p>
          <w:p w14:paraId="04A3897B"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age: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=-.41</w:t>
            </w:r>
          </w:p>
          <w:p w14:paraId="10DDD5DB"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internet use: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=.39</w:t>
            </w:r>
          </w:p>
          <w:p w14:paraId="2961DF71"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health-related internet use: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=.27</w:t>
            </w:r>
          </w:p>
          <w:p w14:paraId="2AC5C453"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health perception: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=.23</w:t>
            </w:r>
          </w:p>
          <w:p w14:paraId="00096891"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physical functioning: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=.27</w:t>
            </w:r>
          </w:p>
          <w:p w14:paraId="03FD2FF0"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mental well-being: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=.17</w:t>
            </w:r>
          </w:p>
          <w:p w14:paraId="2324B294"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 xml:space="preserve">- health literacy: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=.31</w:t>
            </w:r>
          </w:p>
          <w:p w14:paraId="51E3953A" w14:textId="77777777" w:rsidR="0012540F" w:rsidRPr="0012540F" w:rsidRDefault="0012540F" w:rsidP="00B73B8A">
            <w:pPr>
              <w:widowControl w:val="0"/>
              <w:autoSpaceDE w:val="0"/>
              <w:autoSpaceDN w:val="0"/>
              <w:ind w:left="-57" w:right="-57"/>
              <w:jc w:val="left"/>
              <w:rPr>
                <w:rFonts w:asciiTheme="minorHAnsi" w:hAnsiTheme="minorHAnsi" w:cstheme="minorHAnsi"/>
                <w:sz w:val="20"/>
                <w:szCs w:val="20"/>
              </w:rPr>
            </w:pPr>
            <w:r w:rsidRPr="0012540F">
              <w:rPr>
                <w:rFonts w:asciiTheme="minorHAnsi" w:hAnsiTheme="minorHAnsi" w:cstheme="minorHAnsi"/>
                <w:bCs/>
                <w:sz w:val="20"/>
                <w:szCs w:val="20"/>
              </w:rPr>
              <w:t xml:space="preserve">- eHealth literacy: </w:t>
            </w:r>
            <w:r w:rsidRPr="0012540F">
              <w:rPr>
                <w:rFonts w:asciiTheme="minorHAnsi" w:hAnsiTheme="minorHAnsi" w:cstheme="minorHAnsi"/>
                <w:bCs/>
                <w:i/>
                <w:iCs/>
                <w:sz w:val="20"/>
                <w:szCs w:val="20"/>
              </w:rPr>
              <w:t>r</w:t>
            </w:r>
            <w:r w:rsidRPr="0012540F">
              <w:rPr>
                <w:rFonts w:asciiTheme="minorHAnsi" w:hAnsiTheme="minorHAnsi" w:cstheme="minorHAnsi"/>
                <w:bCs/>
                <w:sz w:val="20"/>
                <w:szCs w:val="20"/>
              </w:rPr>
              <w:t>=.51</w:t>
            </w:r>
          </w:p>
        </w:tc>
        <w:tc>
          <w:tcPr>
            <w:tcW w:w="706" w:type="pct"/>
            <w:tcBorders>
              <w:top w:val="single" w:sz="4" w:space="0" w:color="auto"/>
              <w:left w:val="nil"/>
              <w:bottom w:val="nil"/>
              <w:right w:val="nil"/>
            </w:tcBorders>
            <w:vAlign w:val="center"/>
          </w:tcPr>
          <w:p w14:paraId="22E0A1F2"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xml:space="preserve">Hypotheses were confirmed </w:t>
            </w:r>
            <w:r w:rsidRPr="0012540F">
              <w:rPr>
                <w:rFonts w:asciiTheme="minorHAnsi" w:hAnsiTheme="minorHAnsi" w:cstheme="minorHAnsi"/>
                <w:bCs/>
                <w:sz w:val="20"/>
                <w:szCs w:val="20"/>
              </w:rPr>
              <w:t>(</w:t>
            </w:r>
            <w:r w:rsidRPr="0012540F">
              <w:rPr>
                <w:rFonts w:asciiTheme="minorHAnsi" w:hAnsiTheme="minorHAnsi" w:cstheme="minorHAnsi"/>
                <w:bCs/>
                <w:i/>
                <w:sz w:val="20"/>
                <w:szCs w:val="20"/>
              </w:rPr>
              <w:t>n</w:t>
            </w:r>
            <w:r w:rsidRPr="0012540F">
              <w:rPr>
                <w:rFonts w:asciiTheme="minorHAnsi" w:hAnsiTheme="minorHAnsi" w:cstheme="minorHAnsi"/>
                <w:bCs/>
                <w:sz w:val="20"/>
                <w:szCs w:val="20"/>
              </w:rPr>
              <w:t>=200) in</w:t>
            </w:r>
            <w:r w:rsidRPr="0012540F">
              <w:rPr>
                <w:rFonts w:asciiTheme="minorHAnsi" w:hAnsiTheme="minorHAnsi" w:cstheme="minorHAnsi"/>
                <w:sz w:val="20"/>
                <w:szCs w:val="20"/>
              </w:rPr>
              <w:t xml:space="preserve"> </w:t>
            </w:r>
            <w:r w:rsidRPr="00EE2061">
              <w:rPr>
                <w:rFonts w:asciiTheme="minorHAnsi" w:hAnsiTheme="minorHAnsi" w:cstheme="minorHAnsi"/>
                <w:sz w:val="20"/>
                <w:szCs w:val="20"/>
              </w:rPr>
              <w:t>linear regression models, with</w:t>
            </w:r>
            <w:r w:rsidRPr="00EE2061">
              <w:rPr>
                <w:rFonts w:asciiTheme="minorHAnsi" w:hAnsiTheme="minorHAnsi" w:cstheme="minorHAnsi"/>
                <w:bCs/>
                <w:sz w:val="20"/>
                <w:szCs w:val="20"/>
              </w:rPr>
              <w:t>:</w:t>
            </w:r>
          </w:p>
          <w:p w14:paraId="1EB18C85"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EE2061">
              <w:rPr>
                <w:rFonts w:asciiTheme="minorHAnsi" w:hAnsiTheme="minorHAnsi" w:cstheme="minorHAnsi"/>
                <w:sz w:val="20"/>
                <w:szCs w:val="20"/>
              </w:rPr>
              <w:t>-female:</w:t>
            </w:r>
            <w:r w:rsidRPr="00EE2061">
              <w:rPr>
                <w:rFonts w:asciiTheme="minorHAnsi" w:hAnsiTheme="minorHAnsi" w:cstheme="minorHAnsi"/>
              </w:rPr>
              <w:t xml:space="preserve"> </w:t>
            </w:r>
            <w:r w:rsidRPr="00EE2061">
              <w:rPr>
                <w:rFonts w:asciiTheme="minorHAnsi" w:hAnsiTheme="minorHAnsi" w:cstheme="minorHAnsi"/>
                <w:sz w:val="20"/>
                <w:szCs w:val="20"/>
              </w:rPr>
              <w:t>β = 0.03</w:t>
            </w:r>
          </w:p>
          <w:p w14:paraId="1C68885C"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EE2061">
              <w:rPr>
                <w:rFonts w:asciiTheme="minorHAnsi" w:hAnsiTheme="minorHAnsi" w:cstheme="minorHAnsi"/>
                <w:sz w:val="20"/>
                <w:szCs w:val="20"/>
              </w:rPr>
              <w:t>-age: β = -0.13</w:t>
            </w:r>
          </w:p>
          <w:p w14:paraId="7143F42E" w14:textId="77777777" w:rsidR="0012540F" w:rsidRPr="00EE2061" w:rsidRDefault="0012540F" w:rsidP="00B73B8A">
            <w:pPr>
              <w:widowControl w:val="0"/>
              <w:autoSpaceDE w:val="0"/>
              <w:autoSpaceDN w:val="0"/>
              <w:spacing w:after="0"/>
              <w:contextualSpacing/>
              <w:jc w:val="left"/>
              <w:rPr>
                <w:rFonts w:asciiTheme="minorHAnsi" w:hAnsiTheme="minorHAnsi" w:cstheme="minorHAnsi"/>
                <w:sz w:val="20"/>
                <w:szCs w:val="20"/>
              </w:rPr>
            </w:pPr>
            <w:r w:rsidRPr="00EE2061">
              <w:rPr>
                <w:rFonts w:asciiTheme="minorHAnsi" w:hAnsiTheme="minorHAnsi" w:cstheme="minorHAnsi"/>
                <w:sz w:val="20"/>
                <w:szCs w:val="20"/>
              </w:rPr>
              <w:t>-education: β = -0.03</w:t>
            </w:r>
          </w:p>
          <w:p w14:paraId="56FB82D8"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xml:space="preserve">-level in society: </w:t>
            </w:r>
          </w:p>
          <w:p w14:paraId="09D7754F"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β = 0.08</w:t>
            </w:r>
          </w:p>
          <w:p w14:paraId="29BC0D33" w14:textId="77777777" w:rsidR="0012540F" w:rsidRPr="0012540F" w:rsidRDefault="0012540F" w:rsidP="00B73B8A">
            <w:pPr>
              <w:widowControl w:val="0"/>
              <w:autoSpaceDE w:val="0"/>
              <w:autoSpaceDN w:val="0"/>
              <w:spacing w:after="0"/>
              <w:contextualSpacing/>
              <w:jc w:val="left"/>
              <w:rPr>
                <w:rFonts w:asciiTheme="minorHAnsi" w:hAnsiTheme="minorHAnsi" w:cstheme="minorHAnsi"/>
                <w:color w:val="FF0000"/>
                <w:sz w:val="20"/>
                <w:szCs w:val="20"/>
              </w:rPr>
            </w:pPr>
            <w:r w:rsidRPr="0012540F">
              <w:rPr>
                <w:rFonts w:asciiTheme="minorHAnsi" w:hAnsiTheme="minorHAnsi" w:cstheme="minorHAnsi"/>
                <w:sz w:val="20"/>
                <w:szCs w:val="20"/>
              </w:rPr>
              <w:t>financial deprivation: β = - 0.15 in model 1</w:t>
            </w:r>
          </w:p>
        </w:tc>
      </w:tr>
      <w:tr w:rsidR="0012540F" w:rsidRPr="0012540F" w14:paraId="3A724B6C" w14:textId="77777777" w:rsidTr="00B73B8A">
        <w:trPr>
          <w:cantSplit/>
          <w:trHeight w:val="1122"/>
        </w:trPr>
        <w:tc>
          <w:tcPr>
            <w:tcW w:w="599" w:type="pct"/>
            <w:tcBorders>
              <w:top w:val="nil"/>
              <w:left w:val="nil"/>
              <w:bottom w:val="nil"/>
              <w:right w:val="nil"/>
            </w:tcBorders>
            <w:vAlign w:val="center"/>
            <w:hideMark/>
          </w:tcPr>
          <w:p w14:paraId="47B9B741" w14:textId="295669A3"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lang w:val="de-CH"/>
              </w:rPr>
            </w:pPr>
            <w:r w:rsidRPr="0012540F">
              <w:rPr>
                <w:rFonts w:asciiTheme="minorHAnsi" w:hAnsiTheme="minorHAnsi" w:cstheme="minorHAnsi"/>
                <w:bCs/>
                <w:sz w:val="20"/>
                <w:szCs w:val="20"/>
                <w:lang w:val="de-CH"/>
              </w:rPr>
              <w:t>DHLI (</w:t>
            </w:r>
            <w:r w:rsidR="00E472E8">
              <w:rPr>
                <w:rFonts w:asciiTheme="minorHAnsi" w:hAnsiTheme="minorHAnsi" w:cstheme="minorHAnsi"/>
                <w:bCs/>
                <w:sz w:val="20"/>
                <w:szCs w:val="20"/>
                <w:lang w:val="de-CH"/>
              </w:rPr>
              <w:t>A2</w:t>
            </w:r>
            <w:r w:rsidRPr="0012540F">
              <w:rPr>
                <w:rFonts w:asciiTheme="minorHAnsi" w:hAnsiTheme="minorHAnsi" w:cstheme="minorHAnsi"/>
                <w:bCs/>
                <w:sz w:val="20"/>
                <w:szCs w:val="20"/>
                <w:lang w:val="de-CH"/>
              </w:rPr>
              <w:t xml:space="preserve">7) </w:t>
            </w:r>
          </w:p>
        </w:tc>
        <w:tc>
          <w:tcPr>
            <w:tcW w:w="805" w:type="pct"/>
            <w:tcBorders>
              <w:top w:val="nil"/>
              <w:left w:val="nil"/>
              <w:bottom w:val="nil"/>
              <w:right w:val="nil"/>
            </w:tcBorders>
            <w:vAlign w:val="center"/>
            <w:hideMark/>
          </w:tcPr>
          <w:p w14:paraId="3AB810F4"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7 factors: (n=200)</w:t>
            </w:r>
          </w:p>
          <w:p w14:paraId="426F4066"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1 out of 1 was confirmed using EFA</w:t>
            </w:r>
          </w:p>
        </w:tc>
        <w:tc>
          <w:tcPr>
            <w:tcW w:w="870" w:type="pct"/>
            <w:tcBorders>
              <w:top w:val="nil"/>
              <w:left w:val="nil"/>
              <w:bottom w:val="nil"/>
              <w:right w:val="nil"/>
            </w:tcBorders>
            <w:vAlign w:val="center"/>
            <w:hideMark/>
          </w:tcPr>
          <w:p w14:paraId="41066824"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Cronbach's alpha: (</w:t>
            </w:r>
            <w:r w:rsidRPr="0012540F">
              <w:rPr>
                <w:rFonts w:asciiTheme="minorHAnsi" w:hAnsiTheme="minorHAnsi" w:cstheme="minorHAnsi"/>
                <w:bCs/>
                <w:i/>
                <w:iCs/>
                <w:sz w:val="20"/>
                <w:szCs w:val="20"/>
              </w:rPr>
              <w:t>n</w:t>
            </w:r>
            <w:r w:rsidRPr="0012540F">
              <w:rPr>
                <w:rFonts w:asciiTheme="minorHAnsi" w:hAnsiTheme="minorHAnsi" w:cstheme="minorHAnsi"/>
                <w:bCs/>
                <w:sz w:val="20"/>
                <w:szCs w:val="20"/>
              </w:rPr>
              <w:t>=200)</w:t>
            </w:r>
          </w:p>
          <w:p w14:paraId="2DD5F3D0" w14:textId="77777777" w:rsidR="0012540F" w:rsidRPr="0012540F" w:rsidRDefault="0012540F" w:rsidP="00B73B8A">
            <w:pPr>
              <w:widowControl w:val="0"/>
              <w:autoSpaceDE w:val="0"/>
              <w:autoSpaceDN w:val="0"/>
              <w:jc w:val="left"/>
              <w:rPr>
                <w:rFonts w:asciiTheme="minorHAnsi" w:hAnsiTheme="minorHAnsi" w:cstheme="minorHAnsi"/>
                <w:bCs/>
                <w:sz w:val="20"/>
                <w:szCs w:val="20"/>
              </w:rPr>
            </w:pPr>
            <w:r w:rsidRPr="0012540F">
              <w:rPr>
                <w:rFonts w:asciiTheme="minorHAnsi" w:hAnsiTheme="minorHAnsi" w:cstheme="minorHAnsi"/>
                <w:bCs/>
                <w:sz w:val="20"/>
                <w:szCs w:val="20"/>
              </w:rPr>
              <w:t>7 factors: .57-.89 (6 out of 7 subscales were supported)</w:t>
            </w:r>
          </w:p>
        </w:tc>
        <w:tc>
          <w:tcPr>
            <w:tcW w:w="606" w:type="pct"/>
            <w:tcBorders>
              <w:top w:val="nil"/>
              <w:left w:val="nil"/>
              <w:bottom w:val="nil"/>
              <w:right w:val="nil"/>
            </w:tcBorders>
            <w:vAlign w:val="center"/>
          </w:tcPr>
          <w:p w14:paraId="03F73806"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p>
        </w:tc>
        <w:tc>
          <w:tcPr>
            <w:tcW w:w="554" w:type="pct"/>
            <w:tcBorders>
              <w:top w:val="nil"/>
              <w:left w:val="nil"/>
              <w:bottom w:val="nil"/>
              <w:right w:val="nil"/>
            </w:tcBorders>
            <w:vAlign w:val="center"/>
            <w:hideMark/>
          </w:tcPr>
          <w:p w14:paraId="3E2D0044" w14:textId="77777777" w:rsidR="0012540F" w:rsidRPr="0012540F" w:rsidRDefault="0012540F" w:rsidP="00B73B8A">
            <w:pPr>
              <w:widowControl w:val="0"/>
              <w:autoSpaceDE w:val="0"/>
              <w:autoSpaceDN w:val="0"/>
              <w:spacing w:after="0"/>
              <w:contextualSpacing/>
              <w:jc w:val="left"/>
              <w:rPr>
                <w:rFonts w:asciiTheme="minorHAnsi" w:hAnsiTheme="minorHAnsi" w:cstheme="minorHAnsi"/>
                <w:bCs/>
                <w:sz w:val="20"/>
                <w:szCs w:val="20"/>
              </w:rPr>
            </w:pPr>
            <w:r w:rsidRPr="0012540F">
              <w:rPr>
                <w:rFonts w:asciiTheme="minorHAnsi" w:hAnsiTheme="minorHAnsi" w:cstheme="minorHAnsi"/>
                <w:bCs/>
                <w:sz w:val="20"/>
                <w:szCs w:val="20"/>
              </w:rPr>
              <w:t>ICC=</w:t>
            </w:r>
            <w:r w:rsidRPr="0012540F">
              <w:rPr>
                <w:rFonts w:asciiTheme="minorHAnsi" w:hAnsiTheme="minorHAnsi" w:cstheme="minorHAnsi"/>
                <w:sz w:val="20"/>
                <w:szCs w:val="20"/>
              </w:rPr>
              <w:t>0</w:t>
            </w:r>
            <w:r w:rsidRPr="0012540F">
              <w:rPr>
                <w:rFonts w:asciiTheme="minorHAnsi" w:hAnsiTheme="minorHAnsi" w:cstheme="minorHAnsi"/>
                <w:bCs/>
                <w:sz w:val="20"/>
                <w:szCs w:val="20"/>
              </w:rPr>
              <w:t>.84-</w:t>
            </w:r>
            <w:r w:rsidRPr="0012540F">
              <w:rPr>
                <w:rFonts w:asciiTheme="minorHAnsi" w:hAnsiTheme="minorHAnsi" w:cstheme="minorHAnsi"/>
                <w:sz w:val="20"/>
                <w:szCs w:val="20"/>
              </w:rPr>
              <w:t>0</w:t>
            </w:r>
            <w:r w:rsidRPr="0012540F">
              <w:rPr>
                <w:rFonts w:asciiTheme="minorHAnsi" w:hAnsiTheme="minorHAnsi" w:cstheme="minorHAnsi"/>
                <w:bCs/>
                <w:sz w:val="20"/>
                <w:szCs w:val="20"/>
              </w:rPr>
              <w:t>.88 (</w:t>
            </w:r>
            <w:r w:rsidRPr="0012540F">
              <w:rPr>
                <w:rFonts w:asciiTheme="minorHAnsi" w:hAnsiTheme="minorHAnsi" w:cstheme="minorHAnsi"/>
                <w:bCs/>
                <w:i/>
                <w:iCs/>
                <w:sz w:val="20"/>
                <w:szCs w:val="20"/>
              </w:rPr>
              <w:t>n</w:t>
            </w:r>
            <w:r w:rsidRPr="0012540F">
              <w:rPr>
                <w:rFonts w:asciiTheme="minorHAnsi" w:hAnsiTheme="minorHAnsi" w:cstheme="minorHAnsi"/>
                <w:bCs/>
                <w:sz w:val="20"/>
                <w:szCs w:val="20"/>
              </w:rPr>
              <w:t>=67)</w:t>
            </w:r>
          </w:p>
        </w:tc>
        <w:tc>
          <w:tcPr>
            <w:tcW w:w="861" w:type="pct"/>
            <w:tcBorders>
              <w:top w:val="nil"/>
              <w:left w:val="nil"/>
              <w:bottom w:val="nil"/>
              <w:right w:val="nil"/>
            </w:tcBorders>
            <w:vAlign w:val="center"/>
            <w:hideMark/>
          </w:tcPr>
          <w:p w14:paraId="5F70127C" w14:textId="77777777" w:rsidR="0012540F" w:rsidRPr="0012540F" w:rsidRDefault="0012540F" w:rsidP="00B73B8A">
            <w:pPr>
              <w:widowControl w:val="0"/>
              <w:autoSpaceDE w:val="0"/>
              <w:autoSpaceDN w:val="0"/>
              <w:spacing w:after="0"/>
              <w:jc w:val="left"/>
              <w:rPr>
                <w:rFonts w:asciiTheme="minorHAnsi" w:hAnsiTheme="minorHAnsi" w:cstheme="minorHAnsi"/>
                <w:bCs/>
                <w:sz w:val="20"/>
                <w:szCs w:val="20"/>
              </w:rPr>
            </w:pPr>
          </w:p>
        </w:tc>
        <w:tc>
          <w:tcPr>
            <w:tcW w:w="706" w:type="pct"/>
            <w:tcBorders>
              <w:top w:val="nil"/>
              <w:left w:val="nil"/>
              <w:bottom w:val="nil"/>
              <w:right w:val="nil"/>
            </w:tcBorders>
            <w:vAlign w:val="center"/>
          </w:tcPr>
          <w:p w14:paraId="6981FA75"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8B5BB8" w14:paraId="4BD0FD71" w14:textId="77777777" w:rsidTr="00B73B8A">
        <w:trPr>
          <w:cantSplit/>
          <w:trHeight w:val="1265"/>
        </w:trPr>
        <w:tc>
          <w:tcPr>
            <w:tcW w:w="599" w:type="pct"/>
            <w:tcBorders>
              <w:top w:val="nil"/>
              <w:left w:val="nil"/>
              <w:bottom w:val="nil"/>
              <w:right w:val="nil"/>
            </w:tcBorders>
            <w:vAlign w:val="center"/>
            <w:hideMark/>
          </w:tcPr>
          <w:p w14:paraId="4DC43DCF" w14:textId="76F176FE"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eHLA (</w:t>
            </w:r>
            <w:r w:rsidR="00E472E8">
              <w:rPr>
                <w:rFonts w:asciiTheme="minorHAnsi" w:hAnsiTheme="minorHAnsi" w:cstheme="minorHAnsi"/>
                <w:sz w:val="20"/>
                <w:szCs w:val="20"/>
              </w:rPr>
              <w:t>A2</w:t>
            </w:r>
            <w:r w:rsidRPr="0012540F">
              <w:rPr>
                <w:rFonts w:asciiTheme="minorHAnsi" w:hAnsiTheme="minorHAnsi" w:cstheme="minorHAnsi"/>
                <w:sz w:val="20"/>
                <w:szCs w:val="20"/>
              </w:rPr>
              <w:t>8)</w:t>
            </w:r>
          </w:p>
        </w:tc>
        <w:tc>
          <w:tcPr>
            <w:tcW w:w="805" w:type="pct"/>
            <w:tcBorders>
              <w:top w:val="nil"/>
              <w:left w:val="nil"/>
              <w:bottom w:val="nil"/>
              <w:right w:val="nil"/>
            </w:tcBorders>
            <w:vAlign w:val="center"/>
            <w:hideMark/>
          </w:tcPr>
          <w:p w14:paraId="7C84044A"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7 factors: (</w:t>
            </w:r>
            <w:r w:rsidRPr="0012540F">
              <w:rPr>
                <w:rFonts w:asciiTheme="minorHAnsi" w:hAnsiTheme="minorHAnsi" w:cstheme="minorHAnsi"/>
                <w:i/>
                <w:iCs/>
                <w:sz w:val="20"/>
                <w:szCs w:val="20"/>
              </w:rPr>
              <w:t>n</w:t>
            </w:r>
            <w:r w:rsidRPr="0012540F">
              <w:rPr>
                <w:rFonts w:asciiTheme="minorHAnsi" w:hAnsiTheme="minorHAnsi" w:cstheme="minorHAnsi"/>
                <w:sz w:val="20"/>
                <w:szCs w:val="20"/>
              </w:rPr>
              <w:t>=475)</w:t>
            </w:r>
          </w:p>
          <w:p w14:paraId="6FA57FC5"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0 out of 7 IRT were confirmed their unidimensionality of each factor</w:t>
            </w:r>
          </w:p>
        </w:tc>
        <w:tc>
          <w:tcPr>
            <w:tcW w:w="870" w:type="pct"/>
            <w:tcBorders>
              <w:top w:val="nil"/>
              <w:left w:val="nil"/>
              <w:bottom w:val="nil"/>
              <w:right w:val="nil"/>
            </w:tcBorders>
            <w:vAlign w:val="center"/>
          </w:tcPr>
          <w:p w14:paraId="3B23903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606" w:type="pct"/>
            <w:tcBorders>
              <w:top w:val="nil"/>
              <w:left w:val="nil"/>
              <w:bottom w:val="nil"/>
              <w:right w:val="nil"/>
            </w:tcBorders>
            <w:vAlign w:val="center"/>
          </w:tcPr>
          <w:p w14:paraId="5E5F89BB" w14:textId="77777777" w:rsidR="0012540F" w:rsidRPr="0012540F" w:rsidRDefault="0012540F" w:rsidP="00B73B8A">
            <w:pPr>
              <w:widowControl w:val="0"/>
              <w:autoSpaceDE w:val="0"/>
              <w:autoSpaceDN w:val="0"/>
              <w:spacing w:after="0"/>
              <w:contextualSpacing/>
              <w:jc w:val="left"/>
              <w:rPr>
                <w:rFonts w:asciiTheme="minorHAnsi" w:hAnsiTheme="minorHAnsi" w:cstheme="minorHAnsi"/>
                <w:strike/>
                <w:sz w:val="20"/>
                <w:szCs w:val="20"/>
              </w:rPr>
            </w:pPr>
          </w:p>
        </w:tc>
        <w:tc>
          <w:tcPr>
            <w:tcW w:w="554" w:type="pct"/>
            <w:tcBorders>
              <w:top w:val="nil"/>
              <w:left w:val="nil"/>
              <w:bottom w:val="nil"/>
              <w:right w:val="nil"/>
            </w:tcBorders>
            <w:vAlign w:val="center"/>
          </w:tcPr>
          <w:p w14:paraId="1233B44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nil"/>
              <w:right w:val="nil"/>
            </w:tcBorders>
            <w:vAlign w:val="center"/>
          </w:tcPr>
          <w:p w14:paraId="649816D4"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706" w:type="pct"/>
            <w:tcBorders>
              <w:top w:val="nil"/>
              <w:left w:val="nil"/>
              <w:bottom w:val="nil"/>
              <w:right w:val="nil"/>
            </w:tcBorders>
            <w:vAlign w:val="center"/>
          </w:tcPr>
          <w:p w14:paraId="39B0B9B4"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12540F" w14:paraId="76517A25" w14:textId="77777777" w:rsidTr="00B73B8A">
        <w:trPr>
          <w:cantSplit/>
          <w:trHeight w:val="1966"/>
        </w:trPr>
        <w:tc>
          <w:tcPr>
            <w:tcW w:w="599" w:type="pct"/>
            <w:tcBorders>
              <w:top w:val="nil"/>
              <w:left w:val="nil"/>
              <w:bottom w:val="single" w:sz="4" w:space="0" w:color="auto"/>
              <w:right w:val="nil"/>
            </w:tcBorders>
            <w:vAlign w:val="center"/>
            <w:hideMark/>
          </w:tcPr>
          <w:p w14:paraId="2B97A3BB" w14:textId="279EC7CE"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eHLQ (</w:t>
            </w:r>
            <w:r w:rsidR="00E472E8">
              <w:rPr>
                <w:rFonts w:asciiTheme="minorHAnsi" w:hAnsiTheme="minorHAnsi" w:cstheme="minorHAnsi"/>
                <w:sz w:val="20"/>
                <w:szCs w:val="20"/>
              </w:rPr>
              <w:t>A29</w:t>
            </w:r>
            <w:r w:rsidRPr="0012540F">
              <w:rPr>
                <w:rFonts w:asciiTheme="minorHAnsi" w:hAnsiTheme="minorHAnsi" w:cstheme="minorHAnsi"/>
                <w:sz w:val="20"/>
                <w:szCs w:val="20"/>
              </w:rPr>
              <w:t>)</w:t>
            </w:r>
          </w:p>
        </w:tc>
        <w:tc>
          <w:tcPr>
            <w:tcW w:w="805" w:type="pct"/>
            <w:tcBorders>
              <w:top w:val="nil"/>
              <w:left w:val="nil"/>
              <w:bottom w:val="single" w:sz="4" w:space="0" w:color="auto"/>
              <w:right w:val="nil"/>
            </w:tcBorders>
            <w:vAlign w:val="center"/>
            <w:hideMark/>
          </w:tcPr>
          <w:p w14:paraId="737101F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7 factors: (</w:t>
            </w:r>
            <w:r w:rsidRPr="0012540F">
              <w:rPr>
                <w:rFonts w:asciiTheme="minorHAnsi" w:hAnsiTheme="minorHAnsi" w:cstheme="minorHAnsi"/>
                <w:i/>
                <w:iCs/>
                <w:sz w:val="20"/>
                <w:szCs w:val="20"/>
              </w:rPr>
              <w:t>n</w:t>
            </w:r>
            <w:r w:rsidRPr="0012540F">
              <w:rPr>
                <w:rFonts w:asciiTheme="minorHAnsi" w:hAnsiTheme="minorHAnsi" w:cstheme="minorHAnsi"/>
                <w:sz w:val="20"/>
                <w:szCs w:val="20"/>
              </w:rPr>
              <w:t>=475)</w:t>
            </w:r>
          </w:p>
          <w:p w14:paraId="51645F8E"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1 out of 2 were confirmed using CFA, and IRT</w:t>
            </w:r>
          </w:p>
        </w:tc>
        <w:tc>
          <w:tcPr>
            <w:tcW w:w="870" w:type="pct"/>
            <w:tcBorders>
              <w:top w:val="nil"/>
              <w:left w:val="nil"/>
              <w:bottom w:val="single" w:sz="4" w:space="0" w:color="auto"/>
              <w:right w:val="nil"/>
            </w:tcBorders>
            <w:vAlign w:val="center"/>
          </w:tcPr>
          <w:p w14:paraId="12B29EB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 (</w:t>
            </w:r>
            <w:r w:rsidRPr="0012540F">
              <w:rPr>
                <w:rFonts w:asciiTheme="minorHAnsi" w:hAnsiTheme="minorHAnsi" w:cstheme="minorHAnsi"/>
                <w:i/>
                <w:iCs/>
                <w:sz w:val="20"/>
                <w:szCs w:val="20"/>
              </w:rPr>
              <w:t>n</w:t>
            </w:r>
            <w:r w:rsidRPr="0012540F">
              <w:rPr>
                <w:rFonts w:asciiTheme="minorHAnsi" w:hAnsiTheme="minorHAnsi" w:cstheme="minorHAnsi"/>
                <w:sz w:val="20"/>
                <w:szCs w:val="20"/>
              </w:rPr>
              <w:t>=475)</w:t>
            </w:r>
          </w:p>
          <w:p w14:paraId="69804519"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7 factors: .77-.86</w:t>
            </w:r>
          </w:p>
          <w:p w14:paraId="78E7AFC3"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606" w:type="pct"/>
            <w:tcBorders>
              <w:top w:val="nil"/>
              <w:left w:val="nil"/>
              <w:bottom w:val="single" w:sz="4" w:space="0" w:color="auto"/>
              <w:right w:val="nil"/>
            </w:tcBorders>
            <w:vAlign w:val="center"/>
            <w:hideMark/>
          </w:tcPr>
          <w:p w14:paraId="6B4ECA51" w14:textId="77777777" w:rsidR="0012540F" w:rsidRPr="0012540F" w:rsidRDefault="0012540F" w:rsidP="00B73B8A">
            <w:pPr>
              <w:widowControl w:val="0"/>
              <w:autoSpaceDE w:val="0"/>
              <w:autoSpaceDN w:val="0"/>
              <w:jc w:val="left"/>
              <w:rPr>
                <w:rFonts w:asciiTheme="minorHAnsi" w:hAnsiTheme="minorHAnsi" w:cstheme="minorHAnsi"/>
                <w:sz w:val="20"/>
                <w:szCs w:val="20"/>
              </w:rPr>
            </w:pPr>
            <w:r w:rsidRPr="0012540F">
              <w:rPr>
                <w:rFonts w:asciiTheme="minorHAnsi" w:hAnsiTheme="minorHAnsi" w:cstheme="minorHAnsi"/>
                <w:sz w:val="20"/>
                <w:szCs w:val="20"/>
              </w:rPr>
              <w:t>2 out of 2 DIF were confirmed by age and gender (no evidence: no statistical results)</w:t>
            </w:r>
          </w:p>
        </w:tc>
        <w:tc>
          <w:tcPr>
            <w:tcW w:w="554" w:type="pct"/>
            <w:tcBorders>
              <w:top w:val="nil"/>
              <w:left w:val="nil"/>
              <w:bottom w:val="single" w:sz="4" w:space="0" w:color="auto"/>
              <w:right w:val="nil"/>
            </w:tcBorders>
            <w:vAlign w:val="center"/>
          </w:tcPr>
          <w:p w14:paraId="48B476A4"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nil"/>
              <w:left w:val="nil"/>
              <w:bottom w:val="single" w:sz="4" w:space="0" w:color="auto"/>
              <w:right w:val="nil"/>
            </w:tcBorders>
            <w:vAlign w:val="center"/>
          </w:tcPr>
          <w:p w14:paraId="4E385D1A"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Hypotheses were confirmed (</w:t>
            </w:r>
            <w:r w:rsidRPr="0012540F">
              <w:rPr>
                <w:rFonts w:asciiTheme="minorHAnsi" w:hAnsiTheme="minorHAnsi" w:cstheme="minorHAnsi"/>
                <w:i/>
                <w:iCs/>
                <w:sz w:val="20"/>
                <w:szCs w:val="20"/>
              </w:rPr>
              <w:t>n</w:t>
            </w:r>
            <w:r w:rsidRPr="0012540F">
              <w:rPr>
                <w:rFonts w:asciiTheme="minorHAnsi" w:hAnsiTheme="minorHAnsi" w:cstheme="minorHAnsi"/>
                <w:sz w:val="20"/>
                <w:szCs w:val="20"/>
              </w:rPr>
              <w:t>=283), with:</w:t>
            </w:r>
          </w:p>
          <w:p w14:paraId="63587B05"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-task/technology-oriented characteristics</w:t>
            </w:r>
          </w:p>
          <w:p w14:paraId="54746115"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-AAHLS 3 subscales</w:t>
            </w:r>
          </w:p>
          <w:p w14:paraId="0FBD3C8C"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-eHEALS 4 subscales</w:t>
            </w:r>
          </w:p>
          <w:p w14:paraId="69C87922" w14:textId="77777777" w:rsidR="0012540F" w:rsidRPr="0012540F" w:rsidRDefault="0012540F" w:rsidP="00B73B8A">
            <w:pPr>
              <w:widowControl w:val="0"/>
              <w:autoSpaceDE w:val="0"/>
              <w:autoSpaceDN w:val="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-age</w:t>
            </w:r>
          </w:p>
        </w:tc>
        <w:tc>
          <w:tcPr>
            <w:tcW w:w="706" w:type="pct"/>
            <w:tcBorders>
              <w:top w:val="nil"/>
              <w:left w:val="nil"/>
              <w:bottom w:val="single" w:sz="4" w:space="0" w:color="auto"/>
              <w:right w:val="nil"/>
            </w:tcBorders>
            <w:vAlign w:val="center"/>
          </w:tcPr>
          <w:p w14:paraId="4ADC08FC"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r w:rsidR="0012540F" w:rsidRPr="008B5BB8" w14:paraId="4D8511DD" w14:textId="77777777" w:rsidTr="00B73B8A">
        <w:trPr>
          <w:cantSplit/>
          <w:trHeight w:val="1848"/>
        </w:trPr>
        <w:tc>
          <w:tcPr>
            <w:tcW w:w="599" w:type="pct"/>
            <w:tcBorders>
              <w:top w:val="single" w:sz="4" w:space="0" w:color="auto"/>
              <w:left w:val="nil"/>
              <w:bottom w:val="single" w:sz="4" w:space="0" w:color="auto"/>
              <w:right w:val="nil"/>
            </w:tcBorders>
            <w:vAlign w:val="center"/>
          </w:tcPr>
          <w:p w14:paraId="4FEADE39" w14:textId="52AE3A01"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TeHLI (</w:t>
            </w:r>
            <w:r w:rsidR="00E472E8">
              <w:rPr>
                <w:rFonts w:asciiTheme="minorHAnsi" w:hAnsiTheme="minorHAnsi" w:cstheme="minorHAnsi"/>
                <w:sz w:val="20"/>
                <w:szCs w:val="20"/>
              </w:rPr>
              <w:t>A30</w:t>
            </w:r>
            <w:r w:rsidRPr="0012540F">
              <w:rPr>
                <w:rFonts w:asciiTheme="minorHAnsi" w:hAnsiTheme="minorHAnsi" w:cstheme="minorHAnsi"/>
                <w:sz w:val="20"/>
                <w:szCs w:val="20"/>
              </w:rPr>
              <w:t>)</w:t>
            </w:r>
          </w:p>
        </w:tc>
        <w:tc>
          <w:tcPr>
            <w:tcW w:w="805" w:type="pct"/>
            <w:tcBorders>
              <w:top w:val="single" w:sz="4" w:space="0" w:color="auto"/>
              <w:left w:val="nil"/>
              <w:bottom w:val="single" w:sz="4" w:space="0" w:color="auto"/>
              <w:right w:val="nil"/>
            </w:tcBorders>
            <w:vAlign w:val="center"/>
          </w:tcPr>
          <w:p w14:paraId="005C129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4 factors: (</w:t>
            </w:r>
            <w:r w:rsidRPr="0012540F">
              <w:rPr>
                <w:rFonts w:asciiTheme="minorHAnsi" w:hAnsiTheme="minorHAnsi" w:cstheme="minorHAnsi"/>
                <w:i/>
                <w:iCs/>
                <w:sz w:val="20"/>
                <w:szCs w:val="20"/>
              </w:rPr>
              <w:t>n</w:t>
            </w:r>
            <w:r w:rsidRPr="0012540F">
              <w:rPr>
                <w:rFonts w:asciiTheme="minorHAnsi" w:hAnsiTheme="minorHAnsi" w:cstheme="minorHAnsi"/>
                <w:sz w:val="20"/>
                <w:szCs w:val="20"/>
              </w:rPr>
              <w:t>=283)</w:t>
            </w:r>
          </w:p>
          <w:p w14:paraId="674100B1"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r w:rsidRPr="0012540F">
              <w:rPr>
                <w:rFonts w:asciiTheme="minorHAnsi" w:hAnsiTheme="minorHAnsi" w:cstheme="minorHAnsi"/>
                <w:sz w:val="20"/>
                <w:szCs w:val="20"/>
              </w:rPr>
              <w:t xml:space="preserve">2 out of 2 were confirmed using CFA, and Rasch analysis </w:t>
            </w:r>
          </w:p>
        </w:tc>
        <w:tc>
          <w:tcPr>
            <w:tcW w:w="870" w:type="pct"/>
            <w:tcBorders>
              <w:top w:val="single" w:sz="4" w:space="0" w:color="auto"/>
              <w:left w:val="nil"/>
              <w:bottom w:val="single" w:sz="4" w:space="0" w:color="auto"/>
              <w:right w:val="nil"/>
            </w:tcBorders>
            <w:vAlign w:val="center"/>
          </w:tcPr>
          <w:p w14:paraId="43C47319"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Cronbach's alpha:</w:t>
            </w:r>
          </w:p>
          <w:p w14:paraId="6280646A"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4 factors: .87-.92 (</w:t>
            </w:r>
            <w:r w:rsidRPr="0012540F">
              <w:rPr>
                <w:rFonts w:asciiTheme="minorHAnsi" w:hAnsiTheme="minorHAnsi" w:cstheme="minorHAnsi"/>
                <w:i/>
                <w:iCs/>
                <w:sz w:val="20"/>
                <w:szCs w:val="20"/>
              </w:rPr>
              <w:t>n</w:t>
            </w:r>
            <w:r w:rsidRPr="0012540F">
              <w:rPr>
                <w:rFonts w:asciiTheme="minorHAnsi" w:hAnsiTheme="minorHAnsi" w:cstheme="minorHAnsi"/>
                <w:sz w:val="20"/>
                <w:szCs w:val="20"/>
              </w:rPr>
              <w:t>=283)</w:t>
            </w:r>
          </w:p>
          <w:p w14:paraId="72992AA5"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Omega:</w:t>
            </w:r>
          </w:p>
          <w:p w14:paraId="7905EA9B"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4 factors: .92-.96 (</w:t>
            </w:r>
            <w:r w:rsidRPr="0012540F">
              <w:rPr>
                <w:rFonts w:asciiTheme="minorHAnsi" w:hAnsiTheme="minorHAnsi" w:cstheme="minorHAnsi"/>
                <w:i/>
                <w:iCs/>
                <w:sz w:val="20"/>
                <w:szCs w:val="20"/>
              </w:rPr>
              <w:t>n</w:t>
            </w:r>
            <w:r w:rsidRPr="0012540F">
              <w:rPr>
                <w:rFonts w:asciiTheme="minorHAnsi" w:hAnsiTheme="minorHAnsi" w:cstheme="minorHAnsi"/>
                <w:sz w:val="20"/>
                <w:szCs w:val="20"/>
              </w:rPr>
              <w:t>=283)</w:t>
            </w:r>
          </w:p>
          <w:p w14:paraId="73064773" w14:textId="77777777" w:rsidR="0012540F" w:rsidRPr="0012540F" w:rsidRDefault="0012540F" w:rsidP="00B73B8A">
            <w:pPr>
              <w:widowControl w:val="0"/>
              <w:autoSpaceDE w:val="0"/>
              <w:autoSpaceDN w:val="0"/>
              <w:spacing w:after="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Item reliability: .81-.91</w:t>
            </w:r>
          </w:p>
          <w:p w14:paraId="52EFEC74" w14:textId="77777777" w:rsidR="0012540F" w:rsidRPr="0012540F" w:rsidRDefault="0012540F" w:rsidP="00B73B8A">
            <w:pPr>
              <w:widowControl w:val="0"/>
              <w:autoSpaceDE w:val="0"/>
              <w:autoSpaceDN w:val="0"/>
              <w:ind w:left="-57" w:right="-57"/>
              <w:contextualSpacing/>
              <w:jc w:val="left"/>
              <w:rPr>
                <w:rFonts w:asciiTheme="minorHAnsi" w:hAnsiTheme="minorHAnsi" w:cstheme="minorHAnsi"/>
                <w:sz w:val="20"/>
                <w:szCs w:val="20"/>
              </w:rPr>
            </w:pPr>
            <w:r w:rsidRPr="0012540F">
              <w:rPr>
                <w:rFonts w:asciiTheme="minorHAnsi" w:hAnsiTheme="minorHAnsi" w:cstheme="minorHAnsi"/>
                <w:sz w:val="20"/>
                <w:szCs w:val="20"/>
              </w:rPr>
              <w:t>Item separation index: 4.37-10.6 (</w:t>
            </w:r>
            <w:r w:rsidRPr="0012540F">
              <w:rPr>
                <w:rFonts w:asciiTheme="minorHAnsi" w:hAnsiTheme="minorHAnsi" w:cstheme="minorHAnsi"/>
                <w:i/>
                <w:iCs/>
                <w:sz w:val="20"/>
                <w:szCs w:val="20"/>
              </w:rPr>
              <w:t>n</w:t>
            </w:r>
            <w:r w:rsidRPr="0012540F">
              <w:rPr>
                <w:rFonts w:asciiTheme="minorHAnsi" w:hAnsiTheme="minorHAnsi" w:cstheme="minorHAnsi"/>
                <w:sz w:val="20"/>
                <w:szCs w:val="20"/>
              </w:rPr>
              <w:t>=283)</w:t>
            </w:r>
          </w:p>
        </w:tc>
        <w:tc>
          <w:tcPr>
            <w:tcW w:w="606" w:type="pct"/>
            <w:tcBorders>
              <w:top w:val="single" w:sz="4" w:space="0" w:color="auto"/>
              <w:left w:val="nil"/>
              <w:bottom w:val="single" w:sz="4" w:space="0" w:color="auto"/>
              <w:right w:val="nil"/>
            </w:tcBorders>
            <w:vAlign w:val="center"/>
          </w:tcPr>
          <w:p w14:paraId="594F0AB6" w14:textId="77777777" w:rsidR="0012540F" w:rsidRPr="0012540F" w:rsidRDefault="0012540F" w:rsidP="00B73B8A">
            <w:pPr>
              <w:widowControl w:val="0"/>
              <w:autoSpaceDE w:val="0"/>
              <w:autoSpaceDN w:val="0"/>
              <w:spacing w:after="0"/>
              <w:contextualSpacing/>
              <w:jc w:val="left"/>
              <w:rPr>
                <w:rFonts w:asciiTheme="minorHAnsi" w:hAnsiTheme="minorHAnsi" w:cstheme="minorHAnsi"/>
                <w:strike/>
                <w:sz w:val="20"/>
                <w:szCs w:val="20"/>
              </w:rPr>
            </w:pPr>
          </w:p>
        </w:tc>
        <w:tc>
          <w:tcPr>
            <w:tcW w:w="554" w:type="pct"/>
            <w:tcBorders>
              <w:top w:val="single" w:sz="4" w:space="0" w:color="auto"/>
              <w:left w:val="nil"/>
              <w:bottom w:val="single" w:sz="4" w:space="0" w:color="auto"/>
              <w:right w:val="nil"/>
            </w:tcBorders>
            <w:vAlign w:val="center"/>
          </w:tcPr>
          <w:p w14:paraId="485AC986"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861" w:type="pct"/>
            <w:tcBorders>
              <w:top w:val="single" w:sz="4" w:space="0" w:color="auto"/>
              <w:left w:val="nil"/>
              <w:bottom w:val="single" w:sz="4" w:space="0" w:color="auto"/>
              <w:right w:val="nil"/>
            </w:tcBorders>
            <w:vAlign w:val="center"/>
          </w:tcPr>
          <w:p w14:paraId="5DF1F89D"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c>
          <w:tcPr>
            <w:tcW w:w="706" w:type="pct"/>
            <w:tcBorders>
              <w:top w:val="single" w:sz="4" w:space="0" w:color="auto"/>
              <w:left w:val="nil"/>
              <w:bottom w:val="single" w:sz="4" w:space="0" w:color="auto"/>
              <w:right w:val="nil"/>
            </w:tcBorders>
            <w:vAlign w:val="center"/>
          </w:tcPr>
          <w:p w14:paraId="26DB7E32" w14:textId="77777777" w:rsidR="0012540F" w:rsidRPr="0012540F" w:rsidRDefault="0012540F" w:rsidP="00B73B8A">
            <w:pPr>
              <w:widowControl w:val="0"/>
              <w:autoSpaceDE w:val="0"/>
              <w:autoSpaceDN w:val="0"/>
              <w:spacing w:after="0"/>
              <w:contextualSpacing/>
              <w:jc w:val="left"/>
              <w:rPr>
                <w:rFonts w:asciiTheme="minorHAnsi" w:hAnsiTheme="minorHAnsi" w:cstheme="minorHAnsi"/>
                <w:sz w:val="20"/>
                <w:szCs w:val="20"/>
              </w:rPr>
            </w:pPr>
          </w:p>
        </w:tc>
      </w:tr>
    </w:tbl>
    <w:p w14:paraId="050B32FD"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lang w:val="en-US" w:eastAsia="ko-KR"/>
        </w:rPr>
        <w:t>EFA: exploratory factor analysis/ CFA: confirmatory factor analysis / IRT: Item response theory / DIF: Differential item functioning.</w:t>
      </w:r>
    </w:p>
    <w:p w14:paraId="19AFD660"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lang w:val="en-US" w:eastAsia="ko-KR"/>
        </w:rPr>
        <w:t>DHLI, Digital Health Literacy Instrument; TeHLI, Transactional eHealth Literacy Instrument; HL</w:t>
      </w:r>
      <w:r w:rsidRPr="0012540F">
        <w:rPr>
          <w:rFonts w:asciiTheme="minorHAnsi" w:eastAsia="Malgun Gothic" w:hAnsiTheme="minorHAnsi" w:cstheme="minorHAnsi"/>
          <w:kern w:val="2"/>
          <w:sz w:val="20"/>
          <w:szCs w:val="20"/>
          <w:vertAlign w:val="subscript"/>
          <w:lang w:val="en-US" w:eastAsia="ko-KR"/>
        </w:rPr>
        <w:t>19</w:t>
      </w:r>
      <w:r w:rsidRPr="0012540F">
        <w:rPr>
          <w:rFonts w:asciiTheme="minorHAnsi" w:eastAsia="Malgun Gothic" w:hAnsiTheme="minorHAnsi" w:cstheme="minorHAnsi"/>
          <w:kern w:val="2"/>
          <w:sz w:val="20"/>
          <w:szCs w:val="20"/>
          <w:lang w:val="en-US" w:eastAsia="ko-KR"/>
        </w:rPr>
        <w:t>-DIGI, Digital Health Literacy; eHLA, eHealth Literacy Assessment Toolkit; eHLQ, eHealth Literacy Questionnaire; eHEALS, eHealth Literacy Scale.</w:t>
      </w:r>
    </w:p>
    <w:p w14:paraId="09BFD8C6"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 xml:space="preserve">a </w:t>
      </w:r>
      <w:r w:rsidRPr="0012540F">
        <w:rPr>
          <w:rFonts w:asciiTheme="minorHAnsi" w:eastAsia="Malgun Gothic" w:hAnsiTheme="minorHAnsi" w:cstheme="minorHAnsi"/>
          <w:kern w:val="2"/>
          <w:sz w:val="20"/>
          <w:szCs w:val="20"/>
          <w:lang w:val="en-US" w:eastAsia="ko-KR"/>
        </w:rPr>
        <w:t>information seeking (items 1, 2, 3, 4, 5, 8), information appraisal (items 6, 7)</w:t>
      </w:r>
    </w:p>
    <w:p w14:paraId="1FEBEABD"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b</w:t>
      </w:r>
      <w:r w:rsidRPr="0012540F">
        <w:rPr>
          <w:rFonts w:asciiTheme="minorHAnsi" w:eastAsia="Malgun Gothic" w:hAnsiTheme="minorHAnsi" w:cstheme="minorHAnsi"/>
          <w:kern w:val="2"/>
          <w:sz w:val="20"/>
          <w:szCs w:val="20"/>
          <w:lang w:val="en-US" w:eastAsia="ko-KR"/>
        </w:rPr>
        <w:t xml:space="preserve"> factor 1 (items 1, 2, 4), factor 2 (items 3, 5, 6, 7, 8)</w:t>
      </w:r>
    </w:p>
    <w:p w14:paraId="38992116"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c</w:t>
      </w:r>
      <w:r w:rsidRPr="0012540F">
        <w:rPr>
          <w:rFonts w:asciiTheme="minorHAnsi" w:eastAsia="Malgun Gothic" w:hAnsiTheme="minorHAnsi" w:cstheme="minorHAnsi"/>
          <w:kern w:val="2"/>
          <w:sz w:val="20"/>
          <w:szCs w:val="20"/>
          <w:lang w:val="en-US" w:eastAsia="ko-KR"/>
        </w:rPr>
        <w:t xml:space="preserve"> factor 1 (items 1, 2, 3, 4, 5), factor 2 (items 6, 7, 8)</w:t>
      </w:r>
    </w:p>
    <w:p w14:paraId="65972D52"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d</w:t>
      </w:r>
      <w:r w:rsidRPr="0012540F">
        <w:rPr>
          <w:rFonts w:asciiTheme="minorHAnsi" w:eastAsia="Malgun Gothic" w:hAnsiTheme="minorHAnsi" w:cstheme="minorHAnsi"/>
          <w:kern w:val="2"/>
          <w:sz w:val="20"/>
          <w:szCs w:val="20"/>
          <w:lang w:val="en-US" w:eastAsia="ko-KR"/>
        </w:rPr>
        <w:t xml:space="preserve"> awareness (items 3, 4), skills (items 1, 2, 5), evaluation (items 6, 7, 8)</w:t>
      </w:r>
    </w:p>
    <w:p w14:paraId="73B284F1"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e</w:t>
      </w:r>
      <w:r w:rsidRPr="0012540F">
        <w:rPr>
          <w:rFonts w:asciiTheme="minorHAnsi" w:eastAsia="Malgun Gothic" w:hAnsiTheme="minorHAnsi" w:cstheme="minorHAnsi"/>
          <w:kern w:val="2"/>
          <w:sz w:val="20"/>
          <w:szCs w:val="20"/>
          <w:lang w:val="en-US" w:eastAsia="ko-KR"/>
        </w:rPr>
        <w:t xml:space="preserve"> awareness (items 1, 2), skills (items 4, 5), evaluation (items 6, 7, 8)</w:t>
      </w:r>
    </w:p>
    <w:p w14:paraId="22A30FCF"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f</w:t>
      </w:r>
      <w:r w:rsidRPr="0012540F">
        <w:rPr>
          <w:rFonts w:asciiTheme="minorHAnsi" w:eastAsia="Malgun Gothic" w:hAnsiTheme="minorHAnsi" w:cstheme="minorHAnsi"/>
          <w:kern w:val="2"/>
          <w:sz w:val="20"/>
          <w:szCs w:val="20"/>
          <w:lang w:val="en-US" w:eastAsia="ko-KR"/>
        </w:rPr>
        <w:t xml:space="preserve"> information awareness (items 3, 4), information seeking (items 1, 5), information engagement (items 2, 6, 7, 8)</w:t>
      </w:r>
    </w:p>
    <w:p w14:paraId="64A22E38" w14:textId="77777777" w:rsidR="0012540F" w:rsidRPr="0012540F" w:rsidRDefault="0012540F" w:rsidP="0012540F">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vertAlign w:val="superscript"/>
          <w:lang w:val="en-US" w:eastAsia="ko-KR"/>
        </w:rPr>
        <w:t>g</w:t>
      </w:r>
      <w:r w:rsidRPr="0012540F">
        <w:rPr>
          <w:rFonts w:asciiTheme="minorHAnsi" w:eastAsia="Malgun Gothic" w:hAnsiTheme="minorHAnsi" w:cstheme="minorHAnsi"/>
          <w:kern w:val="2"/>
          <w:sz w:val="20"/>
          <w:szCs w:val="20"/>
          <w:lang w:val="en-US" w:eastAsia="ko-KR"/>
        </w:rPr>
        <w:t xml:space="preserve"> general factor (items 1, 2, 3, 4, 5, 6, 7, 8), subfactor 1 (items 1, 2, 3, 4, 5, 8), subfactor 2 (items 6, 7)</w:t>
      </w:r>
    </w:p>
    <w:p w14:paraId="154570F0" w14:textId="45F80B99" w:rsidR="008F383B" w:rsidRDefault="0012540F" w:rsidP="003B1C27">
      <w:pPr>
        <w:widowControl w:val="0"/>
        <w:autoSpaceDE w:val="0"/>
        <w:autoSpaceDN w:val="0"/>
        <w:spacing w:after="0" w:line="240" w:lineRule="auto"/>
        <w:contextualSpacing/>
        <w:rPr>
          <w:rFonts w:asciiTheme="minorHAnsi" w:eastAsia="Malgun Gothic" w:hAnsiTheme="minorHAnsi" w:cstheme="minorHAnsi"/>
          <w:kern w:val="2"/>
          <w:sz w:val="20"/>
          <w:szCs w:val="20"/>
          <w:lang w:val="en-US" w:eastAsia="ko-KR"/>
        </w:rPr>
      </w:pPr>
      <w:r w:rsidRPr="0012540F">
        <w:rPr>
          <w:rFonts w:asciiTheme="minorHAnsi" w:eastAsia="Malgun Gothic" w:hAnsiTheme="minorHAnsi" w:cstheme="minorHAnsi"/>
          <w:kern w:val="2"/>
          <w:sz w:val="20"/>
          <w:szCs w:val="20"/>
          <w:lang w:val="en-US" w:eastAsia="ko-KR"/>
        </w:rPr>
        <w:t>Item numbers by Norman and Skinner (</w:t>
      </w:r>
      <w:r w:rsidR="00FC04DA">
        <w:rPr>
          <w:rFonts w:asciiTheme="minorHAnsi" w:eastAsia="Malgun Gothic" w:hAnsiTheme="minorHAnsi" w:cstheme="minorHAnsi"/>
          <w:kern w:val="2"/>
          <w:sz w:val="20"/>
          <w:szCs w:val="20"/>
          <w:lang w:val="en-US" w:eastAsia="ko-KR"/>
        </w:rPr>
        <w:t>A01</w:t>
      </w:r>
      <w:r w:rsidRPr="0012540F">
        <w:rPr>
          <w:rFonts w:asciiTheme="minorHAnsi" w:eastAsia="Malgun Gothic" w:hAnsiTheme="minorHAnsi" w:cstheme="minorHAnsi"/>
          <w:kern w:val="2"/>
          <w:sz w:val="20"/>
          <w:szCs w:val="20"/>
          <w:lang w:val="en-US" w:eastAsia="ko-KR"/>
        </w:rPr>
        <w:t>)</w:t>
      </w:r>
    </w:p>
    <w:p w14:paraId="2EE4DBA1" w14:textId="77777777" w:rsidR="00FE7354" w:rsidRPr="00FE7354" w:rsidRDefault="00FE7354" w:rsidP="00FE7354">
      <w:pPr>
        <w:pStyle w:val="Titre2"/>
      </w:pPr>
      <w:r w:rsidRPr="00FE7354">
        <w:t>References</w:t>
      </w:r>
    </w:p>
    <w:p w14:paraId="1E73CAAD" w14:textId="0B16DD6B" w:rsidR="00FE7354"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en-GB"/>
        </w:rPr>
        <w:t xml:space="preserve">Norman CD, Skinner HA. eHEALS: The eHealth Literacy Scale. J Med Internet Res. 2006 Nov 14;8(4):e27. </w:t>
      </w:r>
      <w:hyperlink r:id="rId5" w:history="1">
        <w:r w:rsidRPr="00415889">
          <w:rPr>
            <w:rStyle w:val="Lienhypertexte"/>
            <w:rFonts w:ascii="Times New Roman" w:hAnsi="Times New Roman"/>
            <w:sz w:val="20"/>
            <w:szCs w:val="18"/>
            <w:lang w:val="en-GB"/>
          </w:rPr>
          <w:t>https://doi.org/10.2196/jmir.8.4.e27</w:t>
        </w:r>
      </w:hyperlink>
    </w:p>
    <w:p w14:paraId="065A76CD" w14:textId="55FA1AC8" w:rsidR="00415889"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de-DE"/>
        </w:rPr>
        <w:t xml:space="preserve">van der Vaart R, van Deursen AJ, Drossaert CH, Taal E, van Dijk JA, van de Laar MA. </w:t>
      </w:r>
      <w:r w:rsidRPr="00415889">
        <w:rPr>
          <w:rFonts w:ascii="Times New Roman" w:hAnsi="Times New Roman"/>
          <w:sz w:val="20"/>
          <w:szCs w:val="18"/>
          <w:lang w:val="en-US"/>
        </w:rPr>
        <w:t xml:space="preserve">Does the eHealth Literacy Scale (eHEALS) measure what it intends to measure? Validation of a Dutch version of the eHEALS in two adult populations. J Med Internet Res. 2011 Nov 9;13(4):e86. </w:t>
      </w:r>
      <w:hyperlink r:id="rId6" w:history="1">
        <w:r w:rsidRPr="00415889">
          <w:rPr>
            <w:rStyle w:val="Lienhypertexte"/>
            <w:rFonts w:ascii="Times New Roman" w:hAnsi="Times New Roman"/>
            <w:sz w:val="20"/>
            <w:szCs w:val="18"/>
            <w:lang w:val="en-US"/>
          </w:rPr>
          <w:t>https://doi.org/10.2196/jmir.1840</w:t>
        </w:r>
      </w:hyperlink>
    </w:p>
    <w:p w14:paraId="40FCC067" w14:textId="194D98B3" w:rsidR="00415889"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en-GB"/>
        </w:rPr>
        <w:t xml:space="preserve">Chung SY, Nahm ES. Testing reliability and validity of the eHealth Literacy Scale (eHEALS) for older adults recruited online. </w:t>
      </w:r>
      <w:r w:rsidRPr="00415889">
        <w:rPr>
          <w:rFonts w:ascii="Times New Roman" w:hAnsi="Times New Roman"/>
          <w:sz w:val="20"/>
          <w:szCs w:val="18"/>
          <w:lang w:val="de-DE"/>
        </w:rPr>
        <w:t>Comput Inform Nurs. 2015 Apr;33(4):150-156</w:t>
      </w:r>
      <w:r w:rsidRPr="00415889">
        <w:rPr>
          <w:rFonts w:ascii="Times New Roman" w:hAnsi="Times New Roman"/>
          <w:sz w:val="20"/>
          <w:szCs w:val="18"/>
          <w:lang w:val="de-CH"/>
        </w:rPr>
        <w:t xml:space="preserve">. </w:t>
      </w:r>
      <w:hyperlink r:id="rId7" w:history="1">
        <w:r w:rsidRPr="00415889">
          <w:rPr>
            <w:rStyle w:val="Lienhypertexte"/>
            <w:rFonts w:ascii="Times New Roman" w:hAnsi="Times New Roman"/>
            <w:sz w:val="20"/>
            <w:szCs w:val="18"/>
            <w:lang w:val="de-CH"/>
          </w:rPr>
          <w:t>https://doi.org/10.1097/CIN.0000000000000146</w:t>
        </w:r>
      </w:hyperlink>
    </w:p>
    <w:p w14:paraId="392E997C" w14:textId="3BB41571" w:rsidR="00415889"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en-US"/>
        </w:rPr>
        <w:t>Paramio Pérez G, Almagro BJ, Hernando Gómez Á, Aguaded Gómez JI. Validación de la escala eHealth Literacy (eHEALS) en población universitaria española [Validation of the eHealth Literacy Scale (eHEALS) in Spanish University Students]. Rev Esp Salud Publica. 2015 May-Jun;89(3):329-38</w:t>
      </w:r>
      <w:r w:rsidRPr="00415889">
        <w:rPr>
          <w:rFonts w:ascii="Times New Roman" w:hAnsi="Times New Roman"/>
          <w:sz w:val="20"/>
          <w:szCs w:val="18"/>
          <w:lang w:val="en-GB"/>
        </w:rPr>
        <w:t xml:space="preserve">. </w:t>
      </w:r>
      <w:hyperlink r:id="rId8" w:history="1">
        <w:r w:rsidRPr="00415889">
          <w:rPr>
            <w:rStyle w:val="Lienhypertexte"/>
            <w:rFonts w:ascii="Times New Roman" w:hAnsi="Times New Roman"/>
            <w:sz w:val="20"/>
            <w:szCs w:val="18"/>
            <w:lang w:val="en-GB"/>
          </w:rPr>
          <w:t>https://doi.org/10.4321/S1135-57272015000300010</w:t>
        </w:r>
      </w:hyperlink>
    </w:p>
    <w:p w14:paraId="01D9CC7C" w14:textId="1086720B" w:rsidR="00415889"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en-GB"/>
        </w:rPr>
        <w:t xml:space="preserve">Nguyen J, Moorhouse M, Curbow B, Christie J, Walsh-Childers K, Islam S. Construct Validity of the eHealth Literacy Scale (eHEALS) Among Two Adult Populations: A Rasch Analysis. JMIR Public Health Surveill. 2016 May 20;2(1):e24. </w:t>
      </w:r>
      <w:hyperlink r:id="rId9" w:history="1">
        <w:r w:rsidRPr="00415889">
          <w:rPr>
            <w:rStyle w:val="Lienhypertexte"/>
            <w:rFonts w:ascii="Times New Roman" w:hAnsi="Times New Roman"/>
            <w:sz w:val="20"/>
            <w:szCs w:val="18"/>
            <w:lang w:val="en-GB"/>
          </w:rPr>
          <w:t>https://doi.org/10.2196/publichealth.4967</w:t>
        </w:r>
      </w:hyperlink>
    </w:p>
    <w:p w14:paraId="2EA42148" w14:textId="17D1E4D5" w:rsidR="00415889" w:rsidRDefault="00415889" w:rsidP="00FE7354">
      <w:pPr>
        <w:numPr>
          <w:ilvl w:val="0"/>
          <w:numId w:val="1"/>
        </w:numPr>
        <w:ind w:left="567"/>
        <w:contextualSpacing/>
        <w:rPr>
          <w:rFonts w:ascii="Times New Roman" w:hAnsi="Times New Roman"/>
          <w:sz w:val="20"/>
          <w:szCs w:val="18"/>
          <w:lang w:val="en-US"/>
        </w:rPr>
      </w:pPr>
      <w:r w:rsidRPr="00415889">
        <w:rPr>
          <w:rFonts w:ascii="Times New Roman" w:hAnsi="Times New Roman"/>
          <w:sz w:val="20"/>
          <w:szCs w:val="18"/>
          <w:lang w:val="en-US"/>
        </w:rPr>
        <w:t>Paige SR, Krieger JL, Stellefson M, Alber JM. eHealth literacy in chronic disease patients: An item response theory analysis of the eHealth literacy scale (eHEALS). Patient Educ Couns. 2017 Feb;100(2):320-326</w:t>
      </w:r>
      <w:r w:rsidRPr="00415889">
        <w:rPr>
          <w:rFonts w:ascii="Times New Roman" w:hAnsi="Times New Roman"/>
          <w:sz w:val="20"/>
          <w:szCs w:val="18"/>
          <w:lang w:val="en-GB"/>
        </w:rPr>
        <w:t xml:space="preserve">. </w:t>
      </w:r>
      <w:hyperlink r:id="rId10" w:history="1">
        <w:r w:rsidRPr="00415889">
          <w:rPr>
            <w:rStyle w:val="Lienhypertexte"/>
            <w:rFonts w:ascii="Times New Roman" w:hAnsi="Times New Roman"/>
            <w:sz w:val="20"/>
            <w:szCs w:val="18"/>
            <w:lang w:val="en-GB"/>
          </w:rPr>
          <w:t>https://doi.org/10.1016/j.pec.2016.09.008</w:t>
        </w:r>
      </w:hyperlink>
    </w:p>
    <w:p w14:paraId="0D438CEB" w14:textId="5566BBE5" w:rsidR="00415889"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Stellefson M, Paige SR, Tennant B, Alber JM, Chaney BH, Chaney D, Grossman S. Reliability and Validity of the Telephone-Based eHealth Literacy Scale Among Older Adults: Cross-Sectional Survey. J Med Internet Res. 2017 Oct 26;19(10):e362. </w:t>
      </w:r>
      <w:hyperlink r:id="rId11" w:history="1">
        <w:r w:rsidRPr="00AF6927">
          <w:rPr>
            <w:rStyle w:val="Lienhypertexte"/>
            <w:rFonts w:ascii="Times New Roman" w:hAnsi="Times New Roman"/>
            <w:sz w:val="20"/>
            <w:szCs w:val="18"/>
            <w:lang w:val="en-GB"/>
          </w:rPr>
          <w:t>https://doi.org/10.2196/jmir.8481</w:t>
        </w:r>
      </w:hyperlink>
    </w:p>
    <w:p w14:paraId="1FCDD216" w14:textId="35C2338A"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de-DE"/>
        </w:rPr>
        <w:t xml:space="preserve">Diviani N, Dima AL, Schulz PJ. </w:t>
      </w:r>
      <w:r w:rsidRPr="00AF6927">
        <w:rPr>
          <w:rFonts w:ascii="Times New Roman" w:hAnsi="Times New Roman"/>
          <w:sz w:val="20"/>
          <w:szCs w:val="18"/>
          <w:lang w:val="en-GB"/>
        </w:rPr>
        <w:t xml:space="preserve">A Psychometric Analysis of the Italian Version of the eHealth Literacy Scale Using Item Response and Classical Test Theory Methods. </w:t>
      </w:r>
      <w:r w:rsidRPr="00AF6927">
        <w:rPr>
          <w:rFonts w:ascii="Times New Roman" w:hAnsi="Times New Roman"/>
          <w:sz w:val="20"/>
          <w:szCs w:val="18"/>
          <w:lang w:val="de-DE"/>
        </w:rPr>
        <w:t>J Med Internet Res. 2017 Apr 11;19(4):e114</w:t>
      </w:r>
      <w:r w:rsidRPr="00AF6927">
        <w:rPr>
          <w:rFonts w:ascii="Times New Roman" w:hAnsi="Times New Roman"/>
          <w:sz w:val="20"/>
          <w:szCs w:val="18"/>
          <w:lang w:val="en-GB"/>
        </w:rPr>
        <w:t xml:space="preserve">. </w:t>
      </w:r>
      <w:hyperlink r:id="rId12" w:history="1">
        <w:r w:rsidRPr="00AF6927">
          <w:rPr>
            <w:rStyle w:val="Lienhypertexte"/>
            <w:rFonts w:ascii="Times New Roman" w:hAnsi="Times New Roman"/>
            <w:sz w:val="20"/>
            <w:szCs w:val="18"/>
            <w:lang w:val="en-GB"/>
          </w:rPr>
          <w:t>https://doi.org/10.2196/jmir.6749</w:t>
        </w:r>
      </w:hyperlink>
    </w:p>
    <w:p w14:paraId="658C76F4" w14:textId="008B3DC2"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de-DE"/>
        </w:rPr>
        <w:t xml:space="preserve">Chung S, Park BK, Nahm ES. </w:t>
      </w:r>
      <w:r w:rsidRPr="00AF6927">
        <w:rPr>
          <w:rFonts w:ascii="Times New Roman" w:hAnsi="Times New Roman"/>
          <w:sz w:val="20"/>
          <w:szCs w:val="18"/>
          <w:lang w:val="en-GB"/>
        </w:rPr>
        <w:t xml:space="preserve">The Korean eHealth Literacy Scale (K-eHEALS): Reliability and Validity Testing in Younger Adults Recruited Online. </w:t>
      </w:r>
      <w:r w:rsidRPr="00AF6927">
        <w:rPr>
          <w:rFonts w:ascii="Times New Roman" w:hAnsi="Times New Roman"/>
          <w:sz w:val="20"/>
          <w:szCs w:val="18"/>
          <w:lang w:val="de-DE"/>
        </w:rPr>
        <w:t>J Med Internet Res. 2018 Apr 20;20(4):e138</w:t>
      </w:r>
      <w:r w:rsidRPr="00AF6927">
        <w:rPr>
          <w:rFonts w:ascii="Times New Roman" w:hAnsi="Times New Roman"/>
          <w:sz w:val="20"/>
          <w:szCs w:val="18"/>
          <w:lang w:val="en-GB"/>
        </w:rPr>
        <w:t xml:space="preserve">. </w:t>
      </w:r>
      <w:hyperlink r:id="rId13" w:history="1">
        <w:r w:rsidRPr="00AF6927">
          <w:rPr>
            <w:rStyle w:val="Lienhypertexte"/>
            <w:rFonts w:ascii="Times New Roman" w:hAnsi="Times New Roman"/>
            <w:sz w:val="20"/>
            <w:szCs w:val="18"/>
            <w:lang w:val="en-GB"/>
          </w:rPr>
          <w:t>https://doi.org/10.2196/jmir.8759</w:t>
        </w:r>
      </w:hyperlink>
    </w:p>
    <w:p w14:paraId="54EBAA2E" w14:textId="60B91AE2"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Del Giudice P, Bravo G, Poletto M, De Odorico A, Conte A, Brunelli L, Arnoldo L, Brusaferro S. Correlation Between eHealth Literacy and Health Literacy Using the eHealth Literacy Scale and Real-Life Experiences in the Health Sector as a Proxy Measure of Functional Health Literacy: Cross-Sectional Web-Based Survey. J Med Internet Res. 2018 Oct 31;20(10):e281. </w:t>
      </w:r>
      <w:hyperlink r:id="rId14" w:history="1">
        <w:r w:rsidRPr="00AF6927">
          <w:rPr>
            <w:rStyle w:val="Lienhypertexte"/>
            <w:rFonts w:ascii="Times New Roman" w:hAnsi="Times New Roman"/>
            <w:sz w:val="20"/>
            <w:szCs w:val="18"/>
            <w:lang w:val="en-GB"/>
          </w:rPr>
          <w:t>https://doi.org/10.2196/jmir.9401</w:t>
        </w:r>
      </w:hyperlink>
    </w:p>
    <w:p w14:paraId="451FAFC9" w14:textId="404629D1"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Chang A, Schulz PJ. The Measurements and an Elaborated Understanding of Chinese eHealth Literacy (C-eHEALS) in Chronic Patients in China. </w:t>
      </w:r>
      <w:r w:rsidRPr="00AF6927">
        <w:rPr>
          <w:rFonts w:ascii="Times New Roman" w:hAnsi="Times New Roman"/>
          <w:sz w:val="20"/>
          <w:szCs w:val="18"/>
          <w:lang w:val="de-DE"/>
        </w:rPr>
        <w:t>Int J Environ Res Public Health. 2018 Jul 23;15(7):1553</w:t>
      </w:r>
      <w:r w:rsidRPr="00AF6927">
        <w:rPr>
          <w:rFonts w:ascii="Times New Roman" w:hAnsi="Times New Roman"/>
          <w:sz w:val="20"/>
          <w:szCs w:val="18"/>
          <w:lang w:val="en-GB"/>
        </w:rPr>
        <w:t xml:space="preserve">. </w:t>
      </w:r>
      <w:hyperlink r:id="rId15" w:history="1">
        <w:r w:rsidRPr="00AF6927">
          <w:rPr>
            <w:rStyle w:val="Lienhypertexte"/>
            <w:rFonts w:ascii="Times New Roman" w:hAnsi="Times New Roman"/>
            <w:sz w:val="20"/>
            <w:szCs w:val="18"/>
            <w:lang w:val="en-GB"/>
          </w:rPr>
          <w:t>https://doi.org/10.3390/ijerph15071553</w:t>
        </w:r>
      </w:hyperlink>
    </w:p>
    <w:p w14:paraId="0076F258" w14:textId="45A5FCF6"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Duplaga M, Sobecka K, Wójcik S. The Reliability and Validity of the Telephone-Based and Online Polish eHealth Literacy Scale Based on Two Nationally Representative Samples. Int J Environ Res Public Health. 2019 Sep 3;16(17):3216. </w:t>
      </w:r>
      <w:hyperlink r:id="rId16" w:history="1">
        <w:r w:rsidRPr="00AF6927">
          <w:rPr>
            <w:rStyle w:val="Lienhypertexte"/>
            <w:rFonts w:ascii="Times New Roman" w:hAnsi="Times New Roman"/>
            <w:sz w:val="20"/>
            <w:szCs w:val="18"/>
            <w:lang w:val="en-GB"/>
          </w:rPr>
          <w:t>https://doi.org/10.3390/ijerph16173216</w:t>
        </w:r>
      </w:hyperlink>
    </w:p>
    <w:p w14:paraId="524FBDAB" w14:textId="3B495BE7"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Ma Z, Wu M. The Psychometric Properties of the Chinese eHealth Literacy Scale (C-eHEALS) in a Chinese Rural Population: Cross-Sectional Validation Study. J Med Internet Res. 2019 Oct 22;21(10):e15720. </w:t>
      </w:r>
      <w:hyperlink r:id="rId17" w:history="1">
        <w:r w:rsidRPr="00AF6927">
          <w:rPr>
            <w:rStyle w:val="Lienhypertexte"/>
            <w:rFonts w:ascii="Times New Roman" w:hAnsi="Times New Roman"/>
            <w:sz w:val="20"/>
            <w:szCs w:val="18"/>
            <w:lang w:val="en-GB"/>
          </w:rPr>
          <w:t>https://doi.org/10.2196/15720</w:t>
        </w:r>
      </w:hyperlink>
    </w:p>
    <w:p w14:paraId="56309F8F" w14:textId="41EA4EC5"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US"/>
        </w:rPr>
        <w:t>Zrubka Z, Hajdu O, Rencz F, Baji P, Gulácsi L, Péntek M. Psychometric properties of the Hungarian version of the eHealth Literacy Scale. Eur J Health Econ. 2019 Jun;20(Suppl 1):57–69</w:t>
      </w:r>
      <w:r w:rsidRPr="00AF6927">
        <w:rPr>
          <w:rFonts w:ascii="Times New Roman" w:hAnsi="Times New Roman"/>
          <w:sz w:val="20"/>
          <w:szCs w:val="18"/>
          <w:lang w:val="en-GB"/>
        </w:rPr>
        <w:t xml:space="preserve">. </w:t>
      </w:r>
      <w:hyperlink r:id="rId18" w:history="1">
        <w:r w:rsidRPr="00AF6927">
          <w:rPr>
            <w:rStyle w:val="Lienhypertexte"/>
            <w:rFonts w:ascii="Times New Roman" w:hAnsi="Times New Roman"/>
            <w:sz w:val="20"/>
            <w:szCs w:val="18"/>
            <w:lang w:val="en-GB"/>
          </w:rPr>
          <w:t>https://doi.org/10.1007/s10198-019-01062-1</w:t>
        </w:r>
      </w:hyperlink>
    </w:p>
    <w:p w14:paraId="4B45062F" w14:textId="2D3E8FB1" w:rsidR="00AF6927" w:rsidRDefault="00AF6927" w:rsidP="00FE7354">
      <w:pPr>
        <w:numPr>
          <w:ilvl w:val="0"/>
          <w:numId w:val="1"/>
        </w:numPr>
        <w:ind w:left="567"/>
        <w:contextualSpacing/>
        <w:rPr>
          <w:rFonts w:ascii="Times New Roman" w:hAnsi="Times New Roman"/>
          <w:sz w:val="20"/>
          <w:szCs w:val="18"/>
          <w:lang w:val="en-US"/>
        </w:rPr>
      </w:pPr>
      <w:r w:rsidRPr="00AF6927">
        <w:rPr>
          <w:rFonts w:ascii="Times New Roman" w:hAnsi="Times New Roman"/>
          <w:sz w:val="20"/>
          <w:szCs w:val="18"/>
          <w:lang w:val="en-GB"/>
        </w:rPr>
        <w:t xml:space="preserve">Lin CY, Broström A, Griffiths MD, Pakpour AH. Psychometric Evaluation of the Persian eHealth Literacy Scale (eHEALS) Among Elder Iranians With Heart Failure. Eval Health Prof. 2020 Dec;43(4):222–229. </w:t>
      </w:r>
      <w:hyperlink r:id="rId19" w:history="1">
        <w:r w:rsidRPr="00AF6927">
          <w:rPr>
            <w:rStyle w:val="Lienhypertexte"/>
            <w:rFonts w:ascii="Times New Roman" w:hAnsi="Times New Roman"/>
            <w:sz w:val="20"/>
            <w:szCs w:val="18"/>
            <w:lang w:val="en-GB"/>
          </w:rPr>
          <w:t>https://doi.org/10.1177/0163278719827997</w:t>
        </w:r>
      </w:hyperlink>
    </w:p>
    <w:p w14:paraId="3EA64EB0" w14:textId="6A0DB75D"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Juvalta S, Kerry MJ, Jaks R, Baumann I, Dratva J. Electronic Health Literacy in Swiss-German Parents: Cross-Sectional Study of eHealth Literacy Scale Unidimensionality. J Med Internet Res. 2020 Mar 13;22(3):e14492</w:t>
      </w:r>
      <w:r w:rsidRPr="00B0291E">
        <w:rPr>
          <w:rFonts w:ascii="Times New Roman" w:hAnsi="Times New Roman"/>
          <w:sz w:val="20"/>
          <w:szCs w:val="18"/>
          <w:lang w:val="en-US"/>
        </w:rPr>
        <w:t xml:space="preserve">. </w:t>
      </w:r>
      <w:hyperlink r:id="rId20" w:history="1">
        <w:r w:rsidRPr="00B0291E">
          <w:rPr>
            <w:rStyle w:val="Lienhypertexte"/>
            <w:rFonts w:ascii="Times New Roman" w:hAnsi="Times New Roman"/>
            <w:sz w:val="20"/>
            <w:szCs w:val="18"/>
            <w:lang w:val="en-US"/>
          </w:rPr>
          <w:t>https://doi.org/10.2196/14492</w:t>
        </w:r>
      </w:hyperlink>
    </w:p>
    <w:p w14:paraId="48B590C7" w14:textId="78408F17"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 xml:space="preserve">Wångdahl J, Jaensson M, Dahlberg K, Nilsson U. The Swedish Version of the Electronic Health Literacy Scale: Prospective Psychometric Evaluation Study Including Thresholds Levels. </w:t>
      </w:r>
      <w:r w:rsidRPr="00B0291E">
        <w:rPr>
          <w:rFonts w:ascii="Times New Roman" w:hAnsi="Times New Roman"/>
          <w:sz w:val="20"/>
          <w:szCs w:val="18"/>
          <w:lang w:val="de-DE"/>
        </w:rPr>
        <w:t>JMIR Mhealth Uhealth. 2020 Feb 24;8(2):e16316</w:t>
      </w:r>
      <w:r w:rsidRPr="00B0291E">
        <w:rPr>
          <w:rFonts w:ascii="Times New Roman" w:hAnsi="Times New Roman"/>
          <w:sz w:val="20"/>
          <w:szCs w:val="18"/>
          <w:lang w:val="en-US"/>
        </w:rPr>
        <w:t xml:space="preserve">. </w:t>
      </w:r>
      <w:hyperlink r:id="rId21" w:history="1">
        <w:r w:rsidRPr="00B0291E">
          <w:rPr>
            <w:rStyle w:val="Lienhypertexte"/>
            <w:rFonts w:ascii="Times New Roman" w:hAnsi="Times New Roman"/>
            <w:sz w:val="20"/>
            <w:szCs w:val="18"/>
            <w:lang w:val="en-US"/>
          </w:rPr>
          <w:t>https://doi.org/10.2196/16316</w:t>
        </w:r>
      </w:hyperlink>
    </w:p>
    <w:p w14:paraId="50E467CA" w14:textId="41926887"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 xml:space="preserve">Soellner R, Huber S, Reder M. The concept of eHealth literacy and its measurement: German translation of the eHEALS. </w:t>
      </w:r>
      <w:r w:rsidRPr="00B0291E">
        <w:rPr>
          <w:rFonts w:ascii="Times New Roman" w:hAnsi="Times New Roman"/>
          <w:sz w:val="20"/>
          <w:szCs w:val="18"/>
          <w:lang w:val="de-DE"/>
        </w:rPr>
        <w:t>Journal of Media Psychology. 2014;26(1):29–38</w:t>
      </w:r>
      <w:r w:rsidRPr="00B0291E">
        <w:rPr>
          <w:rFonts w:ascii="Times New Roman" w:hAnsi="Times New Roman"/>
          <w:sz w:val="20"/>
          <w:szCs w:val="18"/>
          <w:lang w:val="en-US"/>
        </w:rPr>
        <w:t xml:space="preserve">. </w:t>
      </w:r>
      <w:hyperlink r:id="rId22" w:history="1">
        <w:r w:rsidRPr="00B0291E">
          <w:rPr>
            <w:rStyle w:val="Lienhypertexte"/>
            <w:rFonts w:ascii="Times New Roman" w:hAnsi="Times New Roman"/>
            <w:sz w:val="20"/>
            <w:szCs w:val="18"/>
            <w:lang w:val="en-US"/>
          </w:rPr>
          <w:t>https://doi.org/10.1027/1864-1105/a000104</w:t>
        </w:r>
      </w:hyperlink>
    </w:p>
    <w:p w14:paraId="4139ABDA" w14:textId="2665D68E"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 xml:space="preserve">Neter E, Brainin E, Baron-Epel O. The dimensionality of health literacy and eHealth literacy. The European Health Psychologist. 2015;17(6):275–280. </w:t>
      </w:r>
      <w:hyperlink r:id="rId23" w:history="1">
        <w:r w:rsidRPr="00B0291E">
          <w:rPr>
            <w:rStyle w:val="Lienhypertexte"/>
            <w:rFonts w:ascii="Times New Roman" w:hAnsi="Times New Roman"/>
            <w:sz w:val="20"/>
            <w:szCs w:val="18"/>
            <w:lang w:val="en-US"/>
          </w:rPr>
          <w:t>https://www.ehps.net/ehp/index.php/contents/article/view/824/pdf_100</w:t>
        </w:r>
      </w:hyperlink>
    </w:p>
    <w:p w14:paraId="1575DA2C" w14:textId="46409FDA"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US"/>
        </w:rPr>
        <w:t xml:space="preserve">Efthymiou A, Middleton N, Charalambous A, Papastavrou E. Adapting the eHealth Literacy Scale for Carers of People With Chronic Diseases (eHeals-Carer) in a Sample of Greek and Cypriot Carers of People With Dementia: Reliability and Validation Study. J Med Internet Res. 2019 Nov 28;21(11):e12504. </w:t>
      </w:r>
      <w:hyperlink r:id="rId24" w:history="1">
        <w:r w:rsidRPr="00B0291E">
          <w:rPr>
            <w:rStyle w:val="Lienhypertexte"/>
            <w:rFonts w:ascii="Times New Roman" w:hAnsi="Times New Roman"/>
            <w:sz w:val="20"/>
            <w:szCs w:val="18"/>
            <w:lang w:val="en-US"/>
          </w:rPr>
          <w:t>https://doi.org/10.2196/12504</w:t>
        </w:r>
      </w:hyperlink>
    </w:p>
    <w:p w14:paraId="6D32F1B9" w14:textId="253FA402"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 xml:space="preserve">Dale JG, Lüthi A, Fundingsland Skaraas B, Rundereim T, Dale B. Testing Measurement Properties of the Norwegian Version of Electronic Health Literacy Scale (eHEALS) in a Group of Day Surgery Patients. </w:t>
      </w:r>
      <w:r w:rsidRPr="00B0291E">
        <w:rPr>
          <w:rFonts w:ascii="Times New Roman" w:hAnsi="Times New Roman"/>
          <w:sz w:val="20"/>
          <w:szCs w:val="18"/>
          <w:lang w:val="de-CH"/>
        </w:rPr>
        <w:t>J Multidiscip Healthc. 2020 Mar 9;13:241–247</w:t>
      </w:r>
      <w:r w:rsidRPr="00B0291E">
        <w:rPr>
          <w:rFonts w:ascii="Times New Roman" w:hAnsi="Times New Roman"/>
          <w:sz w:val="20"/>
          <w:szCs w:val="18"/>
          <w:lang w:val="en-GB"/>
        </w:rPr>
        <w:t xml:space="preserve">. </w:t>
      </w:r>
      <w:hyperlink r:id="rId25" w:history="1">
        <w:r w:rsidRPr="00B0291E">
          <w:rPr>
            <w:rStyle w:val="Lienhypertexte"/>
            <w:rFonts w:ascii="Times New Roman" w:hAnsi="Times New Roman"/>
            <w:sz w:val="20"/>
            <w:szCs w:val="18"/>
            <w:lang w:val="en-GB"/>
          </w:rPr>
          <w:t>https://doi.org/10.2147/JMDH.S242985</w:t>
        </w:r>
      </w:hyperlink>
    </w:p>
    <w:p w14:paraId="2B55A651" w14:textId="692D5248" w:rsidR="00B0291E" w:rsidRDefault="00B0291E" w:rsidP="00FE7354">
      <w:pPr>
        <w:numPr>
          <w:ilvl w:val="0"/>
          <w:numId w:val="1"/>
        </w:numPr>
        <w:ind w:left="567"/>
        <w:contextualSpacing/>
        <w:rPr>
          <w:rFonts w:ascii="Times New Roman" w:hAnsi="Times New Roman"/>
          <w:sz w:val="20"/>
          <w:szCs w:val="18"/>
          <w:lang w:val="en-US"/>
        </w:rPr>
      </w:pPr>
      <w:r w:rsidRPr="00B0291E">
        <w:rPr>
          <w:rFonts w:ascii="Times New Roman" w:hAnsi="Times New Roman"/>
          <w:sz w:val="20"/>
          <w:szCs w:val="18"/>
          <w:lang w:val="en-GB"/>
        </w:rPr>
        <w:t xml:space="preserve">Shiferaw KB. Validation of the Ethiopian Version of eHealth Literacy Scale (ET-eHEALS) in a Population with Chronic Disease. Risk Manag Healthc Policy. 2020 May 21;13:465-471. </w:t>
      </w:r>
      <w:hyperlink r:id="rId26" w:history="1">
        <w:r w:rsidRPr="00B0291E">
          <w:rPr>
            <w:rStyle w:val="Lienhypertexte"/>
            <w:rFonts w:ascii="Times New Roman" w:hAnsi="Times New Roman"/>
            <w:sz w:val="20"/>
            <w:szCs w:val="18"/>
            <w:lang w:val="en-GB"/>
          </w:rPr>
          <w:t>https://doi.org/10.2147/RMHP.S240829</w:t>
        </w:r>
      </w:hyperlink>
    </w:p>
    <w:p w14:paraId="3885D797" w14:textId="27E70485" w:rsidR="00B0291E" w:rsidRDefault="00E472E8" w:rsidP="00FE7354">
      <w:pPr>
        <w:numPr>
          <w:ilvl w:val="0"/>
          <w:numId w:val="1"/>
        </w:numPr>
        <w:ind w:left="567"/>
        <w:contextualSpacing/>
        <w:rPr>
          <w:rFonts w:ascii="Times New Roman" w:hAnsi="Times New Roman"/>
          <w:sz w:val="20"/>
          <w:szCs w:val="18"/>
          <w:lang w:val="de-DE"/>
        </w:rPr>
      </w:pPr>
      <w:r w:rsidRPr="00E472E8">
        <w:rPr>
          <w:rFonts w:ascii="Times New Roman" w:hAnsi="Times New Roman"/>
          <w:sz w:val="20"/>
          <w:szCs w:val="18"/>
          <w:lang w:val="en-GB"/>
        </w:rPr>
        <w:t xml:space="preserve">Sudbury-Riley L, FitzPatrick M, Schulz PJ. Exploring the Measurement Properties of the eHealth Literacy Scale (eHEALS) Among Baby Boomers: A Multinational Test of Measurement Invariance. </w:t>
      </w:r>
      <w:r w:rsidRPr="00E472E8">
        <w:rPr>
          <w:rFonts w:ascii="Times New Roman" w:hAnsi="Times New Roman"/>
          <w:sz w:val="20"/>
          <w:szCs w:val="18"/>
          <w:lang w:val="de-DE"/>
        </w:rPr>
        <w:t xml:space="preserve">J Med Internet Res. 2017 Feb 27;19(2):e53. </w:t>
      </w:r>
      <w:hyperlink r:id="rId27" w:history="1">
        <w:r w:rsidRPr="00E472E8">
          <w:rPr>
            <w:rStyle w:val="Lienhypertexte"/>
            <w:rFonts w:ascii="Times New Roman" w:hAnsi="Times New Roman"/>
            <w:sz w:val="20"/>
            <w:szCs w:val="18"/>
            <w:lang w:val="de-DE"/>
          </w:rPr>
          <w:t>https://doi.org/10.2196/jmir.5998</w:t>
        </w:r>
      </w:hyperlink>
    </w:p>
    <w:p w14:paraId="06B24D8F" w14:textId="738CF052" w:rsidR="00E472E8" w:rsidRDefault="00E472E8" w:rsidP="00FE7354">
      <w:pPr>
        <w:numPr>
          <w:ilvl w:val="0"/>
          <w:numId w:val="1"/>
        </w:numPr>
        <w:ind w:left="567"/>
        <w:contextualSpacing/>
        <w:rPr>
          <w:rFonts w:ascii="Times New Roman" w:hAnsi="Times New Roman"/>
          <w:sz w:val="20"/>
          <w:szCs w:val="18"/>
          <w:lang w:val="de-DE"/>
        </w:rPr>
      </w:pPr>
      <w:r w:rsidRPr="00E472E8">
        <w:rPr>
          <w:rFonts w:ascii="Times New Roman" w:hAnsi="Times New Roman"/>
          <w:sz w:val="20"/>
          <w:szCs w:val="18"/>
          <w:lang w:val="en-GB"/>
        </w:rPr>
        <w:t xml:space="preserve">Hyde LL, Boyes AW, Evans TJ, Mackenzie LJ, Sanson-Fisher R. Three-Factor Structure of the eHealth Literacy Scale Among Magnetic Resonance Imaging and Computed Tomography Outpatients: A Confirmatory Factor Analysis. JMIR Hum Factors. 2018 Feb 19;5(1):e6. </w:t>
      </w:r>
      <w:hyperlink r:id="rId28" w:history="1">
        <w:r w:rsidRPr="00E472E8">
          <w:rPr>
            <w:rStyle w:val="Lienhypertexte"/>
            <w:rFonts w:ascii="Times New Roman" w:hAnsi="Times New Roman"/>
            <w:sz w:val="20"/>
            <w:szCs w:val="18"/>
            <w:lang w:val="en-GB"/>
          </w:rPr>
          <w:t>https://doi.org/10.2196/humanfactors.9039</w:t>
        </w:r>
      </w:hyperlink>
    </w:p>
    <w:p w14:paraId="49299EF4" w14:textId="0AF35791" w:rsidR="00E472E8" w:rsidRDefault="00E472E8" w:rsidP="00FE7354">
      <w:pPr>
        <w:numPr>
          <w:ilvl w:val="0"/>
          <w:numId w:val="1"/>
        </w:numPr>
        <w:ind w:left="567"/>
        <w:contextualSpacing/>
        <w:rPr>
          <w:rFonts w:ascii="Times New Roman" w:hAnsi="Times New Roman"/>
          <w:sz w:val="20"/>
          <w:szCs w:val="18"/>
          <w:lang w:val="de-DE"/>
        </w:rPr>
      </w:pPr>
      <w:r w:rsidRPr="00E472E8">
        <w:rPr>
          <w:rFonts w:ascii="Times New Roman" w:hAnsi="Times New Roman"/>
          <w:sz w:val="20"/>
          <w:szCs w:val="18"/>
          <w:lang w:val="en-GB"/>
        </w:rPr>
        <w:t xml:space="preserve">Paige SR, Stellefson M, Krieger JL, Anderson-Lewis C, Cheong J, Stopka C. Proposing a Transactional Model of eHealth Literacy: Concept Analysis. </w:t>
      </w:r>
      <w:r w:rsidRPr="00E472E8">
        <w:rPr>
          <w:rFonts w:ascii="Times New Roman" w:hAnsi="Times New Roman"/>
          <w:sz w:val="20"/>
          <w:szCs w:val="18"/>
          <w:lang w:val="de-DE"/>
        </w:rPr>
        <w:t>J Med Internet Res. 2018 Oct 2;20(10):e10175</w:t>
      </w:r>
      <w:r w:rsidRPr="00E472E8">
        <w:rPr>
          <w:rFonts w:ascii="Times New Roman" w:hAnsi="Times New Roman"/>
          <w:sz w:val="20"/>
          <w:szCs w:val="18"/>
          <w:lang w:val="en-GB"/>
        </w:rPr>
        <w:t xml:space="preserve">. </w:t>
      </w:r>
      <w:hyperlink r:id="rId29" w:history="1">
        <w:r w:rsidRPr="00E472E8">
          <w:rPr>
            <w:rStyle w:val="Lienhypertexte"/>
            <w:rFonts w:ascii="Times New Roman" w:hAnsi="Times New Roman"/>
            <w:sz w:val="20"/>
            <w:szCs w:val="18"/>
            <w:lang w:val="de-CH"/>
          </w:rPr>
          <w:t>https://doi.org/10.2196/10175</w:t>
        </w:r>
      </w:hyperlink>
    </w:p>
    <w:p w14:paraId="3B4AC147" w14:textId="3B8EAEC6" w:rsidR="00E472E8" w:rsidRDefault="00E472E8" w:rsidP="00FE7354">
      <w:pPr>
        <w:numPr>
          <w:ilvl w:val="0"/>
          <w:numId w:val="1"/>
        </w:numPr>
        <w:ind w:left="567"/>
        <w:contextualSpacing/>
        <w:rPr>
          <w:rFonts w:ascii="Times New Roman" w:hAnsi="Times New Roman"/>
          <w:sz w:val="20"/>
          <w:szCs w:val="18"/>
          <w:lang w:val="en-GB"/>
        </w:rPr>
      </w:pPr>
      <w:r w:rsidRPr="00E472E8">
        <w:rPr>
          <w:rFonts w:ascii="Times New Roman" w:hAnsi="Times New Roman"/>
          <w:sz w:val="20"/>
          <w:szCs w:val="18"/>
          <w:lang w:val="en-GB"/>
        </w:rPr>
        <w:t>M-POHL</w:t>
      </w:r>
      <w:r w:rsidRPr="00E472E8">
        <w:rPr>
          <w:rFonts w:ascii="Times New Roman" w:hAnsi="Times New Roman"/>
          <w:sz w:val="20"/>
          <w:szCs w:val="18"/>
          <w:lang w:val="en-US"/>
        </w:rPr>
        <w:t>. International Report on the Methodology, Results, and Recommendations of the European Health Literacy Population Survey 2019-2021 (HLS</w:t>
      </w:r>
      <w:r w:rsidRPr="00E472E8">
        <w:rPr>
          <w:rFonts w:ascii="Times New Roman" w:hAnsi="Times New Roman"/>
          <w:sz w:val="20"/>
          <w:szCs w:val="18"/>
          <w:vertAlign w:val="subscript"/>
          <w:lang w:val="en-US"/>
        </w:rPr>
        <w:t>19</w:t>
      </w:r>
      <w:r w:rsidRPr="00E472E8">
        <w:rPr>
          <w:rFonts w:ascii="Times New Roman" w:hAnsi="Times New Roman"/>
          <w:sz w:val="20"/>
          <w:szCs w:val="18"/>
          <w:lang w:val="en-US"/>
        </w:rPr>
        <w:t xml:space="preserve">) of M-POHL. Vienna: Austrian National Public Health Institute; 2021. </w:t>
      </w:r>
      <w:hyperlink r:id="rId30" w:history="1">
        <w:r w:rsidRPr="00E472E8">
          <w:rPr>
            <w:rStyle w:val="Lienhypertexte"/>
            <w:rFonts w:ascii="Times New Roman" w:hAnsi="Times New Roman"/>
            <w:sz w:val="20"/>
            <w:szCs w:val="18"/>
            <w:lang w:val="en-US"/>
          </w:rPr>
          <w:t>https://m-pohl.net/sites/m-pohl.net/files/inline-files/HLS19%20International%20Report.pdf</w:t>
        </w:r>
      </w:hyperlink>
    </w:p>
    <w:p w14:paraId="128D7FCB" w14:textId="6B84A599" w:rsidR="00E472E8" w:rsidRDefault="00E472E8" w:rsidP="00FE7354">
      <w:pPr>
        <w:numPr>
          <w:ilvl w:val="0"/>
          <w:numId w:val="1"/>
        </w:numPr>
        <w:ind w:left="567"/>
        <w:contextualSpacing/>
        <w:rPr>
          <w:rFonts w:ascii="Times New Roman" w:hAnsi="Times New Roman"/>
          <w:sz w:val="20"/>
          <w:szCs w:val="18"/>
          <w:lang w:val="en-GB"/>
        </w:rPr>
      </w:pPr>
      <w:r w:rsidRPr="00E472E8">
        <w:rPr>
          <w:rFonts w:ascii="Times New Roman" w:hAnsi="Times New Roman"/>
          <w:sz w:val="20"/>
          <w:szCs w:val="18"/>
          <w:lang w:val="en-GB"/>
        </w:rPr>
        <w:t xml:space="preserve">van der Vaart R, Drossaert C. Development of the Digital Health Literacy Instrument: Measuring a Broad Spectrum of Health 1.0 and Health 2.0 Skills. </w:t>
      </w:r>
      <w:r w:rsidRPr="00E472E8">
        <w:rPr>
          <w:rFonts w:ascii="Times New Roman" w:hAnsi="Times New Roman"/>
          <w:sz w:val="20"/>
          <w:szCs w:val="18"/>
          <w:lang w:val="de-DE"/>
        </w:rPr>
        <w:t>J Med Internet Res. 2017 Jan 24;19(1):e27</w:t>
      </w:r>
      <w:r w:rsidRPr="00E472E8">
        <w:rPr>
          <w:rFonts w:ascii="Times New Roman" w:hAnsi="Times New Roman"/>
          <w:sz w:val="20"/>
          <w:szCs w:val="18"/>
          <w:lang w:val="en-US"/>
        </w:rPr>
        <w:t xml:space="preserve">. </w:t>
      </w:r>
      <w:hyperlink r:id="rId31" w:history="1">
        <w:r w:rsidRPr="00E472E8">
          <w:rPr>
            <w:rStyle w:val="Lienhypertexte"/>
            <w:rFonts w:ascii="Times New Roman" w:hAnsi="Times New Roman"/>
            <w:sz w:val="20"/>
            <w:szCs w:val="18"/>
            <w:lang w:val="en-US"/>
          </w:rPr>
          <w:t>https://doi.org/10.2196/jmir.6709</w:t>
        </w:r>
      </w:hyperlink>
    </w:p>
    <w:p w14:paraId="41162335" w14:textId="124E76E9" w:rsidR="00E472E8" w:rsidRDefault="00E472E8" w:rsidP="00FE7354">
      <w:pPr>
        <w:numPr>
          <w:ilvl w:val="0"/>
          <w:numId w:val="1"/>
        </w:numPr>
        <w:ind w:left="567"/>
        <w:contextualSpacing/>
        <w:rPr>
          <w:rFonts w:ascii="Times New Roman" w:hAnsi="Times New Roman"/>
          <w:sz w:val="20"/>
          <w:szCs w:val="18"/>
          <w:lang w:val="en-GB"/>
        </w:rPr>
      </w:pPr>
      <w:r w:rsidRPr="00E472E8">
        <w:rPr>
          <w:rFonts w:ascii="Times New Roman" w:hAnsi="Times New Roman"/>
          <w:sz w:val="20"/>
          <w:szCs w:val="18"/>
          <w:lang w:val="en-GB"/>
        </w:rPr>
        <w:t>Karnoe A, Furstrand D, Christensen KB, Norgaard O, Kayser L. Assessing Competencies Needed to Engage With Digital Health Services: Development of the eHealth Literacy Assessment Toolkit. J Med Internet Res. 2018 May 10;20(5):e178</w:t>
      </w:r>
      <w:r w:rsidRPr="00E472E8">
        <w:rPr>
          <w:rFonts w:ascii="Times New Roman" w:hAnsi="Times New Roman"/>
          <w:sz w:val="20"/>
          <w:szCs w:val="18"/>
          <w:lang w:val="en-US"/>
        </w:rPr>
        <w:t xml:space="preserve">. </w:t>
      </w:r>
      <w:hyperlink r:id="rId32" w:history="1">
        <w:r w:rsidRPr="00E472E8">
          <w:rPr>
            <w:rStyle w:val="Lienhypertexte"/>
            <w:rFonts w:ascii="Times New Roman" w:hAnsi="Times New Roman"/>
            <w:sz w:val="20"/>
            <w:szCs w:val="18"/>
            <w:lang w:val="en-US"/>
          </w:rPr>
          <w:t>https://doi.org/10.2196/jmir.8347</w:t>
        </w:r>
      </w:hyperlink>
    </w:p>
    <w:p w14:paraId="44E535E8" w14:textId="46FA8BF8" w:rsidR="00E472E8" w:rsidRDefault="00E472E8" w:rsidP="00FE7354">
      <w:pPr>
        <w:numPr>
          <w:ilvl w:val="0"/>
          <w:numId w:val="1"/>
        </w:numPr>
        <w:ind w:left="567"/>
        <w:contextualSpacing/>
        <w:rPr>
          <w:rFonts w:ascii="Times New Roman" w:hAnsi="Times New Roman"/>
          <w:sz w:val="20"/>
          <w:szCs w:val="18"/>
          <w:lang w:val="de-DE"/>
        </w:rPr>
      </w:pPr>
      <w:r w:rsidRPr="00E472E8">
        <w:rPr>
          <w:rFonts w:ascii="Times New Roman" w:hAnsi="Times New Roman"/>
          <w:sz w:val="20"/>
          <w:szCs w:val="18"/>
          <w:lang w:val="en-GB"/>
        </w:rPr>
        <w:t xml:space="preserve">Kayser L, Karnoe A, Furstrand D, Batterham R, Christensen KB, Elsworth G, Osborne RH. A Multidimensional Tool Based on the eHealth Literacy Framework: Development and Initial Validity Testing of the eHealth Literacy Questionnaire (eHLQ). </w:t>
      </w:r>
      <w:r w:rsidRPr="00E472E8">
        <w:rPr>
          <w:rFonts w:ascii="Times New Roman" w:hAnsi="Times New Roman"/>
          <w:sz w:val="20"/>
          <w:szCs w:val="18"/>
          <w:lang w:val="de-DE"/>
        </w:rPr>
        <w:t xml:space="preserve">J Med Internet Res. 2018 Feb 12;20(2):e36. </w:t>
      </w:r>
      <w:hyperlink r:id="rId33" w:history="1">
        <w:r w:rsidRPr="00E472E8">
          <w:rPr>
            <w:rStyle w:val="Lienhypertexte"/>
            <w:rFonts w:ascii="Times New Roman" w:hAnsi="Times New Roman"/>
            <w:sz w:val="20"/>
            <w:szCs w:val="18"/>
            <w:lang w:val="de-DE"/>
          </w:rPr>
          <w:t>https://doi.org/10.2196/jmir.8371</w:t>
        </w:r>
      </w:hyperlink>
    </w:p>
    <w:p w14:paraId="1E9D8869" w14:textId="1D2F4904" w:rsidR="00E472E8" w:rsidRPr="00E472E8" w:rsidRDefault="00E472E8" w:rsidP="00FE7354">
      <w:pPr>
        <w:numPr>
          <w:ilvl w:val="0"/>
          <w:numId w:val="1"/>
        </w:numPr>
        <w:ind w:left="567"/>
        <w:contextualSpacing/>
        <w:rPr>
          <w:rFonts w:ascii="Times New Roman" w:hAnsi="Times New Roman"/>
          <w:sz w:val="20"/>
          <w:szCs w:val="18"/>
          <w:lang w:val="de-DE"/>
        </w:rPr>
      </w:pPr>
      <w:r w:rsidRPr="00E472E8">
        <w:rPr>
          <w:rFonts w:ascii="Times New Roman" w:hAnsi="Times New Roman"/>
          <w:sz w:val="20"/>
          <w:szCs w:val="18"/>
          <w:lang w:val="en-GB"/>
        </w:rPr>
        <w:t xml:space="preserve">Paige SR, Stellefson M, Krieger JL, Miller MD, Cheong J, Anderson-Lewis C. Transactional eHealth Literacy: Developing and Testing a Multi-Dimensional Instrument. </w:t>
      </w:r>
      <w:r w:rsidRPr="00E472E8">
        <w:rPr>
          <w:rFonts w:ascii="Times New Roman" w:hAnsi="Times New Roman"/>
          <w:sz w:val="20"/>
          <w:szCs w:val="18"/>
          <w:lang w:val="de-DE"/>
        </w:rPr>
        <w:t>J Health Commun. 2019;24(10):737–748</w:t>
      </w:r>
      <w:r w:rsidRPr="00E472E8">
        <w:rPr>
          <w:rFonts w:ascii="Times New Roman" w:hAnsi="Times New Roman"/>
          <w:sz w:val="20"/>
          <w:szCs w:val="18"/>
          <w:lang w:val="en-GB"/>
        </w:rPr>
        <w:t xml:space="preserve">. </w:t>
      </w:r>
      <w:hyperlink r:id="rId34" w:history="1">
        <w:r w:rsidRPr="00E472E8">
          <w:rPr>
            <w:rStyle w:val="Lienhypertexte"/>
            <w:rFonts w:ascii="Times New Roman" w:hAnsi="Times New Roman"/>
            <w:sz w:val="20"/>
            <w:szCs w:val="18"/>
            <w:lang w:val="en-GB"/>
          </w:rPr>
          <w:t>https://doi.org/10.1080/10810730.2019.1666940</w:t>
        </w:r>
      </w:hyperlink>
    </w:p>
    <w:p w14:paraId="555B4E2E" w14:textId="77777777" w:rsidR="00FE7354" w:rsidRPr="00E472E8" w:rsidRDefault="00FE7354" w:rsidP="003B1C27">
      <w:pPr>
        <w:widowControl w:val="0"/>
        <w:autoSpaceDE w:val="0"/>
        <w:autoSpaceDN w:val="0"/>
        <w:spacing w:after="0" w:line="240" w:lineRule="auto"/>
        <w:contextualSpacing/>
        <w:rPr>
          <w:rFonts w:cs="Times New Roman"/>
          <w:sz w:val="22"/>
          <w:lang w:val="de-DE"/>
        </w:rPr>
      </w:pPr>
    </w:p>
    <w:sectPr w:rsidR="00FE7354" w:rsidRPr="00E472E8" w:rsidSect="00B05C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59A4"/>
    <w:multiLevelType w:val="hybridMultilevel"/>
    <w:tmpl w:val="8676CB24"/>
    <w:lvl w:ilvl="0" w:tplc="68A85498">
      <w:start w:val="1"/>
      <w:numFmt w:val="decimalZero"/>
      <w:lvlText w:val="A%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3002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3C"/>
    <w:rsid w:val="00025D9B"/>
    <w:rsid w:val="0012540F"/>
    <w:rsid w:val="003B1C27"/>
    <w:rsid w:val="003C4B2B"/>
    <w:rsid w:val="00415889"/>
    <w:rsid w:val="00455073"/>
    <w:rsid w:val="00575170"/>
    <w:rsid w:val="008B5BB8"/>
    <w:rsid w:val="008F383B"/>
    <w:rsid w:val="00AF6927"/>
    <w:rsid w:val="00B0291E"/>
    <w:rsid w:val="00B05C3C"/>
    <w:rsid w:val="00B73B8A"/>
    <w:rsid w:val="00CC3FD7"/>
    <w:rsid w:val="00CE42B0"/>
    <w:rsid w:val="00E4118B"/>
    <w:rsid w:val="00E472E8"/>
    <w:rsid w:val="00EE2061"/>
    <w:rsid w:val="00F27204"/>
    <w:rsid w:val="00FC04DA"/>
    <w:rsid w:val="00FD5C5D"/>
    <w:rsid w:val="00FE73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0AA9"/>
  <w15:chartTrackingRefBased/>
  <w15:docId w15:val="{191E23B4-074C-498B-A127-2AD73BE3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2B0"/>
    <w:pPr>
      <w:spacing w:after="120"/>
      <w:jc w:val="both"/>
    </w:pPr>
    <w:rPr>
      <w:rFonts w:ascii="Garamond" w:hAnsi="Garamond"/>
      <w:kern w:val="0"/>
      <w:sz w:val="24"/>
      <w14:ligatures w14:val="none"/>
    </w:rPr>
  </w:style>
  <w:style w:type="paragraph" w:styleId="Titre1">
    <w:name w:val="heading 1"/>
    <w:basedOn w:val="Normal"/>
    <w:next w:val="Normal"/>
    <w:link w:val="Titre1Car"/>
    <w:uiPriority w:val="9"/>
    <w:qFormat/>
    <w:rsid w:val="00B05C3C"/>
    <w:pPr>
      <w:autoSpaceDE w:val="0"/>
      <w:autoSpaceDN w:val="0"/>
      <w:adjustRightInd w:val="0"/>
      <w:spacing w:after="0" w:line="360" w:lineRule="auto"/>
      <w:outlineLvl w:val="0"/>
    </w:pPr>
    <w:rPr>
      <w:rFonts w:ascii="Times New Roman" w:hAnsi="Times New Roman" w:cs="Times New Roman"/>
      <w:b/>
      <w:color w:val="3D5C64"/>
      <w:szCs w:val="24"/>
      <w:lang w:val="en-US"/>
    </w:rPr>
  </w:style>
  <w:style w:type="paragraph" w:styleId="Titre2">
    <w:name w:val="heading 2"/>
    <w:basedOn w:val="Normal"/>
    <w:next w:val="Normal"/>
    <w:link w:val="Titre2Car"/>
    <w:uiPriority w:val="9"/>
    <w:unhideWhenUsed/>
    <w:qFormat/>
    <w:rsid w:val="00FE7354"/>
    <w:pPr>
      <w:autoSpaceDE w:val="0"/>
      <w:autoSpaceDN w:val="0"/>
      <w:adjustRightInd w:val="0"/>
      <w:spacing w:before="240" w:after="0" w:line="360" w:lineRule="auto"/>
      <w:outlineLvl w:val="1"/>
    </w:pPr>
    <w:rPr>
      <w:rFonts w:ascii="Times New Roman" w:hAnsi="Times New Roman" w:cs="Times New Roman"/>
      <w:color w:val="3D5C6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5C3C"/>
    <w:rPr>
      <w:rFonts w:ascii="Times New Roman" w:hAnsi="Times New Roman" w:cs="Times New Roman"/>
      <w:b/>
      <w:color w:val="3D5C64"/>
      <w:kern w:val="0"/>
      <w:sz w:val="24"/>
      <w:szCs w:val="24"/>
      <w:lang w:val="en-US"/>
      <w14:ligatures w14:val="none"/>
    </w:rPr>
  </w:style>
  <w:style w:type="character" w:styleId="Lienhypertexte">
    <w:name w:val="Hyperlink"/>
    <w:basedOn w:val="Policepardfaut"/>
    <w:uiPriority w:val="99"/>
    <w:unhideWhenUsed/>
    <w:rsid w:val="00B05C3C"/>
    <w:rPr>
      <w:color w:val="0563C1" w:themeColor="hyperlink"/>
      <w:u w:val="single"/>
    </w:rPr>
  </w:style>
  <w:style w:type="table" w:styleId="Grilledutableau">
    <w:name w:val="Table Grid"/>
    <w:basedOn w:val="TableauNormal"/>
    <w:uiPriority w:val="39"/>
    <w:rsid w:val="00575170"/>
    <w:pPr>
      <w:spacing w:after="0" w:line="240" w:lineRule="auto"/>
    </w:pPr>
    <w:rPr>
      <w:kern w:val="0"/>
      <w:lang w:val="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12540F"/>
    <w:pPr>
      <w:spacing w:after="0" w:line="240" w:lineRule="auto"/>
      <w:jc w:val="both"/>
    </w:pPr>
    <w:rPr>
      <w:rFonts w:eastAsia="Malgun Gothic"/>
      <w:sz w:val="20"/>
      <w:lang w:val="en-US" w:eastAsia="ko-K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12540F"/>
  </w:style>
  <w:style w:type="character" w:customStyle="1" w:styleId="Titre2Car">
    <w:name w:val="Titre 2 Car"/>
    <w:basedOn w:val="Policepardfaut"/>
    <w:link w:val="Titre2"/>
    <w:uiPriority w:val="9"/>
    <w:rsid w:val="00FE7354"/>
    <w:rPr>
      <w:rFonts w:ascii="Times New Roman" w:hAnsi="Times New Roman" w:cs="Times New Roman"/>
      <w:color w:val="3D5C64"/>
      <w:kern w:val="0"/>
      <w:sz w:val="24"/>
      <w:szCs w:val="24"/>
      <w:lang w:val="en-US"/>
      <w14:ligatures w14:val="none"/>
    </w:rPr>
  </w:style>
  <w:style w:type="character" w:styleId="Mentionnonrsolue">
    <w:name w:val="Unresolved Mention"/>
    <w:basedOn w:val="Policepardfaut"/>
    <w:uiPriority w:val="99"/>
    <w:semiHidden/>
    <w:unhideWhenUsed/>
    <w:rsid w:val="00415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96/jmir.8759" TargetMode="External"/><Relationship Id="rId18" Type="http://schemas.openxmlformats.org/officeDocument/2006/relationships/hyperlink" Target="https://doi.org/10.1007/s10198-019-01062-1" TargetMode="External"/><Relationship Id="rId26" Type="http://schemas.openxmlformats.org/officeDocument/2006/relationships/hyperlink" Target="https://doi.org/10.2147/RMHP.S240829" TargetMode="External"/><Relationship Id="rId3" Type="http://schemas.openxmlformats.org/officeDocument/2006/relationships/settings" Target="settings.xml"/><Relationship Id="rId21" Type="http://schemas.openxmlformats.org/officeDocument/2006/relationships/hyperlink" Target="https://doi.org/10.2196/16316" TargetMode="External"/><Relationship Id="rId34" Type="http://schemas.openxmlformats.org/officeDocument/2006/relationships/hyperlink" Target="https://doi.org/10.1080/10810730.2019.1666940" TargetMode="External"/><Relationship Id="rId7" Type="http://schemas.openxmlformats.org/officeDocument/2006/relationships/hyperlink" Target="https://doi.org/10.1097/CIN.0000000000000146" TargetMode="External"/><Relationship Id="rId12" Type="http://schemas.openxmlformats.org/officeDocument/2006/relationships/hyperlink" Target="https://doi.org/10.2196/jmir.6749" TargetMode="External"/><Relationship Id="rId17" Type="http://schemas.openxmlformats.org/officeDocument/2006/relationships/hyperlink" Target="https://doi.org/10.2196/15720" TargetMode="External"/><Relationship Id="rId25" Type="http://schemas.openxmlformats.org/officeDocument/2006/relationships/hyperlink" Target="https://doi.org/10.2147/JMDH.S242985" TargetMode="External"/><Relationship Id="rId33" Type="http://schemas.openxmlformats.org/officeDocument/2006/relationships/hyperlink" Target="https://doi.org/10.2196/jmir.8371" TargetMode="External"/><Relationship Id="rId2" Type="http://schemas.openxmlformats.org/officeDocument/2006/relationships/styles" Target="styles.xml"/><Relationship Id="rId16" Type="http://schemas.openxmlformats.org/officeDocument/2006/relationships/hyperlink" Target="https://doi.org/10.3390/ijerph16173216" TargetMode="External"/><Relationship Id="rId20" Type="http://schemas.openxmlformats.org/officeDocument/2006/relationships/hyperlink" Target="https://doi.org/10.2196/14492" TargetMode="External"/><Relationship Id="rId29" Type="http://schemas.openxmlformats.org/officeDocument/2006/relationships/hyperlink" Target="https://doi.org/10.2196/10175" TargetMode="External"/><Relationship Id="rId1" Type="http://schemas.openxmlformats.org/officeDocument/2006/relationships/numbering" Target="numbering.xml"/><Relationship Id="rId6" Type="http://schemas.openxmlformats.org/officeDocument/2006/relationships/hyperlink" Target="https://doi.org/10.2196/jmir.1840" TargetMode="External"/><Relationship Id="rId11" Type="http://schemas.openxmlformats.org/officeDocument/2006/relationships/hyperlink" Target="https://doi.org/10.2196/jmir.8481" TargetMode="External"/><Relationship Id="rId24" Type="http://schemas.openxmlformats.org/officeDocument/2006/relationships/hyperlink" Target="https://doi.org/10.2196/12504" TargetMode="External"/><Relationship Id="rId32" Type="http://schemas.openxmlformats.org/officeDocument/2006/relationships/hyperlink" Target="https://doi.org/10.2196/jmir.8347" TargetMode="External"/><Relationship Id="rId5" Type="http://schemas.openxmlformats.org/officeDocument/2006/relationships/hyperlink" Target="https://doi.org/10.2196/jmir.8.4.e27" TargetMode="External"/><Relationship Id="rId15" Type="http://schemas.openxmlformats.org/officeDocument/2006/relationships/hyperlink" Target="https://doi.org/10.3390/ijerph15071553" TargetMode="External"/><Relationship Id="rId23" Type="http://schemas.openxmlformats.org/officeDocument/2006/relationships/hyperlink" Target="https://www.ehps.net/ehp/index.php/contents/article/view/824/pdf_100" TargetMode="External"/><Relationship Id="rId28" Type="http://schemas.openxmlformats.org/officeDocument/2006/relationships/hyperlink" Target="https://doi.org/10.2196/humanfactors.9039" TargetMode="External"/><Relationship Id="rId36" Type="http://schemas.openxmlformats.org/officeDocument/2006/relationships/theme" Target="theme/theme1.xml"/><Relationship Id="rId10" Type="http://schemas.openxmlformats.org/officeDocument/2006/relationships/hyperlink" Target="https://doi.org/10.1016/j.pec.2016.09.008" TargetMode="External"/><Relationship Id="rId19" Type="http://schemas.openxmlformats.org/officeDocument/2006/relationships/hyperlink" Target="https://doi.org/10.1177/0163278719827997" TargetMode="External"/><Relationship Id="rId31" Type="http://schemas.openxmlformats.org/officeDocument/2006/relationships/hyperlink" Target="https://doi.org/10.2196/jmir.6709" TargetMode="External"/><Relationship Id="rId4" Type="http://schemas.openxmlformats.org/officeDocument/2006/relationships/webSettings" Target="webSettings.xml"/><Relationship Id="rId9" Type="http://schemas.openxmlformats.org/officeDocument/2006/relationships/hyperlink" Target="https://doi.org/10.2196/publichealth.4967" TargetMode="External"/><Relationship Id="rId14" Type="http://schemas.openxmlformats.org/officeDocument/2006/relationships/hyperlink" Target="https://doi.org/10.2196/jmir.9401" TargetMode="External"/><Relationship Id="rId22" Type="http://schemas.openxmlformats.org/officeDocument/2006/relationships/hyperlink" Target="https://doi.org/10.1027/1864-1105/a000104" TargetMode="External"/><Relationship Id="rId27" Type="http://schemas.openxmlformats.org/officeDocument/2006/relationships/hyperlink" Target="https://doi.org/10.2196/jmir.5998" TargetMode="External"/><Relationship Id="rId30" Type="http://schemas.openxmlformats.org/officeDocument/2006/relationships/hyperlink" Target="https://m-pohl.net/sites/m-pohl.net/files/inline-files/HLS19%20International%20Report.pdf" TargetMode="External"/><Relationship Id="rId35" Type="http://schemas.openxmlformats.org/officeDocument/2006/relationships/fontTable" Target="fontTable.xml"/><Relationship Id="rId8" Type="http://schemas.openxmlformats.org/officeDocument/2006/relationships/hyperlink" Target="https://doi.org/10.4321/S1135-572720150003000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2331</Words>
  <Characters>12823</Characters>
  <Application>Microsoft Office Word</Application>
  <DocSecurity>4</DocSecurity>
  <Lines>106</Lines>
  <Paragraphs>30</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Additional file 6. Summary results for measurement properties</vt:lpstr>
      <vt:lpstr>    References</vt:lpstr>
    </vt:vector>
  </TitlesOfParts>
  <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Heyer</dc:creator>
  <cp:keywords/>
  <dc:description/>
  <cp:lastModifiedBy>DÉLÉTROZ Carole</cp:lastModifiedBy>
  <cp:revision>2</cp:revision>
  <dcterms:created xsi:type="dcterms:W3CDTF">2023-07-17T07:53:00Z</dcterms:created>
  <dcterms:modified xsi:type="dcterms:W3CDTF">2023-07-17T07:53:00Z</dcterms:modified>
</cp:coreProperties>
</file>