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773D7" w14:textId="5CA49E89" w:rsidR="00522E94" w:rsidRPr="00522E94" w:rsidRDefault="00522E94" w:rsidP="00522E94">
      <w:pPr>
        <w:pStyle w:val="Titre1"/>
      </w:pPr>
      <w:r>
        <w:t>Additional file 2. Excluded full texts and reasons for exclusion, without duplicates</w:t>
      </w:r>
    </w:p>
    <w:tbl>
      <w:tblPr>
        <w:tblStyle w:val="Grilledutableau3"/>
        <w:tblW w:w="0" w:type="auto"/>
        <w:tblLook w:val="04A0" w:firstRow="1" w:lastRow="0" w:firstColumn="1" w:lastColumn="0" w:noHBand="0" w:noVBand="1"/>
      </w:tblPr>
      <w:tblGrid>
        <w:gridCol w:w="6374"/>
        <w:gridCol w:w="2688"/>
      </w:tblGrid>
      <w:tr w:rsidR="00522E94" w:rsidRPr="000A0DFC" w14:paraId="34857BC7" w14:textId="77777777" w:rsidTr="00C447C2">
        <w:trPr>
          <w:tblHeader/>
        </w:trPr>
        <w:tc>
          <w:tcPr>
            <w:tcW w:w="6374" w:type="dxa"/>
            <w:tcBorders>
              <w:left w:val="nil"/>
              <w:bottom w:val="single" w:sz="4" w:space="0" w:color="auto"/>
              <w:right w:val="nil"/>
            </w:tcBorders>
          </w:tcPr>
          <w:p w14:paraId="140CAFBB" w14:textId="77777777" w:rsidR="00522E94" w:rsidRPr="000A0DFC" w:rsidRDefault="00522E94" w:rsidP="000A0DFC">
            <w:pPr>
              <w:spacing w:after="0" w:line="240" w:lineRule="auto"/>
              <w:jc w:val="center"/>
              <w:rPr>
                <w:rFonts w:asciiTheme="minorHAnsi" w:eastAsia="Calibri" w:hAnsiTheme="minorHAnsi" w:cstheme="minorHAnsi"/>
                <w:b/>
                <w:bCs/>
                <w:sz w:val="22"/>
                <w:lang w:val="en-US"/>
              </w:rPr>
            </w:pPr>
            <w:r w:rsidRPr="000A0DFC">
              <w:rPr>
                <w:rFonts w:asciiTheme="minorHAnsi" w:eastAsia="Calibri" w:hAnsiTheme="minorHAnsi" w:cstheme="minorHAnsi"/>
                <w:b/>
                <w:bCs/>
                <w:sz w:val="22"/>
                <w:lang w:val="en-US"/>
              </w:rPr>
              <w:t>References</w:t>
            </w:r>
          </w:p>
        </w:tc>
        <w:tc>
          <w:tcPr>
            <w:tcW w:w="2688" w:type="dxa"/>
            <w:tcBorders>
              <w:left w:val="nil"/>
              <w:bottom w:val="single" w:sz="4" w:space="0" w:color="auto"/>
              <w:right w:val="nil"/>
            </w:tcBorders>
            <w:vAlign w:val="center"/>
          </w:tcPr>
          <w:p w14:paraId="45BE6715" w14:textId="77777777" w:rsidR="00522E94" w:rsidRPr="000A0DFC" w:rsidRDefault="00522E94" w:rsidP="000A0DFC">
            <w:pPr>
              <w:spacing w:after="0" w:line="240" w:lineRule="auto"/>
              <w:jc w:val="center"/>
              <w:rPr>
                <w:rFonts w:asciiTheme="minorHAnsi" w:eastAsia="Calibri" w:hAnsiTheme="minorHAnsi" w:cstheme="minorHAnsi"/>
                <w:b/>
                <w:bCs/>
                <w:sz w:val="22"/>
                <w:lang w:val="en-US"/>
              </w:rPr>
            </w:pPr>
            <w:r w:rsidRPr="000A0DFC">
              <w:rPr>
                <w:rFonts w:asciiTheme="minorHAnsi" w:eastAsia="Calibri" w:hAnsiTheme="minorHAnsi" w:cstheme="minorHAnsi"/>
                <w:b/>
                <w:bCs/>
                <w:sz w:val="22"/>
                <w:lang w:val="en-US"/>
              </w:rPr>
              <w:t>Reason for exclusion</w:t>
            </w:r>
          </w:p>
        </w:tc>
      </w:tr>
      <w:tr w:rsidR="00522E94" w:rsidRPr="00B04110" w14:paraId="72BA6EC8" w14:textId="77777777" w:rsidTr="00C447C2">
        <w:tc>
          <w:tcPr>
            <w:tcW w:w="6374" w:type="dxa"/>
            <w:tcBorders>
              <w:left w:val="nil"/>
              <w:right w:val="nil"/>
            </w:tcBorders>
          </w:tcPr>
          <w:p w14:paraId="7FEA5163" w14:textId="59017509" w:rsidR="00522E94" w:rsidRPr="000A0DFC" w:rsidRDefault="00522E94" w:rsidP="00C447C2">
            <w:pPr>
              <w:spacing w:after="0" w:line="240" w:lineRule="auto"/>
              <w:jc w:val="left"/>
              <w:rPr>
                <w:rFonts w:asciiTheme="minorHAnsi" w:eastAsia="Calibri" w:hAnsiTheme="minorHAnsi" w:cstheme="minorHAnsi"/>
                <w:sz w:val="20"/>
                <w:szCs w:val="20"/>
                <w:lang w:val="en-US"/>
              </w:rPr>
            </w:pPr>
            <w:r w:rsidRPr="000A0DFC">
              <w:rPr>
                <w:rFonts w:asciiTheme="minorHAnsi" w:eastAsia="Calibri" w:hAnsiTheme="minorHAnsi" w:cstheme="minorHAnsi"/>
                <w:sz w:val="20"/>
                <w:szCs w:val="20"/>
                <w:lang w:val="en-US"/>
              </w:rPr>
              <w:t>Usher W, Skinner J. Categorizing health websites: E-knowledge, e-business and e-professional. Health Educ J</w:t>
            </w:r>
            <w:r w:rsidR="00D76275">
              <w:rPr>
                <w:rFonts w:asciiTheme="minorHAnsi" w:eastAsia="Calibri" w:hAnsiTheme="minorHAnsi" w:cstheme="minorHAnsi"/>
                <w:sz w:val="20"/>
                <w:szCs w:val="20"/>
                <w:lang w:val="en-US"/>
              </w:rPr>
              <w:t>. 2011;</w:t>
            </w:r>
            <w:r w:rsidRPr="000A0DFC">
              <w:rPr>
                <w:rFonts w:asciiTheme="minorHAnsi" w:eastAsia="Calibri" w:hAnsiTheme="minorHAnsi" w:cstheme="minorHAnsi"/>
                <w:sz w:val="20"/>
                <w:szCs w:val="20"/>
                <w:lang w:val="en-US"/>
              </w:rPr>
              <w:t>70(3)</w:t>
            </w:r>
            <w:r w:rsidR="00D76275">
              <w:rPr>
                <w:rFonts w:asciiTheme="minorHAnsi" w:eastAsia="Calibri" w:hAnsiTheme="minorHAnsi" w:cstheme="minorHAnsi"/>
                <w:sz w:val="20"/>
                <w:szCs w:val="20"/>
                <w:lang w:val="en-US"/>
              </w:rPr>
              <w:t>:</w:t>
            </w:r>
            <w:r w:rsidRPr="000A0DFC">
              <w:rPr>
                <w:rFonts w:asciiTheme="minorHAnsi" w:eastAsia="Calibri" w:hAnsiTheme="minorHAnsi" w:cstheme="minorHAnsi"/>
                <w:sz w:val="20"/>
                <w:szCs w:val="20"/>
                <w:lang w:val="en-US"/>
              </w:rPr>
              <w:t>285</w:t>
            </w:r>
            <w:r w:rsidR="00D76275">
              <w:rPr>
                <w:rFonts w:asciiTheme="minorHAnsi" w:eastAsia="Calibri" w:hAnsiTheme="minorHAnsi" w:cstheme="minorHAnsi"/>
                <w:sz w:val="20"/>
                <w:szCs w:val="20"/>
                <w:lang w:val="en-US"/>
              </w:rPr>
              <w:t>–</w:t>
            </w:r>
            <w:r w:rsidRPr="000A0DFC">
              <w:rPr>
                <w:rFonts w:asciiTheme="minorHAnsi" w:eastAsia="Calibri" w:hAnsiTheme="minorHAnsi" w:cstheme="minorHAnsi"/>
                <w:sz w:val="20"/>
                <w:szCs w:val="20"/>
                <w:lang w:val="en-US"/>
              </w:rPr>
              <w:t>295.</w:t>
            </w:r>
          </w:p>
        </w:tc>
        <w:tc>
          <w:tcPr>
            <w:tcW w:w="2688" w:type="dxa"/>
            <w:tcBorders>
              <w:left w:val="nil"/>
              <w:right w:val="nil"/>
            </w:tcBorders>
            <w:vAlign w:val="center"/>
          </w:tcPr>
          <w:p w14:paraId="5B4149D6" w14:textId="77777777" w:rsidR="00522E94" w:rsidRPr="000A0DFC" w:rsidRDefault="00522E94" w:rsidP="00C447C2">
            <w:pPr>
              <w:spacing w:after="0" w:line="240" w:lineRule="auto"/>
              <w:jc w:val="left"/>
              <w:rPr>
                <w:rFonts w:asciiTheme="minorHAnsi" w:eastAsia="Calibri" w:hAnsiTheme="minorHAnsi" w:cstheme="minorHAnsi"/>
                <w:sz w:val="20"/>
                <w:szCs w:val="20"/>
                <w:lang w:val="en-US"/>
              </w:rPr>
            </w:pPr>
            <w:r w:rsidRPr="000A0DFC">
              <w:rPr>
                <w:rFonts w:asciiTheme="minorHAnsi" w:eastAsia="Calibri" w:hAnsiTheme="minorHAnsi" w:cstheme="minorHAnsi"/>
                <w:sz w:val="20"/>
                <w:szCs w:val="20"/>
                <w:lang w:val="en-US"/>
              </w:rPr>
              <w:t>Does not mention a tool for measuring eHealth literacy</w:t>
            </w:r>
          </w:p>
        </w:tc>
      </w:tr>
      <w:tr w:rsidR="00522E94" w:rsidRPr="00B04110" w14:paraId="33731176" w14:textId="77777777" w:rsidTr="00C447C2">
        <w:tc>
          <w:tcPr>
            <w:tcW w:w="6374" w:type="dxa"/>
            <w:tcBorders>
              <w:left w:val="nil"/>
              <w:right w:val="nil"/>
            </w:tcBorders>
          </w:tcPr>
          <w:p w14:paraId="7538D8E7" w14:textId="74D4F44A" w:rsidR="00522E94" w:rsidRPr="000A0DFC" w:rsidRDefault="00D76275"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D76275">
              <w:rPr>
                <w:rFonts w:asciiTheme="minorHAnsi" w:eastAsia="Calibri" w:hAnsiTheme="minorHAnsi" w:cstheme="minorHAnsi"/>
                <w:color w:val="222222"/>
                <w:sz w:val="20"/>
                <w:szCs w:val="20"/>
                <w:shd w:val="clear" w:color="auto" w:fill="FFFFFF"/>
                <w:lang w:val="en-US"/>
              </w:rPr>
              <w:t>Griebel L, Enwald H, Gilstad H, Pohl AL, Moreland J, Sedlmayr M. eHealth literacy research-Quo vadis?. Inform Health Soc Care. 2018;43(4):427-442.</w:t>
            </w:r>
            <w:r w:rsidR="00522E94" w:rsidRPr="000A0DFC">
              <w:rPr>
                <w:rFonts w:asciiTheme="minorHAnsi" w:eastAsia="Calibri" w:hAnsiTheme="minorHAnsi" w:cstheme="minorHAnsi"/>
                <w:color w:val="222222"/>
                <w:sz w:val="20"/>
                <w:szCs w:val="20"/>
                <w:shd w:val="clear" w:color="auto" w:fill="FFFFFF"/>
              </w:rPr>
              <w:t>.</w:t>
            </w:r>
          </w:p>
        </w:tc>
        <w:tc>
          <w:tcPr>
            <w:tcW w:w="2688" w:type="dxa"/>
            <w:tcBorders>
              <w:left w:val="nil"/>
              <w:right w:val="nil"/>
            </w:tcBorders>
            <w:vAlign w:val="center"/>
          </w:tcPr>
          <w:p w14:paraId="20E605A3"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Not a primary study: review, state of the art</w:t>
            </w:r>
          </w:p>
        </w:tc>
      </w:tr>
      <w:tr w:rsidR="00522E94" w:rsidRPr="00B04110" w14:paraId="1B861208" w14:textId="77777777" w:rsidTr="00C447C2">
        <w:tc>
          <w:tcPr>
            <w:tcW w:w="6374" w:type="dxa"/>
            <w:tcBorders>
              <w:left w:val="nil"/>
              <w:right w:val="nil"/>
            </w:tcBorders>
          </w:tcPr>
          <w:p w14:paraId="6071AE23" w14:textId="0AD4A61C" w:rsidR="00522E94" w:rsidRPr="000A0DFC" w:rsidRDefault="00D76275" w:rsidP="00C447C2">
            <w:pPr>
              <w:spacing w:after="0" w:line="240" w:lineRule="auto"/>
              <w:jc w:val="left"/>
              <w:rPr>
                <w:rFonts w:asciiTheme="minorHAnsi" w:eastAsia="Calibri" w:hAnsiTheme="minorHAnsi" w:cstheme="minorHAnsi"/>
                <w:sz w:val="20"/>
                <w:szCs w:val="20"/>
                <w:lang w:val="en-US"/>
              </w:rPr>
            </w:pPr>
            <w:r w:rsidRPr="00D76275">
              <w:rPr>
                <w:rFonts w:asciiTheme="minorHAnsi" w:eastAsia="Calibri" w:hAnsiTheme="minorHAnsi" w:cstheme="minorHAnsi"/>
                <w:sz w:val="20"/>
                <w:szCs w:val="20"/>
                <w:lang w:val="en-GB"/>
              </w:rPr>
              <w:t xml:space="preserve">Kumar D, Hemmige V, Kallen MA, Giordano TP, Arya M. Mobile Phones May Not Bridge the Digital Divide: A Look at Mobile Phone Literacy in an Underserved Patient Population. </w:t>
            </w:r>
            <w:r w:rsidRPr="00D76275">
              <w:rPr>
                <w:rFonts w:asciiTheme="minorHAnsi" w:eastAsia="Calibri" w:hAnsiTheme="minorHAnsi" w:cstheme="minorHAnsi"/>
                <w:sz w:val="20"/>
                <w:szCs w:val="20"/>
                <w:lang w:val="de-CH"/>
              </w:rPr>
              <w:t>Cureus. 2019 Feb 20;11(2):e4104</w:t>
            </w:r>
            <w:r w:rsidR="00522E94" w:rsidRPr="000A0DFC">
              <w:rPr>
                <w:rFonts w:asciiTheme="minorHAnsi" w:eastAsia="Calibri" w:hAnsiTheme="minorHAnsi" w:cstheme="minorHAnsi"/>
                <w:sz w:val="20"/>
                <w:szCs w:val="20"/>
                <w:lang w:val="en-US"/>
              </w:rPr>
              <w:t>.</w:t>
            </w:r>
          </w:p>
        </w:tc>
        <w:tc>
          <w:tcPr>
            <w:tcW w:w="2688" w:type="dxa"/>
            <w:tcBorders>
              <w:left w:val="nil"/>
              <w:right w:val="nil"/>
            </w:tcBorders>
            <w:vAlign w:val="center"/>
          </w:tcPr>
          <w:p w14:paraId="04325F7E" w14:textId="77777777" w:rsidR="00522E94" w:rsidRPr="000A0DFC" w:rsidRDefault="00522E94" w:rsidP="00C447C2">
            <w:pPr>
              <w:spacing w:after="0" w:line="240" w:lineRule="auto"/>
              <w:jc w:val="left"/>
              <w:rPr>
                <w:rFonts w:asciiTheme="minorHAnsi" w:eastAsia="Calibri" w:hAnsiTheme="minorHAnsi" w:cstheme="minorHAnsi"/>
                <w:sz w:val="20"/>
                <w:szCs w:val="20"/>
                <w:lang w:val="en-US"/>
              </w:rPr>
            </w:pPr>
            <w:r w:rsidRPr="000A0DFC">
              <w:rPr>
                <w:rFonts w:asciiTheme="minorHAnsi" w:eastAsia="Calibri" w:hAnsiTheme="minorHAnsi" w:cstheme="minorHAnsi"/>
                <w:color w:val="2A2A2A"/>
                <w:sz w:val="20"/>
                <w:szCs w:val="20"/>
                <w:shd w:val="clear" w:color="auto" w:fill="FFFFFF"/>
                <w:lang w:val="en-US"/>
              </w:rPr>
              <w:t xml:space="preserve">Does not mention a tool for measuring </w:t>
            </w:r>
            <w:r w:rsidRPr="000A0DFC">
              <w:rPr>
                <w:rFonts w:asciiTheme="minorHAnsi" w:eastAsia="Calibri" w:hAnsiTheme="minorHAnsi" w:cstheme="minorHAnsi"/>
                <w:sz w:val="20"/>
                <w:szCs w:val="20"/>
                <w:lang w:val="en-US"/>
              </w:rPr>
              <w:t>eHealth</w:t>
            </w:r>
            <w:r w:rsidRPr="000A0DFC">
              <w:rPr>
                <w:rFonts w:asciiTheme="minorHAnsi" w:eastAsia="Calibri" w:hAnsiTheme="minorHAnsi" w:cstheme="minorHAnsi"/>
                <w:color w:val="2A2A2A"/>
                <w:sz w:val="20"/>
                <w:szCs w:val="20"/>
                <w:shd w:val="clear" w:color="auto" w:fill="FFFFFF"/>
                <w:lang w:val="en-US"/>
              </w:rPr>
              <w:t xml:space="preserve"> literacy</w:t>
            </w:r>
          </w:p>
        </w:tc>
      </w:tr>
      <w:tr w:rsidR="00522E94" w:rsidRPr="00B04110" w14:paraId="0DBFB406" w14:textId="77777777" w:rsidTr="00C447C2">
        <w:tc>
          <w:tcPr>
            <w:tcW w:w="6374" w:type="dxa"/>
            <w:tcBorders>
              <w:left w:val="nil"/>
              <w:right w:val="nil"/>
            </w:tcBorders>
          </w:tcPr>
          <w:p w14:paraId="016E8BA9" w14:textId="343261EE" w:rsidR="00522E94" w:rsidRPr="000A0DFC" w:rsidRDefault="00D76275" w:rsidP="00C447C2">
            <w:pPr>
              <w:spacing w:after="0" w:line="240" w:lineRule="auto"/>
              <w:jc w:val="left"/>
              <w:rPr>
                <w:rFonts w:asciiTheme="minorHAnsi" w:eastAsia="Calibri" w:hAnsiTheme="minorHAnsi" w:cstheme="minorHAnsi"/>
                <w:sz w:val="20"/>
                <w:szCs w:val="20"/>
                <w:lang w:val="en-US"/>
              </w:rPr>
            </w:pPr>
            <w:r w:rsidRPr="00D76275">
              <w:rPr>
                <w:rFonts w:asciiTheme="minorHAnsi" w:eastAsia="Calibri" w:hAnsiTheme="minorHAnsi" w:cstheme="minorHAnsi"/>
                <w:color w:val="222222"/>
                <w:sz w:val="20"/>
                <w:szCs w:val="20"/>
                <w:shd w:val="clear" w:color="auto" w:fill="FFFFFF"/>
                <w:lang w:val="de-DE"/>
              </w:rPr>
              <w:t xml:space="preserve">Koopman RJ, Petroski GF, Canfield SM, Stuppy JA, Mehr DR. </w:t>
            </w:r>
            <w:r w:rsidRPr="00D76275">
              <w:rPr>
                <w:rFonts w:asciiTheme="minorHAnsi" w:eastAsia="Calibri" w:hAnsiTheme="minorHAnsi" w:cstheme="minorHAnsi"/>
                <w:color w:val="222222"/>
                <w:sz w:val="20"/>
                <w:szCs w:val="20"/>
                <w:shd w:val="clear" w:color="auto" w:fill="FFFFFF"/>
                <w:lang w:val="en-US"/>
              </w:rPr>
              <w:t>Development of the PRE-HIT instrument: patient readiness to engage in health information technology. BMC Fam Pract. 2014 Jan 28;15:18.</w:t>
            </w:r>
          </w:p>
        </w:tc>
        <w:tc>
          <w:tcPr>
            <w:tcW w:w="2688" w:type="dxa"/>
            <w:tcBorders>
              <w:left w:val="nil"/>
              <w:right w:val="nil"/>
            </w:tcBorders>
            <w:vAlign w:val="center"/>
          </w:tcPr>
          <w:p w14:paraId="08F08234" w14:textId="77777777" w:rsidR="00522E94" w:rsidRPr="000A0DFC" w:rsidRDefault="00522E94" w:rsidP="00C447C2">
            <w:pPr>
              <w:spacing w:after="0" w:line="240" w:lineRule="auto"/>
              <w:jc w:val="left"/>
              <w:rPr>
                <w:rFonts w:asciiTheme="minorHAnsi" w:eastAsia="Calibri" w:hAnsiTheme="minorHAnsi" w:cstheme="minorHAnsi"/>
                <w:sz w:val="20"/>
                <w:szCs w:val="20"/>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B04110" w14:paraId="205D97E5" w14:textId="77777777" w:rsidTr="00C447C2">
        <w:tc>
          <w:tcPr>
            <w:tcW w:w="6374" w:type="dxa"/>
            <w:tcBorders>
              <w:left w:val="nil"/>
              <w:right w:val="nil"/>
            </w:tcBorders>
          </w:tcPr>
          <w:p w14:paraId="0E6A12D3" w14:textId="7F7D250D" w:rsidR="00522E94" w:rsidRPr="000A0DFC" w:rsidRDefault="00B04110" w:rsidP="00C447C2">
            <w:pPr>
              <w:spacing w:after="0" w:line="240" w:lineRule="auto"/>
              <w:jc w:val="left"/>
              <w:rPr>
                <w:rFonts w:asciiTheme="minorHAnsi" w:eastAsia="Calibri" w:hAnsiTheme="minorHAnsi" w:cstheme="minorHAnsi"/>
                <w:sz w:val="20"/>
                <w:szCs w:val="20"/>
                <w:lang w:val="en-US"/>
              </w:rPr>
            </w:pPr>
            <w:r w:rsidRPr="00B04110">
              <w:rPr>
                <w:rFonts w:asciiTheme="minorHAnsi" w:eastAsia="Calibri" w:hAnsiTheme="minorHAnsi" w:cstheme="minorHAnsi"/>
                <w:color w:val="222222"/>
                <w:sz w:val="20"/>
                <w:szCs w:val="20"/>
                <w:shd w:val="clear" w:color="auto" w:fill="FFFFFF"/>
                <w:lang w:val="en-US"/>
              </w:rPr>
              <w:t>Nguyen TH, Han HR, Kim MT, Chan KS. An introduction to item response theory for patient-reported outcome measurement. Patient. 2014;7(1):23-35.</w:t>
            </w:r>
          </w:p>
        </w:tc>
        <w:tc>
          <w:tcPr>
            <w:tcW w:w="2688" w:type="dxa"/>
            <w:tcBorders>
              <w:left w:val="nil"/>
              <w:right w:val="nil"/>
            </w:tcBorders>
            <w:vAlign w:val="center"/>
          </w:tcPr>
          <w:p w14:paraId="1660F32C" w14:textId="77777777" w:rsidR="00522E94" w:rsidRPr="000A0DFC" w:rsidRDefault="00522E94" w:rsidP="00C447C2">
            <w:pPr>
              <w:spacing w:after="0" w:line="240" w:lineRule="auto"/>
              <w:jc w:val="left"/>
              <w:rPr>
                <w:rFonts w:asciiTheme="minorHAnsi" w:eastAsia="Calibri" w:hAnsiTheme="minorHAnsi" w:cstheme="minorHAnsi"/>
                <w:sz w:val="20"/>
                <w:szCs w:val="20"/>
                <w:lang w:val="en-US"/>
              </w:rPr>
            </w:pPr>
            <w:r w:rsidRPr="000A0DFC">
              <w:rPr>
                <w:rFonts w:asciiTheme="minorHAnsi" w:eastAsia="Calibri" w:hAnsiTheme="minorHAnsi" w:cstheme="minorHAnsi"/>
                <w:color w:val="2A2A2A"/>
                <w:sz w:val="20"/>
                <w:szCs w:val="20"/>
                <w:shd w:val="clear" w:color="auto" w:fill="FFFFFF"/>
                <w:lang w:val="en-US"/>
              </w:rPr>
              <w:t>Measurement proprieties (psychometric quality) not described</w:t>
            </w:r>
          </w:p>
        </w:tc>
      </w:tr>
      <w:tr w:rsidR="00522E94" w:rsidRPr="00B04110" w14:paraId="00CBFE92" w14:textId="77777777" w:rsidTr="00C447C2">
        <w:tc>
          <w:tcPr>
            <w:tcW w:w="6374" w:type="dxa"/>
            <w:tcBorders>
              <w:left w:val="nil"/>
              <w:right w:val="nil"/>
            </w:tcBorders>
          </w:tcPr>
          <w:p w14:paraId="4198F12A" w14:textId="4BB81A88" w:rsidR="00522E94" w:rsidRPr="000A0DFC" w:rsidRDefault="00B04110" w:rsidP="00C447C2">
            <w:pPr>
              <w:spacing w:after="0" w:line="240" w:lineRule="auto"/>
              <w:jc w:val="left"/>
              <w:rPr>
                <w:rFonts w:asciiTheme="minorHAnsi" w:eastAsia="Calibri" w:hAnsiTheme="minorHAnsi" w:cstheme="minorHAnsi"/>
                <w:sz w:val="20"/>
                <w:szCs w:val="20"/>
                <w:lang w:val="en-US"/>
              </w:rPr>
            </w:pPr>
            <w:r w:rsidRPr="00B04110">
              <w:rPr>
                <w:rFonts w:asciiTheme="minorHAnsi" w:eastAsia="Calibri" w:hAnsiTheme="minorHAnsi" w:cstheme="minorHAnsi"/>
                <w:color w:val="222222"/>
                <w:sz w:val="20"/>
                <w:szCs w:val="20"/>
                <w:shd w:val="clear" w:color="auto" w:fill="FFFFFF"/>
                <w:lang w:val="en-US"/>
              </w:rPr>
              <w:t>Yang SC, Luo YF, Chiang CH. Electronic Health Literacy and Dietary Behaviors in Taiwanese College Students: Cross-Sectional Study. J Med Internet Res. 2019 Nov 26;21(11):e13140</w:t>
            </w:r>
            <w:r w:rsidR="00522E94" w:rsidRPr="000A0DFC">
              <w:rPr>
                <w:rFonts w:asciiTheme="minorHAnsi" w:eastAsia="Calibri" w:hAnsiTheme="minorHAnsi" w:cstheme="minorHAnsi"/>
                <w:color w:val="222222"/>
                <w:sz w:val="20"/>
                <w:szCs w:val="20"/>
                <w:shd w:val="clear" w:color="auto" w:fill="FFFFFF"/>
              </w:rPr>
              <w:t>.</w:t>
            </w:r>
          </w:p>
        </w:tc>
        <w:tc>
          <w:tcPr>
            <w:tcW w:w="2688" w:type="dxa"/>
            <w:tcBorders>
              <w:left w:val="nil"/>
              <w:right w:val="nil"/>
            </w:tcBorders>
            <w:vAlign w:val="center"/>
          </w:tcPr>
          <w:p w14:paraId="2368A699" w14:textId="77777777" w:rsidR="00522E94" w:rsidRPr="000A0DFC" w:rsidRDefault="00522E94" w:rsidP="00C447C2">
            <w:pPr>
              <w:spacing w:after="0" w:line="240" w:lineRule="auto"/>
              <w:jc w:val="left"/>
              <w:rPr>
                <w:rFonts w:asciiTheme="minorHAnsi" w:eastAsia="Calibri" w:hAnsiTheme="minorHAnsi" w:cstheme="minorHAnsi"/>
                <w:sz w:val="20"/>
                <w:szCs w:val="20"/>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14FE845F" w14:textId="77777777" w:rsidTr="00C447C2">
        <w:tc>
          <w:tcPr>
            <w:tcW w:w="6374" w:type="dxa"/>
            <w:tcBorders>
              <w:left w:val="nil"/>
              <w:right w:val="nil"/>
            </w:tcBorders>
          </w:tcPr>
          <w:p w14:paraId="2CF1E95A" w14:textId="5CEBB30E" w:rsidR="00522E94" w:rsidRPr="000A0DFC" w:rsidRDefault="00B04110"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B04110">
              <w:rPr>
                <w:rFonts w:asciiTheme="minorHAnsi" w:eastAsia="Calibri" w:hAnsiTheme="minorHAnsi" w:cstheme="minorHAnsi"/>
                <w:color w:val="222222"/>
                <w:sz w:val="20"/>
                <w:szCs w:val="20"/>
                <w:shd w:val="clear" w:color="auto" w:fill="FFFFFF"/>
                <w:lang w:val="de-CH"/>
              </w:rPr>
              <w:t xml:space="preserve">van Deursen AJ, van Dijk JA. </w:t>
            </w:r>
            <w:r w:rsidRPr="00B04110">
              <w:rPr>
                <w:rFonts w:asciiTheme="minorHAnsi" w:eastAsia="Calibri" w:hAnsiTheme="minorHAnsi" w:cstheme="minorHAnsi"/>
                <w:color w:val="222222"/>
                <w:sz w:val="20"/>
                <w:szCs w:val="20"/>
                <w:shd w:val="clear" w:color="auto" w:fill="FFFFFF"/>
                <w:lang w:val="en-GB"/>
              </w:rPr>
              <w:t xml:space="preserve">Internet skills performance tests: are people ready for eHealth? </w:t>
            </w:r>
            <w:r w:rsidRPr="00B04110">
              <w:rPr>
                <w:rFonts w:asciiTheme="minorHAnsi" w:eastAsia="Calibri" w:hAnsiTheme="minorHAnsi" w:cstheme="minorHAnsi"/>
                <w:color w:val="222222"/>
                <w:sz w:val="20"/>
                <w:szCs w:val="20"/>
                <w:shd w:val="clear" w:color="auto" w:fill="FFFFFF"/>
                <w:lang w:val="de-CH"/>
              </w:rPr>
              <w:t>J Med Internet Res. 2011 Apr 29;13(2):e35</w:t>
            </w:r>
            <w:r w:rsidR="00522E94" w:rsidRPr="000A0DFC">
              <w:rPr>
                <w:rFonts w:asciiTheme="minorHAnsi" w:eastAsia="Calibri" w:hAnsiTheme="minorHAnsi" w:cstheme="minorHAnsi"/>
                <w:color w:val="222222"/>
                <w:sz w:val="20"/>
                <w:szCs w:val="20"/>
                <w:shd w:val="clear" w:color="auto" w:fill="FFFFFF"/>
              </w:rPr>
              <w:t>.</w:t>
            </w:r>
          </w:p>
        </w:tc>
        <w:tc>
          <w:tcPr>
            <w:tcW w:w="2688" w:type="dxa"/>
            <w:tcBorders>
              <w:left w:val="nil"/>
              <w:right w:val="nil"/>
            </w:tcBorders>
            <w:vAlign w:val="center"/>
          </w:tcPr>
          <w:p w14:paraId="5791F205"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B04110" w14:paraId="0FF13CC2" w14:textId="77777777" w:rsidTr="00C447C2">
        <w:tc>
          <w:tcPr>
            <w:tcW w:w="6374" w:type="dxa"/>
            <w:tcBorders>
              <w:left w:val="nil"/>
              <w:right w:val="nil"/>
            </w:tcBorders>
          </w:tcPr>
          <w:p w14:paraId="0328E484" w14:textId="25C41B0C" w:rsidR="00522E94" w:rsidRPr="00B04110" w:rsidRDefault="00B04110" w:rsidP="00C447C2">
            <w:pPr>
              <w:spacing w:after="0" w:line="240" w:lineRule="auto"/>
              <w:jc w:val="left"/>
              <w:rPr>
                <w:rFonts w:asciiTheme="minorHAnsi" w:eastAsia="Calibri" w:hAnsiTheme="minorHAnsi" w:cstheme="minorHAnsi"/>
                <w:color w:val="222222"/>
                <w:sz w:val="20"/>
                <w:szCs w:val="20"/>
                <w:shd w:val="clear" w:color="auto" w:fill="FFFFFF"/>
                <w:lang w:val="de-CH"/>
              </w:rPr>
            </w:pPr>
            <w:r w:rsidRPr="00B04110">
              <w:rPr>
                <w:rFonts w:asciiTheme="minorHAnsi" w:eastAsia="Calibri" w:hAnsiTheme="minorHAnsi" w:cstheme="minorHAnsi"/>
                <w:color w:val="222222"/>
                <w:sz w:val="20"/>
                <w:szCs w:val="20"/>
                <w:shd w:val="clear" w:color="auto" w:fill="FFFFFF"/>
                <w:lang w:val="en-US"/>
              </w:rPr>
              <w:t>Yang SC, Luo YF, Chiang CH. The Associations Among Individual Factors, eHealth Literacy, and Health-Promoting Lifestyles Among College Students. J Med Internet Res. 2017 Jan 10;19(1):e15.</w:t>
            </w:r>
          </w:p>
        </w:tc>
        <w:tc>
          <w:tcPr>
            <w:tcW w:w="2688" w:type="dxa"/>
            <w:tcBorders>
              <w:left w:val="nil"/>
              <w:right w:val="nil"/>
            </w:tcBorders>
            <w:vAlign w:val="center"/>
          </w:tcPr>
          <w:p w14:paraId="52D351AD"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3DD7A302" w14:textId="77777777" w:rsidTr="00C447C2">
        <w:tc>
          <w:tcPr>
            <w:tcW w:w="6374" w:type="dxa"/>
            <w:tcBorders>
              <w:left w:val="nil"/>
              <w:right w:val="nil"/>
            </w:tcBorders>
          </w:tcPr>
          <w:p w14:paraId="34B49FF7" w14:textId="64C470E5" w:rsidR="00522E94" w:rsidRPr="00B04110" w:rsidRDefault="00522E94"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B04110">
              <w:rPr>
                <w:rFonts w:asciiTheme="minorHAnsi" w:eastAsia="Calibri" w:hAnsiTheme="minorHAnsi" w:cstheme="minorHAnsi"/>
                <w:color w:val="222222"/>
                <w:sz w:val="20"/>
                <w:szCs w:val="20"/>
                <w:shd w:val="clear" w:color="auto" w:fill="FFFFFF"/>
                <w:lang w:val="en-US"/>
              </w:rPr>
              <w:t>Azlan AA. Measures of eHealth literacy: options for the Malaysian population.</w:t>
            </w:r>
            <w:r w:rsidR="00B04110" w:rsidRPr="00B04110">
              <w:rPr>
                <w:rFonts w:asciiTheme="minorHAnsi" w:eastAsia="Calibri" w:hAnsiTheme="minorHAnsi" w:cstheme="minorHAnsi"/>
                <w:color w:val="222222"/>
                <w:sz w:val="20"/>
                <w:szCs w:val="20"/>
                <w:shd w:val="clear" w:color="auto" w:fill="FFFFFF"/>
                <w:lang w:val="en-GB"/>
              </w:rPr>
              <w:t xml:space="preserve"> </w:t>
            </w:r>
            <w:r w:rsidR="00B04110" w:rsidRPr="00B04110">
              <w:rPr>
                <w:rFonts w:asciiTheme="minorHAnsi" w:eastAsia="Calibri" w:hAnsiTheme="minorHAnsi" w:cstheme="minorHAnsi"/>
                <w:color w:val="222222"/>
                <w:sz w:val="20"/>
                <w:szCs w:val="20"/>
                <w:shd w:val="clear" w:color="auto" w:fill="FFFFFF"/>
              </w:rPr>
              <w:t>J. Komun.: Malays. J. Commun.</w:t>
            </w:r>
            <w:r w:rsidR="00B04110">
              <w:rPr>
                <w:rFonts w:asciiTheme="minorHAnsi" w:eastAsia="Calibri" w:hAnsiTheme="minorHAnsi" w:cstheme="minorHAnsi"/>
                <w:color w:val="222222"/>
                <w:sz w:val="20"/>
                <w:szCs w:val="20"/>
                <w:shd w:val="clear" w:color="auto" w:fill="FFFFFF"/>
              </w:rPr>
              <w:t xml:space="preserve"> 2019 Dec;</w:t>
            </w:r>
            <w:r w:rsidRPr="00B04110">
              <w:rPr>
                <w:rFonts w:asciiTheme="minorHAnsi" w:eastAsia="Calibri" w:hAnsiTheme="minorHAnsi" w:cstheme="minorHAnsi"/>
                <w:color w:val="222222"/>
                <w:sz w:val="20"/>
                <w:szCs w:val="20"/>
                <w:shd w:val="clear" w:color="auto" w:fill="FFFFFF"/>
                <w:lang w:val="en-GB"/>
              </w:rPr>
              <w:t>35</w:t>
            </w:r>
            <w:r w:rsidR="00B04110">
              <w:rPr>
                <w:rFonts w:asciiTheme="minorHAnsi" w:eastAsia="Calibri" w:hAnsiTheme="minorHAnsi" w:cstheme="minorHAnsi"/>
                <w:color w:val="222222"/>
                <w:sz w:val="20"/>
                <w:szCs w:val="20"/>
                <w:shd w:val="clear" w:color="auto" w:fill="FFFFFF"/>
                <w:lang w:val="en-GB"/>
              </w:rPr>
              <w:t>:</w:t>
            </w:r>
            <w:r w:rsidRPr="00B04110">
              <w:rPr>
                <w:rFonts w:asciiTheme="minorHAnsi" w:eastAsia="Calibri" w:hAnsiTheme="minorHAnsi" w:cstheme="minorHAnsi"/>
                <w:color w:val="222222"/>
                <w:sz w:val="20"/>
                <w:szCs w:val="20"/>
                <w:shd w:val="clear" w:color="auto" w:fill="FFFFFF"/>
                <w:lang w:val="en-GB"/>
              </w:rPr>
              <w:t>211-228.</w:t>
            </w:r>
          </w:p>
        </w:tc>
        <w:tc>
          <w:tcPr>
            <w:tcW w:w="2688" w:type="dxa"/>
            <w:tcBorders>
              <w:left w:val="nil"/>
              <w:right w:val="nil"/>
            </w:tcBorders>
            <w:vAlign w:val="center"/>
          </w:tcPr>
          <w:p w14:paraId="10699722"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Measurement proprieties (psychometric quality) not described</w:t>
            </w:r>
          </w:p>
        </w:tc>
      </w:tr>
      <w:tr w:rsidR="00522E94" w:rsidRPr="00B04110" w14:paraId="4E412366" w14:textId="77777777" w:rsidTr="00C447C2">
        <w:tc>
          <w:tcPr>
            <w:tcW w:w="6374" w:type="dxa"/>
            <w:tcBorders>
              <w:left w:val="nil"/>
              <w:right w:val="nil"/>
            </w:tcBorders>
          </w:tcPr>
          <w:p w14:paraId="14954B49" w14:textId="4A9DF440" w:rsidR="00522E94" w:rsidRPr="000A0DFC" w:rsidRDefault="00B04110"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B04110">
              <w:rPr>
                <w:rFonts w:asciiTheme="minorHAnsi" w:eastAsia="Calibri" w:hAnsiTheme="minorHAnsi" w:cstheme="minorHAnsi"/>
                <w:color w:val="222222"/>
                <w:sz w:val="20"/>
                <w:szCs w:val="20"/>
                <w:shd w:val="clear" w:color="auto" w:fill="FFFFFF"/>
                <w:lang w:val="en-US"/>
              </w:rPr>
              <w:t>Lee K, Hoti K, Hughes JD, Emmerton LM. Consumer Use of "Dr Google": A Survey on Health Information-Seeking Behaviors and Navigational Needs. J Med Internet Res. 2015 Dec 29;17(12):e288.</w:t>
            </w:r>
          </w:p>
        </w:tc>
        <w:tc>
          <w:tcPr>
            <w:tcW w:w="2688" w:type="dxa"/>
            <w:tcBorders>
              <w:left w:val="nil"/>
              <w:right w:val="nil"/>
            </w:tcBorders>
            <w:vAlign w:val="center"/>
          </w:tcPr>
          <w:p w14:paraId="3E75F4E7"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04704B13" w14:textId="77777777" w:rsidTr="00C447C2">
        <w:tc>
          <w:tcPr>
            <w:tcW w:w="6374" w:type="dxa"/>
            <w:tcBorders>
              <w:left w:val="nil"/>
              <w:right w:val="nil"/>
            </w:tcBorders>
          </w:tcPr>
          <w:p w14:paraId="33F7E5F5" w14:textId="54B78AC2" w:rsidR="00522E94" w:rsidRPr="000A0DFC" w:rsidRDefault="00B04110"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B04110">
              <w:rPr>
                <w:rFonts w:asciiTheme="minorHAnsi" w:eastAsia="Calibri" w:hAnsiTheme="minorHAnsi" w:cstheme="minorHAnsi"/>
                <w:color w:val="222222"/>
                <w:sz w:val="20"/>
                <w:szCs w:val="20"/>
                <w:shd w:val="clear" w:color="auto" w:fill="FFFFFF"/>
                <w:lang w:val="en-US"/>
              </w:rPr>
              <w:t>Lin TT, Bautista JR. Understanding the Relationships between mHealth Apps' Characteristics, Trialability, and mHealth Literacy. J Health Commun. 2017 Apr;22(4):346-354</w:t>
            </w:r>
            <w:r>
              <w:rPr>
                <w:rFonts w:asciiTheme="minorHAnsi" w:eastAsia="Calibri" w:hAnsiTheme="minorHAnsi" w:cstheme="minorHAnsi"/>
                <w:color w:val="222222"/>
                <w:sz w:val="20"/>
                <w:szCs w:val="20"/>
                <w:shd w:val="clear" w:color="auto" w:fill="FFFFFF"/>
                <w:lang w:val="en-US"/>
              </w:rPr>
              <w:t>.</w:t>
            </w:r>
          </w:p>
        </w:tc>
        <w:tc>
          <w:tcPr>
            <w:tcW w:w="2688" w:type="dxa"/>
            <w:tcBorders>
              <w:left w:val="nil"/>
              <w:right w:val="nil"/>
            </w:tcBorders>
            <w:vAlign w:val="center"/>
          </w:tcPr>
          <w:p w14:paraId="483DC30B"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B04110" w14:paraId="44CAEDF2" w14:textId="77777777" w:rsidTr="00C447C2">
        <w:tc>
          <w:tcPr>
            <w:tcW w:w="6374" w:type="dxa"/>
            <w:tcBorders>
              <w:left w:val="nil"/>
              <w:right w:val="nil"/>
            </w:tcBorders>
          </w:tcPr>
          <w:p w14:paraId="62FCD5B7" w14:textId="60E40DC2" w:rsidR="00522E94" w:rsidRPr="000A0DFC" w:rsidRDefault="00163087"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163087">
              <w:rPr>
                <w:rFonts w:asciiTheme="minorHAnsi" w:eastAsia="Calibri" w:hAnsiTheme="minorHAnsi" w:cstheme="minorHAnsi"/>
                <w:color w:val="222222"/>
                <w:sz w:val="20"/>
                <w:szCs w:val="20"/>
                <w:shd w:val="clear" w:color="auto" w:fill="FFFFFF"/>
                <w:lang w:val="en-US"/>
              </w:rPr>
              <w:t>Neijenhuijs KI, van der Hout A, Veldhuijzen E, Scholten-Peeters GGM, van Uden-Kraan CF, Cuijpers P, Verdonck-de Leeuw IM. Translation of the eHealth Impact Questionnaire for a Population of Dutch Electronic Health Users: Validation Study. J Med Internet Res. 2019 Aug 26;21(8):e13408.</w:t>
            </w:r>
          </w:p>
        </w:tc>
        <w:tc>
          <w:tcPr>
            <w:tcW w:w="2688" w:type="dxa"/>
            <w:tcBorders>
              <w:left w:val="nil"/>
              <w:right w:val="nil"/>
            </w:tcBorders>
            <w:vAlign w:val="center"/>
          </w:tcPr>
          <w:p w14:paraId="189FC811"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B04110" w14:paraId="0ACD8AE6" w14:textId="77777777" w:rsidTr="00C447C2">
        <w:tc>
          <w:tcPr>
            <w:tcW w:w="6374" w:type="dxa"/>
            <w:tcBorders>
              <w:left w:val="nil"/>
              <w:bottom w:val="single" w:sz="4" w:space="0" w:color="auto"/>
              <w:right w:val="nil"/>
            </w:tcBorders>
          </w:tcPr>
          <w:p w14:paraId="3817387A" w14:textId="0BB12EE1" w:rsidR="00522E94" w:rsidRPr="000A0DFC" w:rsidRDefault="00163087"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163087">
              <w:rPr>
                <w:rFonts w:asciiTheme="minorHAnsi" w:eastAsia="Calibri" w:hAnsiTheme="minorHAnsi" w:cstheme="minorHAnsi"/>
                <w:color w:val="222222"/>
                <w:sz w:val="20"/>
                <w:szCs w:val="20"/>
                <w:shd w:val="clear" w:color="auto" w:fill="FFFFFF"/>
                <w:lang w:val="en-GB"/>
              </w:rPr>
              <w:t xml:space="preserve">Park JY, Min J. Exploring Canadian pharmacy students' e-health literacy: a mixed method study. </w:t>
            </w:r>
            <w:r w:rsidRPr="00163087">
              <w:rPr>
                <w:rFonts w:asciiTheme="minorHAnsi" w:eastAsia="Calibri" w:hAnsiTheme="minorHAnsi" w:cstheme="minorHAnsi"/>
                <w:color w:val="222222"/>
                <w:sz w:val="20"/>
                <w:szCs w:val="20"/>
                <w:shd w:val="clear" w:color="auto" w:fill="FFFFFF"/>
                <w:lang w:val="de-CH"/>
              </w:rPr>
              <w:t>Pharm Pract (Granada). 2020 Jan-Mar;18(1):1747</w:t>
            </w:r>
          </w:p>
        </w:tc>
        <w:tc>
          <w:tcPr>
            <w:tcW w:w="2688" w:type="dxa"/>
            <w:tcBorders>
              <w:left w:val="nil"/>
              <w:bottom w:val="single" w:sz="4" w:space="0" w:color="auto"/>
              <w:right w:val="nil"/>
            </w:tcBorders>
            <w:vAlign w:val="center"/>
          </w:tcPr>
          <w:p w14:paraId="6DDE78CF"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106D6488" w14:textId="77777777" w:rsidTr="00C447C2">
        <w:tc>
          <w:tcPr>
            <w:tcW w:w="6374" w:type="dxa"/>
            <w:tcBorders>
              <w:left w:val="nil"/>
              <w:right w:val="nil"/>
            </w:tcBorders>
          </w:tcPr>
          <w:p w14:paraId="0A564A09" w14:textId="576610EC" w:rsidR="00522E94" w:rsidRPr="000A0DFC" w:rsidRDefault="00163087"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163087">
              <w:rPr>
                <w:rFonts w:asciiTheme="minorHAnsi" w:eastAsia="Calibri" w:hAnsiTheme="minorHAnsi" w:cstheme="minorHAnsi"/>
                <w:color w:val="222222"/>
                <w:sz w:val="20"/>
                <w:szCs w:val="20"/>
                <w:shd w:val="clear" w:color="auto" w:fill="FFFFFF"/>
                <w:lang w:val="en-US"/>
              </w:rPr>
              <w:t>MacLure K, Stewart D. A qualitative case study of ehealth and digital literacy experiences of pharmacy staff. Res Social Adm Pharm. 2018 Jun;14(6):555-563.</w:t>
            </w:r>
          </w:p>
        </w:tc>
        <w:tc>
          <w:tcPr>
            <w:tcW w:w="2688" w:type="dxa"/>
            <w:tcBorders>
              <w:left w:val="nil"/>
              <w:right w:val="nil"/>
            </w:tcBorders>
            <w:vAlign w:val="center"/>
          </w:tcPr>
          <w:p w14:paraId="2B6302C1"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Measurement proprieties (psychometric quality) not described</w:t>
            </w:r>
          </w:p>
        </w:tc>
      </w:tr>
      <w:tr w:rsidR="00522E94" w:rsidRPr="000A0DFC" w14:paraId="6348B127" w14:textId="77777777" w:rsidTr="00C447C2">
        <w:tc>
          <w:tcPr>
            <w:tcW w:w="6374" w:type="dxa"/>
            <w:tcBorders>
              <w:left w:val="nil"/>
              <w:right w:val="nil"/>
            </w:tcBorders>
          </w:tcPr>
          <w:p w14:paraId="4FB674A5" w14:textId="4989B083" w:rsidR="00522E94" w:rsidRPr="000A0DFC" w:rsidRDefault="00163087" w:rsidP="00C447C2">
            <w:pPr>
              <w:spacing w:after="0" w:line="240" w:lineRule="auto"/>
              <w:jc w:val="left"/>
              <w:rPr>
                <w:rFonts w:asciiTheme="minorHAnsi" w:eastAsia="Calibri" w:hAnsiTheme="minorHAnsi" w:cstheme="minorHAnsi"/>
                <w:color w:val="222222"/>
                <w:sz w:val="20"/>
                <w:szCs w:val="20"/>
                <w:shd w:val="clear" w:color="auto" w:fill="FFFFFF"/>
                <w:lang w:val="de-CH"/>
              </w:rPr>
            </w:pPr>
            <w:r w:rsidRPr="00163087">
              <w:rPr>
                <w:rFonts w:asciiTheme="minorHAnsi" w:eastAsia="Calibri" w:hAnsiTheme="minorHAnsi" w:cstheme="minorHAnsi"/>
                <w:color w:val="222222"/>
                <w:sz w:val="20"/>
                <w:szCs w:val="20"/>
                <w:shd w:val="clear" w:color="auto" w:fill="FFFFFF"/>
                <w:lang w:val="de-CH"/>
              </w:rPr>
              <w:t>Bittlingmayer UH, Dadaczynski K, Sahrai D, van den Broucke S, Okan O. Digitale Gesundheitskompetenz – Konzeptionelle Verortung, Erfassung und Förderung mit Fokus auf Kinder und Jugendliche [Digital health literacy-conceptual contextualization, measurement, and promotion]. Bundesgesundheitsblatt Gesundheitsforschung Gesundheitsschutz. 2020 Feb;63(2):176-184.</w:t>
            </w:r>
          </w:p>
        </w:tc>
        <w:tc>
          <w:tcPr>
            <w:tcW w:w="2688" w:type="dxa"/>
            <w:tcBorders>
              <w:left w:val="nil"/>
              <w:right w:val="nil"/>
            </w:tcBorders>
            <w:vAlign w:val="center"/>
          </w:tcPr>
          <w:p w14:paraId="25A5C379"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de-CH"/>
              </w:rPr>
            </w:pPr>
            <w:r w:rsidRPr="000A0DFC">
              <w:rPr>
                <w:rFonts w:asciiTheme="minorHAnsi" w:eastAsia="Calibri" w:hAnsiTheme="minorHAnsi" w:cstheme="minorHAnsi"/>
                <w:color w:val="2A2A2A"/>
                <w:sz w:val="20"/>
                <w:szCs w:val="20"/>
                <w:shd w:val="clear" w:color="auto" w:fill="FFFFFF"/>
              </w:rPr>
              <w:t>Paediatric population 0-18</w:t>
            </w:r>
          </w:p>
        </w:tc>
      </w:tr>
      <w:tr w:rsidR="00522E94" w:rsidRPr="00B04110" w14:paraId="30940E8B" w14:textId="77777777" w:rsidTr="00C447C2">
        <w:tc>
          <w:tcPr>
            <w:tcW w:w="6374" w:type="dxa"/>
            <w:tcBorders>
              <w:left w:val="nil"/>
              <w:right w:val="nil"/>
            </w:tcBorders>
          </w:tcPr>
          <w:p w14:paraId="76C107D8" w14:textId="44B65F54" w:rsidR="00522E94" w:rsidRPr="000A0DFC" w:rsidRDefault="00163087"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163087">
              <w:rPr>
                <w:rFonts w:asciiTheme="minorHAnsi" w:eastAsia="Calibri" w:hAnsiTheme="minorHAnsi" w:cstheme="minorHAnsi"/>
                <w:color w:val="222222"/>
                <w:sz w:val="20"/>
                <w:szCs w:val="20"/>
                <w:shd w:val="clear" w:color="auto" w:fill="FFFFFF"/>
                <w:lang w:val="en-US"/>
              </w:rPr>
              <w:t>Chan CV, Kaufman DR. A framework for characterizing eHealth literacy demands and barriers. J Med Internet Res. 2011 Nov 17;13(4):e94</w:t>
            </w:r>
          </w:p>
        </w:tc>
        <w:tc>
          <w:tcPr>
            <w:tcW w:w="2688" w:type="dxa"/>
            <w:tcBorders>
              <w:left w:val="nil"/>
              <w:right w:val="nil"/>
            </w:tcBorders>
            <w:vAlign w:val="center"/>
          </w:tcPr>
          <w:p w14:paraId="6656F223"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B04110" w14:paraId="3DCC58D1" w14:textId="77777777" w:rsidTr="00C447C2">
        <w:tc>
          <w:tcPr>
            <w:tcW w:w="6374" w:type="dxa"/>
            <w:tcBorders>
              <w:left w:val="nil"/>
              <w:right w:val="nil"/>
            </w:tcBorders>
          </w:tcPr>
          <w:p w14:paraId="3AFEBE91" w14:textId="70B34D8E" w:rsidR="00522E94" w:rsidRPr="000A0DFC" w:rsidRDefault="00522E94"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163087">
              <w:rPr>
                <w:rFonts w:asciiTheme="minorHAnsi" w:eastAsia="Malgun Gothic" w:hAnsiTheme="minorHAnsi" w:cstheme="minorHAnsi"/>
                <w:color w:val="222222"/>
                <w:sz w:val="20"/>
                <w:szCs w:val="20"/>
                <w:shd w:val="clear" w:color="auto" w:fill="FFFFFF"/>
                <w:lang w:val="de-DE"/>
              </w:rPr>
              <w:t>Chang SJ, Yang E, Ryu H, Kim HJ, Yoon JY</w:t>
            </w:r>
            <w:r w:rsidRPr="00163087">
              <w:rPr>
                <w:rFonts w:asciiTheme="minorHAnsi" w:eastAsia="Calibri" w:hAnsiTheme="minorHAnsi" w:cstheme="minorHAnsi"/>
                <w:color w:val="222222"/>
                <w:sz w:val="20"/>
                <w:szCs w:val="20"/>
                <w:shd w:val="clear" w:color="auto" w:fill="FFFFFF"/>
                <w:lang w:val="de-DE"/>
              </w:rPr>
              <w:t xml:space="preserve">. </w:t>
            </w:r>
            <w:r w:rsidRPr="000A0DFC">
              <w:rPr>
                <w:rFonts w:asciiTheme="minorHAnsi" w:eastAsia="Calibri" w:hAnsiTheme="minorHAnsi" w:cstheme="minorHAnsi"/>
                <w:color w:val="222222"/>
                <w:sz w:val="20"/>
                <w:szCs w:val="20"/>
                <w:shd w:val="clear" w:color="auto" w:fill="FFFFFF"/>
                <w:lang w:val="en-US"/>
              </w:rPr>
              <w:t>Cross-cultural adaptation and validation of the eHealth Literacy Scale in Korea.</w:t>
            </w:r>
            <w:r w:rsidR="00163087">
              <w:rPr>
                <w:rFonts w:asciiTheme="minorHAnsi" w:eastAsia="Calibri" w:hAnsiTheme="minorHAnsi" w:cstheme="minorHAnsi"/>
                <w:color w:val="222222"/>
                <w:sz w:val="20"/>
                <w:szCs w:val="20"/>
                <w:shd w:val="clear" w:color="auto" w:fill="FFFFFF"/>
                <w:lang w:val="en-US"/>
              </w:rPr>
              <w:t xml:space="preserve"> </w:t>
            </w:r>
            <w:r w:rsidR="00163087" w:rsidRPr="00163087">
              <w:rPr>
                <w:rFonts w:asciiTheme="minorHAnsi" w:eastAsia="Calibri" w:hAnsiTheme="minorHAnsi" w:cstheme="minorHAnsi"/>
                <w:color w:val="222222"/>
                <w:sz w:val="20"/>
                <w:szCs w:val="20"/>
                <w:shd w:val="clear" w:color="auto" w:fill="FFFFFF"/>
                <w:lang w:val="en-US"/>
              </w:rPr>
              <w:t>Korean J Adult Nurs. 2018 Oct;30(5):504-515.</w:t>
            </w:r>
          </w:p>
        </w:tc>
        <w:tc>
          <w:tcPr>
            <w:tcW w:w="2688" w:type="dxa"/>
            <w:tcBorders>
              <w:left w:val="nil"/>
              <w:right w:val="nil"/>
            </w:tcBorders>
            <w:vAlign w:val="center"/>
          </w:tcPr>
          <w:p w14:paraId="59E192DF"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Language other than English, French, Italian, Spanish</w:t>
            </w:r>
          </w:p>
        </w:tc>
      </w:tr>
      <w:tr w:rsidR="00522E94" w:rsidRPr="000A0DFC" w14:paraId="1518C0D4" w14:textId="77777777" w:rsidTr="00C447C2">
        <w:tc>
          <w:tcPr>
            <w:tcW w:w="6374" w:type="dxa"/>
            <w:tcBorders>
              <w:left w:val="nil"/>
              <w:right w:val="nil"/>
            </w:tcBorders>
          </w:tcPr>
          <w:p w14:paraId="637821AA" w14:textId="1D7A3BF0" w:rsidR="00522E94" w:rsidRPr="000A0DFC" w:rsidRDefault="00163087"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163087">
              <w:rPr>
                <w:rFonts w:asciiTheme="minorHAnsi" w:eastAsia="Calibri" w:hAnsiTheme="minorHAnsi" w:cstheme="minorHAnsi"/>
                <w:color w:val="222222"/>
                <w:sz w:val="20"/>
                <w:szCs w:val="20"/>
                <w:shd w:val="clear" w:color="auto" w:fill="FFFFFF"/>
                <w:lang w:val="en-GB"/>
              </w:rPr>
              <w:t xml:space="preserve">Chesser A, Burke A, Reyes J, Rohrberg T. Navigating the digital divide: A systematic review of eHealth literacy in underserved populations in the United States. </w:t>
            </w:r>
            <w:r w:rsidRPr="00163087">
              <w:rPr>
                <w:rFonts w:asciiTheme="minorHAnsi" w:eastAsia="Calibri" w:hAnsiTheme="minorHAnsi" w:cstheme="minorHAnsi"/>
                <w:color w:val="222222"/>
                <w:sz w:val="20"/>
                <w:szCs w:val="20"/>
                <w:shd w:val="clear" w:color="auto" w:fill="FFFFFF"/>
                <w:lang w:val="de-CH"/>
              </w:rPr>
              <w:t>Inform Health Soc Care. 2016;41(1):1-19</w:t>
            </w:r>
            <w:r w:rsidR="00522E94" w:rsidRPr="000A0DFC">
              <w:rPr>
                <w:rFonts w:asciiTheme="minorHAnsi" w:eastAsia="Calibri" w:hAnsiTheme="minorHAnsi" w:cstheme="minorHAnsi"/>
                <w:color w:val="222222"/>
                <w:sz w:val="20"/>
                <w:szCs w:val="20"/>
                <w:shd w:val="clear" w:color="auto" w:fill="FFFFFF"/>
                <w:lang w:val="de-CH"/>
              </w:rPr>
              <w:t>.</w:t>
            </w:r>
          </w:p>
        </w:tc>
        <w:tc>
          <w:tcPr>
            <w:tcW w:w="2688" w:type="dxa"/>
            <w:tcBorders>
              <w:left w:val="nil"/>
              <w:right w:val="nil"/>
            </w:tcBorders>
            <w:vAlign w:val="center"/>
          </w:tcPr>
          <w:p w14:paraId="12B06B80"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rPr>
              <w:t>Review</w:t>
            </w:r>
          </w:p>
        </w:tc>
      </w:tr>
      <w:tr w:rsidR="00522E94" w:rsidRPr="00B04110" w14:paraId="55E1B027" w14:textId="77777777" w:rsidTr="00C447C2">
        <w:tc>
          <w:tcPr>
            <w:tcW w:w="6374" w:type="dxa"/>
            <w:tcBorders>
              <w:left w:val="nil"/>
              <w:right w:val="nil"/>
            </w:tcBorders>
          </w:tcPr>
          <w:p w14:paraId="71AA48C0" w14:textId="0BBAA06C" w:rsidR="00522E94" w:rsidRPr="000A0DFC" w:rsidRDefault="00163087"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163087">
              <w:rPr>
                <w:rFonts w:asciiTheme="minorHAnsi" w:eastAsia="Calibri" w:hAnsiTheme="minorHAnsi" w:cstheme="minorHAnsi"/>
                <w:color w:val="222222"/>
                <w:sz w:val="20"/>
                <w:szCs w:val="20"/>
                <w:shd w:val="clear" w:color="auto" w:fill="FFFFFF"/>
                <w:lang w:val="en-GB"/>
              </w:rPr>
              <w:lastRenderedPageBreak/>
              <w:t xml:space="preserve">Monkman H, Kushniruk AW, Barnett J, Borycki EM, Greiner LE, Sheets D. Are Health Literacy and eHealth Literacy the Same or Different? </w:t>
            </w:r>
            <w:r w:rsidRPr="00163087">
              <w:rPr>
                <w:rFonts w:asciiTheme="minorHAnsi" w:eastAsia="Calibri" w:hAnsiTheme="minorHAnsi" w:cstheme="minorHAnsi"/>
                <w:color w:val="222222"/>
                <w:sz w:val="20"/>
                <w:szCs w:val="20"/>
                <w:shd w:val="clear" w:color="auto" w:fill="FFFFFF"/>
                <w:lang w:val="de-CH"/>
              </w:rPr>
              <w:t>Stud Health Technol Inform. 2017;245:178-182.</w:t>
            </w:r>
          </w:p>
        </w:tc>
        <w:tc>
          <w:tcPr>
            <w:tcW w:w="2688" w:type="dxa"/>
            <w:tcBorders>
              <w:left w:val="nil"/>
              <w:right w:val="nil"/>
            </w:tcBorders>
            <w:vAlign w:val="center"/>
          </w:tcPr>
          <w:p w14:paraId="2CB5CF62"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Measurement proprieties (psychometric quality) not described</w:t>
            </w:r>
          </w:p>
        </w:tc>
      </w:tr>
      <w:tr w:rsidR="00522E94" w:rsidRPr="00B04110" w14:paraId="5F0DD08D" w14:textId="77777777" w:rsidTr="00C447C2">
        <w:tc>
          <w:tcPr>
            <w:tcW w:w="6374" w:type="dxa"/>
            <w:tcBorders>
              <w:left w:val="nil"/>
              <w:right w:val="nil"/>
            </w:tcBorders>
          </w:tcPr>
          <w:p w14:paraId="4E2FA1EE" w14:textId="0D887795" w:rsidR="00522E94" w:rsidRPr="000A0DFC" w:rsidRDefault="00163087"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163087">
              <w:rPr>
                <w:rFonts w:asciiTheme="minorHAnsi" w:eastAsia="Calibri" w:hAnsiTheme="minorHAnsi" w:cstheme="minorHAnsi"/>
                <w:color w:val="222222"/>
                <w:sz w:val="20"/>
                <w:szCs w:val="20"/>
                <w:shd w:val="clear" w:color="auto" w:fill="FFFFFF"/>
                <w:lang w:val="en-US"/>
              </w:rPr>
              <w:t>Choi NG, Dinitto DM. The digital divide among low-income homebound older adults: Internet use patterns, eHealth literacy, and attitudes toward computer/Internet use. J Med Internet Res. 2013 May 2;15(5):e93.</w:t>
            </w:r>
          </w:p>
        </w:tc>
        <w:tc>
          <w:tcPr>
            <w:tcW w:w="2688" w:type="dxa"/>
            <w:tcBorders>
              <w:left w:val="nil"/>
              <w:right w:val="nil"/>
            </w:tcBorders>
            <w:vAlign w:val="center"/>
          </w:tcPr>
          <w:p w14:paraId="14641888"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116425F4" w14:textId="77777777" w:rsidTr="00C447C2">
        <w:tc>
          <w:tcPr>
            <w:tcW w:w="6374" w:type="dxa"/>
            <w:tcBorders>
              <w:left w:val="nil"/>
              <w:right w:val="nil"/>
            </w:tcBorders>
          </w:tcPr>
          <w:p w14:paraId="3006A570" w14:textId="3D5899CF" w:rsidR="00522E94" w:rsidRPr="000A0DFC" w:rsidRDefault="00163087"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163087">
              <w:rPr>
                <w:rFonts w:asciiTheme="minorHAnsi" w:eastAsia="Calibri" w:hAnsiTheme="minorHAnsi" w:cstheme="minorHAnsi"/>
                <w:color w:val="222222"/>
                <w:sz w:val="20"/>
                <w:szCs w:val="20"/>
                <w:shd w:val="clear" w:color="auto" w:fill="FFFFFF"/>
                <w:lang w:val="en-GB"/>
              </w:rPr>
              <w:t xml:space="preserve">Wangdahl JM, Dahlberg K, Jaensson M, Nilsson U. Psychometric validation of Swedish and Arabic versions of two health literacy questionnaires, eHEALS and HLS-EU-Q16, for use in a Swedish context: a study protocol. </w:t>
            </w:r>
            <w:r w:rsidRPr="00163087">
              <w:rPr>
                <w:rFonts w:asciiTheme="minorHAnsi" w:eastAsia="Calibri" w:hAnsiTheme="minorHAnsi" w:cstheme="minorHAnsi"/>
                <w:color w:val="222222"/>
                <w:sz w:val="20"/>
                <w:szCs w:val="20"/>
                <w:shd w:val="clear" w:color="auto" w:fill="FFFFFF"/>
                <w:lang w:val="de-CH"/>
              </w:rPr>
              <w:t>BMJ Open. 2019 Sep 17;9(9):e029668.</w:t>
            </w:r>
          </w:p>
        </w:tc>
        <w:tc>
          <w:tcPr>
            <w:tcW w:w="2688" w:type="dxa"/>
            <w:tcBorders>
              <w:left w:val="nil"/>
              <w:right w:val="nil"/>
            </w:tcBorders>
            <w:vAlign w:val="center"/>
          </w:tcPr>
          <w:p w14:paraId="0A0588F7"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Study protocol only, no results published</w:t>
            </w:r>
          </w:p>
        </w:tc>
      </w:tr>
      <w:tr w:rsidR="00522E94" w:rsidRPr="000A0DFC" w14:paraId="430671E2" w14:textId="77777777" w:rsidTr="00C447C2">
        <w:tc>
          <w:tcPr>
            <w:tcW w:w="6374" w:type="dxa"/>
            <w:tcBorders>
              <w:left w:val="nil"/>
              <w:right w:val="nil"/>
            </w:tcBorders>
          </w:tcPr>
          <w:p w14:paraId="4A10BA49" w14:textId="0A5C3999" w:rsidR="00522E94" w:rsidRPr="000A0DFC" w:rsidRDefault="00522E94"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FA7C98">
              <w:rPr>
                <w:rFonts w:asciiTheme="minorHAnsi" w:eastAsia="Calibri" w:hAnsiTheme="minorHAnsi" w:cstheme="minorHAnsi"/>
                <w:color w:val="222222"/>
                <w:sz w:val="20"/>
                <w:szCs w:val="20"/>
                <w:shd w:val="clear" w:color="auto" w:fill="FFFFFF"/>
                <w:lang w:val="de-DE"/>
              </w:rPr>
              <w:t xml:space="preserve">Park E, Jang BG. </w:t>
            </w:r>
            <w:r w:rsidRPr="000A0DFC">
              <w:rPr>
                <w:rFonts w:asciiTheme="minorHAnsi" w:eastAsia="Calibri" w:hAnsiTheme="minorHAnsi" w:cstheme="minorHAnsi"/>
                <w:color w:val="222222"/>
                <w:sz w:val="20"/>
                <w:szCs w:val="20"/>
                <w:shd w:val="clear" w:color="auto" w:fill="FFFFFF"/>
                <w:lang w:val="en-US"/>
              </w:rPr>
              <w:t xml:space="preserve">Cross-Cultural Validation of Digital Health Literacy Instrument. </w:t>
            </w:r>
            <w:r w:rsidRPr="00FA7C98">
              <w:rPr>
                <w:rFonts w:asciiTheme="minorHAnsi" w:eastAsia="Calibri" w:hAnsiTheme="minorHAnsi" w:cstheme="minorHAnsi"/>
                <w:color w:val="222222"/>
                <w:sz w:val="20"/>
                <w:szCs w:val="20"/>
                <w:shd w:val="clear" w:color="auto" w:fill="FFFFFF"/>
                <w:lang w:val="en-US"/>
              </w:rPr>
              <w:t>Nurs Res</w:t>
            </w:r>
            <w:r w:rsidR="00FA7C98">
              <w:rPr>
                <w:rFonts w:asciiTheme="minorHAnsi" w:eastAsia="Calibri" w:hAnsiTheme="minorHAnsi" w:cstheme="minorHAnsi"/>
                <w:color w:val="222222"/>
                <w:sz w:val="20"/>
                <w:szCs w:val="20"/>
                <w:shd w:val="clear" w:color="auto" w:fill="FFFFFF"/>
                <w:lang w:val="en-US"/>
              </w:rPr>
              <w:t>. 2018;</w:t>
            </w:r>
            <w:r w:rsidRPr="00FA7C98">
              <w:rPr>
                <w:rFonts w:asciiTheme="minorHAnsi" w:eastAsia="Calibri" w:hAnsiTheme="minorHAnsi" w:cstheme="minorHAnsi"/>
                <w:color w:val="222222"/>
                <w:sz w:val="20"/>
                <w:szCs w:val="20"/>
                <w:shd w:val="clear" w:color="auto" w:fill="FFFFFF"/>
                <w:lang w:val="en-US"/>
              </w:rPr>
              <w:t>67</w:t>
            </w:r>
            <w:r w:rsidRPr="000A0DFC">
              <w:rPr>
                <w:rFonts w:asciiTheme="minorHAnsi" w:eastAsia="Calibri" w:hAnsiTheme="minorHAnsi" w:cstheme="minorHAnsi"/>
                <w:color w:val="222222"/>
                <w:sz w:val="20"/>
                <w:szCs w:val="20"/>
                <w:shd w:val="clear" w:color="auto" w:fill="FFFFFF"/>
                <w:lang w:val="en-US"/>
              </w:rPr>
              <w:t>(2)</w:t>
            </w:r>
            <w:r w:rsidR="00FA7C98">
              <w:rPr>
                <w:rFonts w:asciiTheme="minorHAnsi" w:eastAsia="Calibri" w:hAnsiTheme="minorHAnsi" w:cstheme="minorHAnsi"/>
                <w:color w:val="222222"/>
                <w:sz w:val="20"/>
                <w:szCs w:val="20"/>
                <w:shd w:val="clear" w:color="auto" w:fill="FFFFFF"/>
                <w:lang w:val="en-US"/>
              </w:rPr>
              <w:t>:</w:t>
            </w:r>
            <w:r w:rsidRPr="000A0DFC">
              <w:rPr>
                <w:rFonts w:asciiTheme="minorHAnsi" w:eastAsia="Calibri" w:hAnsiTheme="minorHAnsi" w:cstheme="minorHAnsi"/>
                <w:color w:val="222222"/>
                <w:sz w:val="20"/>
                <w:szCs w:val="20"/>
                <w:shd w:val="clear" w:color="auto" w:fill="FFFFFF"/>
                <w:lang w:val="en-US"/>
              </w:rPr>
              <w:t>E81-E82.</w:t>
            </w:r>
          </w:p>
        </w:tc>
        <w:tc>
          <w:tcPr>
            <w:tcW w:w="2688" w:type="dxa"/>
            <w:tcBorders>
              <w:left w:val="nil"/>
              <w:right w:val="nil"/>
            </w:tcBorders>
            <w:vAlign w:val="center"/>
          </w:tcPr>
          <w:p w14:paraId="7EC768A5"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rPr>
              <w:t>Only summary available</w:t>
            </w:r>
          </w:p>
        </w:tc>
      </w:tr>
      <w:tr w:rsidR="00522E94" w:rsidRPr="000A0DFC" w14:paraId="4C56861A" w14:textId="77777777" w:rsidTr="00C447C2">
        <w:tc>
          <w:tcPr>
            <w:tcW w:w="6374" w:type="dxa"/>
            <w:tcBorders>
              <w:left w:val="nil"/>
              <w:right w:val="nil"/>
            </w:tcBorders>
          </w:tcPr>
          <w:p w14:paraId="694BD353" w14:textId="04E91A0D" w:rsidR="00522E94" w:rsidRPr="00FA7C98" w:rsidRDefault="00522E94"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FA7C98">
              <w:rPr>
                <w:rFonts w:asciiTheme="minorHAnsi" w:eastAsia="Calibri" w:hAnsiTheme="minorHAnsi" w:cstheme="minorHAnsi"/>
                <w:color w:val="222222"/>
                <w:sz w:val="20"/>
                <w:szCs w:val="20"/>
                <w:shd w:val="clear" w:color="auto" w:fill="FFFFFF"/>
                <w:lang w:val="en-GB"/>
              </w:rPr>
              <w:t xml:space="preserve">Bitzer </w:t>
            </w:r>
            <w:r w:rsidR="00FA7C98">
              <w:rPr>
                <w:rFonts w:asciiTheme="minorHAnsi" w:eastAsia="Calibri" w:hAnsiTheme="minorHAnsi" w:cstheme="minorHAnsi"/>
                <w:color w:val="222222"/>
                <w:sz w:val="20"/>
                <w:szCs w:val="20"/>
                <w:shd w:val="clear" w:color="auto" w:fill="FFFFFF"/>
                <w:lang w:val="en-GB"/>
              </w:rPr>
              <w:t>E</w:t>
            </w:r>
            <w:r w:rsidRPr="00FA7C98">
              <w:rPr>
                <w:rFonts w:asciiTheme="minorHAnsi" w:eastAsia="Calibri" w:hAnsiTheme="minorHAnsi" w:cstheme="minorHAnsi"/>
                <w:color w:val="222222"/>
                <w:sz w:val="20"/>
                <w:szCs w:val="20"/>
                <w:shd w:val="clear" w:color="auto" w:fill="FFFFFF"/>
                <w:lang w:val="en-GB"/>
              </w:rPr>
              <w:t>, Schwendemann H, Stiller A, Bleckmann P,</w:t>
            </w:r>
            <w:r w:rsidR="00FA7C98" w:rsidRPr="00FA7C98">
              <w:rPr>
                <w:rFonts w:asciiTheme="minorHAnsi" w:eastAsia="Calibri" w:hAnsiTheme="minorHAnsi" w:cstheme="minorHAnsi"/>
                <w:color w:val="222222"/>
                <w:sz w:val="20"/>
                <w:szCs w:val="20"/>
                <w:shd w:val="clear" w:color="auto" w:fill="FFFFFF"/>
                <w:lang w:val="en-GB"/>
              </w:rPr>
              <w:t xml:space="preserve"> </w:t>
            </w:r>
            <w:r w:rsidRPr="00FA7C98">
              <w:rPr>
                <w:rFonts w:asciiTheme="minorHAnsi" w:eastAsia="Calibri" w:hAnsiTheme="minorHAnsi" w:cstheme="minorHAnsi"/>
                <w:color w:val="222222"/>
                <w:sz w:val="20"/>
                <w:szCs w:val="20"/>
                <w:shd w:val="clear" w:color="auto" w:fill="FFFFFF"/>
                <w:lang w:val="en-GB"/>
              </w:rPr>
              <w:t xml:space="preserve">Mößle T. </w:t>
            </w:r>
            <w:r w:rsidRPr="00FA7C98">
              <w:rPr>
                <w:rFonts w:asciiTheme="minorHAnsi" w:eastAsia="Calibri" w:hAnsiTheme="minorHAnsi" w:cstheme="minorHAnsi"/>
                <w:color w:val="222222"/>
                <w:sz w:val="20"/>
                <w:szCs w:val="20"/>
                <w:shd w:val="clear" w:color="auto" w:fill="FFFFFF"/>
                <w:lang w:val="en-US"/>
              </w:rPr>
              <w:t>Current approaches to measure eHealth literacy with special attention to children and adolescents</w:t>
            </w:r>
            <w:r w:rsidR="00FA7C98">
              <w:rPr>
                <w:rFonts w:asciiTheme="minorHAnsi" w:eastAsia="Calibri" w:hAnsiTheme="minorHAnsi" w:cstheme="minorHAnsi"/>
                <w:color w:val="222222"/>
                <w:sz w:val="20"/>
                <w:szCs w:val="20"/>
                <w:shd w:val="clear" w:color="auto" w:fill="FFFFFF"/>
                <w:lang w:val="en-US"/>
              </w:rPr>
              <w:t xml:space="preserve">: </w:t>
            </w:r>
            <w:r w:rsidRPr="00FA7C98">
              <w:rPr>
                <w:rFonts w:asciiTheme="minorHAnsi" w:eastAsia="Calibri" w:hAnsiTheme="minorHAnsi" w:cstheme="minorHAnsi"/>
                <w:color w:val="222222"/>
                <w:sz w:val="20"/>
                <w:szCs w:val="20"/>
                <w:shd w:val="clear" w:color="auto" w:fill="FFFFFF"/>
                <w:lang w:val="en-US"/>
              </w:rPr>
              <w:t>Eva Maria Bitzer.</w:t>
            </w:r>
            <w:r w:rsidR="00FA7C98" w:rsidRPr="00FA7C98">
              <w:rPr>
                <w:rFonts w:asciiTheme="minorHAnsi" w:eastAsia="Calibri" w:hAnsiTheme="minorHAnsi" w:cstheme="minorHAnsi"/>
                <w:color w:val="222222"/>
                <w:sz w:val="20"/>
                <w:szCs w:val="20"/>
                <w:shd w:val="clear" w:color="auto" w:fill="FFFFFF"/>
                <w:lang w:val="en-US"/>
              </w:rPr>
              <w:t xml:space="preserve"> </w:t>
            </w:r>
            <w:r w:rsidR="00FA7C98" w:rsidRPr="00FA7C98">
              <w:rPr>
                <w:rFonts w:asciiTheme="minorHAnsi" w:eastAsia="Calibri" w:hAnsiTheme="minorHAnsi" w:cstheme="minorHAnsi"/>
                <w:color w:val="222222"/>
                <w:sz w:val="20"/>
                <w:szCs w:val="20"/>
                <w:shd w:val="clear" w:color="auto" w:fill="FFFFFF"/>
                <w:lang w:val="en-GB"/>
              </w:rPr>
              <w:t>Eur. J. Public Health</w:t>
            </w:r>
            <w:r w:rsidR="00FA7C98">
              <w:rPr>
                <w:rFonts w:asciiTheme="minorHAnsi" w:eastAsia="Calibri" w:hAnsiTheme="minorHAnsi" w:cstheme="minorHAnsi"/>
                <w:color w:val="222222"/>
                <w:sz w:val="20"/>
                <w:szCs w:val="20"/>
                <w:shd w:val="clear" w:color="auto" w:fill="FFFFFF"/>
                <w:lang w:val="en-GB"/>
              </w:rPr>
              <w:t>. 2016 Nov;</w:t>
            </w:r>
            <w:r w:rsidRPr="00FA7C98">
              <w:rPr>
                <w:rFonts w:asciiTheme="minorHAnsi" w:eastAsia="Calibri" w:hAnsiTheme="minorHAnsi" w:cstheme="minorHAnsi"/>
                <w:color w:val="222222"/>
                <w:sz w:val="20"/>
                <w:szCs w:val="20"/>
                <w:shd w:val="clear" w:color="auto" w:fill="FFFFFF"/>
                <w:lang w:val="en-GB"/>
              </w:rPr>
              <w:t>26(suppl_1).</w:t>
            </w:r>
          </w:p>
        </w:tc>
        <w:tc>
          <w:tcPr>
            <w:tcW w:w="2688" w:type="dxa"/>
            <w:tcBorders>
              <w:left w:val="nil"/>
              <w:right w:val="nil"/>
            </w:tcBorders>
            <w:vAlign w:val="center"/>
          </w:tcPr>
          <w:p w14:paraId="1CF70A65"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rPr>
              <w:t>Paediatric population 0-18</w:t>
            </w:r>
          </w:p>
        </w:tc>
      </w:tr>
      <w:tr w:rsidR="00522E94" w:rsidRPr="00B04110" w14:paraId="56A27227" w14:textId="77777777" w:rsidTr="00C447C2">
        <w:tc>
          <w:tcPr>
            <w:tcW w:w="6374" w:type="dxa"/>
            <w:tcBorders>
              <w:left w:val="nil"/>
              <w:right w:val="nil"/>
            </w:tcBorders>
          </w:tcPr>
          <w:p w14:paraId="2E63833D" w14:textId="6710C01C" w:rsidR="00522E94" w:rsidRPr="00FA7C98" w:rsidRDefault="00FA7C98"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FA7C98">
              <w:rPr>
                <w:rFonts w:asciiTheme="minorHAnsi" w:eastAsia="Calibri" w:hAnsiTheme="minorHAnsi" w:cstheme="minorHAnsi"/>
                <w:color w:val="222222"/>
                <w:sz w:val="20"/>
                <w:szCs w:val="20"/>
                <w:shd w:val="clear" w:color="auto" w:fill="FFFFFF"/>
                <w:lang w:val="en-GB"/>
              </w:rPr>
              <w:t xml:space="preserve">Britt RK, Hatten KN. The Development and Validation of the eHealth Competency Scale: A Measurement of Self-Efficacy, Knowledge, Usage, and Motivation. </w:t>
            </w:r>
            <w:r w:rsidRPr="00FA7C98">
              <w:rPr>
                <w:rFonts w:asciiTheme="minorHAnsi" w:eastAsia="Calibri" w:hAnsiTheme="minorHAnsi" w:cstheme="minorHAnsi"/>
                <w:color w:val="222222"/>
                <w:sz w:val="20"/>
                <w:szCs w:val="20"/>
                <w:shd w:val="clear" w:color="auto" w:fill="FFFFFF"/>
                <w:lang w:val="de-CH"/>
              </w:rPr>
              <w:t>Tech Commun Q. 2016 Apr 07;25(2):137–150.</w:t>
            </w:r>
          </w:p>
        </w:tc>
        <w:tc>
          <w:tcPr>
            <w:tcW w:w="2688" w:type="dxa"/>
            <w:tcBorders>
              <w:left w:val="nil"/>
              <w:right w:val="nil"/>
            </w:tcBorders>
            <w:vAlign w:val="center"/>
          </w:tcPr>
          <w:p w14:paraId="3AAE954D"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0A0DFC" w14:paraId="0152512E" w14:textId="77777777" w:rsidTr="00C447C2">
        <w:tc>
          <w:tcPr>
            <w:tcW w:w="6374" w:type="dxa"/>
            <w:tcBorders>
              <w:left w:val="nil"/>
              <w:right w:val="nil"/>
            </w:tcBorders>
          </w:tcPr>
          <w:p w14:paraId="31023170" w14:textId="5B0E6F89" w:rsidR="00522E94" w:rsidRPr="000A0DFC" w:rsidRDefault="00FA7C98"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FA7C98">
              <w:rPr>
                <w:rFonts w:asciiTheme="minorHAnsi" w:eastAsia="Calibri" w:hAnsiTheme="minorHAnsi" w:cstheme="minorHAnsi"/>
                <w:color w:val="222222"/>
                <w:sz w:val="20"/>
                <w:szCs w:val="20"/>
                <w:shd w:val="clear" w:color="auto" w:fill="FFFFFF"/>
                <w:lang w:val="en-US"/>
              </w:rPr>
              <w:t>Gazibara T, Cakic J, Cakic M, Pekmezovic T, Grgurevic A. eHealth and adolescents in Serbia: psychometric properties of eHeals questionnaire and contributing factors to better online health literacy. Health Promot Int. 2019 Aug 1;34(4):770-778.</w:t>
            </w:r>
          </w:p>
        </w:tc>
        <w:tc>
          <w:tcPr>
            <w:tcW w:w="2688" w:type="dxa"/>
            <w:tcBorders>
              <w:left w:val="nil"/>
              <w:right w:val="nil"/>
            </w:tcBorders>
            <w:vAlign w:val="center"/>
          </w:tcPr>
          <w:p w14:paraId="3C2F6569"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Paediatric population 0-18</w:t>
            </w:r>
          </w:p>
        </w:tc>
      </w:tr>
      <w:tr w:rsidR="00522E94" w:rsidRPr="00B04110" w14:paraId="367C2590" w14:textId="77777777" w:rsidTr="00C447C2">
        <w:tc>
          <w:tcPr>
            <w:tcW w:w="6374" w:type="dxa"/>
            <w:tcBorders>
              <w:left w:val="nil"/>
              <w:right w:val="nil"/>
            </w:tcBorders>
          </w:tcPr>
          <w:p w14:paraId="4E00F1A1" w14:textId="3643F38A" w:rsidR="00522E94" w:rsidRPr="000A0DFC" w:rsidRDefault="0069638D"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69638D">
              <w:rPr>
                <w:rFonts w:asciiTheme="minorHAnsi" w:eastAsia="Calibri" w:hAnsiTheme="minorHAnsi" w:cstheme="minorHAnsi"/>
                <w:color w:val="222222"/>
                <w:sz w:val="20"/>
                <w:szCs w:val="20"/>
                <w:shd w:val="clear" w:color="auto" w:fill="FFFFFF"/>
                <w:lang w:val="de-CH"/>
              </w:rPr>
              <w:t xml:space="preserve">Huhta AM, Hirvonen N, Huotari ML. </w:t>
            </w:r>
            <w:r w:rsidRPr="0069638D">
              <w:rPr>
                <w:rFonts w:asciiTheme="minorHAnsi" w:eastAsia="Calibri" w:hAnsiTheme="minorHAnsi" w:cstheme="minorHAnsi"/>
                <w:color w:val="222222"/>
                <w:sz w:val="20"/>
                <w:szCs w:val="20"/>
                <w:shd w:val="clear" w:color="auto" w:fill="FFFFFF"/>
                <w:lang w:val="en-GB"/>
              </w:rPr>
              <w:t xml:space="preserve">Health Literacy in Web-Based Health Information Environments: Systematic Review of Concepts, Definitions, and Operationalization for Measurement. </w:t>
            </w:r>
            <w:r w:rsidRPr="0069638D">
              <w:rPr>
                <w:rFonts w:asciiTheme="minorHAnsi" w:eastAsia="Calibri" w:hAnsiTheme="minorHAnsi" w:cstheme="minorHAnsi"/>
                <w:color w:val="222222"/>
                <w:sz w:val="20"/>
                <w:szCs w:val="20"/>
                <w:shd w:val="clear" w:color="auto" w:fill="FFFFFF"/>
                <w:lang w:val="de-CH"/>
              </w:rPr>
              <w:t>J Med Internet Res. 2018 Dec 19;20(12):e10273.</w:t>
            </w:r>
          </w:p>
        </w:tc>
        <w:tc>
          <w:tcPr>
            <w:tcW w:w="2688" w:type="dxa"/>
            <w:tcBorders>
              <w:left w:val="nil"/>
              <w:right w:val="nil"/>
            </w:tcBorders>
            <w:vAlign w:val="center"/>
          </w:tcPr>
          <w:p w14:paraId="154295DE"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Not a primary study: review, state of the art</w:t>
            </w:r>
          </w:p>
        </w:tc>
      </w:tr>
      <w:tr w:rsidR="00522E94" w:rsidRPr="00B04110" w14:paraId="3316BAE3" w14:textId="77777777" w:rsidTr="00C447C2">
        <w:tc>
          <w:tcPr>
            <w:tcW w:w="6374" w:type="dxa"/>
            <w:tcBorders>
              <w:left w:val="nil"/>
              <w:right w:val="nil"/>
            </w:tcBorders>
          </w:tcPr>
          <w:p w14:paraId="53B9DCD4" w14:textId="069AFF5C" w:rsidR="00522E94" w:rsidRPr="000A0DFC" w:rsidRDefault="0069638D"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69638D">
              <w:rPr>
                <w:rFonts w:asciiTheme="minorHAnsi" w:eastAsia="Calibri" w:hAnsiTheme="minorHAnsi" w:cstheme="minorHAnsi"/>
                <w:color w:val="222222"/>
                <w:sz w:val="20"/>
                <w:szCs w:val="20"/>
                <w:shd w:val="clear" w:color="auto" w:fill="FFFFFF"/>
                <w:lang w:val="en-US"/>
              </w:rPr>
              <w:t>Paramio-Pérez G, Almagro BJ, Hernando Á, Aguaded I. Respuesta a la carta Errores correlacionados y estimación de la fiabilidad en estudios de validación: comentarios al trabajo validación de la escala ehealth literacy (eheals) en población universitaria española [Answer to the letter Correlated errors and estimate of reliability in validation studies: comments to work Validation of the eHealth Literacy Scale (eHEALS) in Spanish University Students]. Rev Esp Salud Publica. 2016 Jun 8;90:e1-2.</w:t>
            </w:r>
          </w:p>
        </w:tc>
        <w:tc>
          <w:tcPr>
            <w:tcW w:w="2688" w:type="dxa"/>
            <w:tcBorders>
              <w:left w:val="nil"/>
              <w:right w:val="nil"/>
            </w:tcBorders>
            <w:vAlign w:val="center"/>
          </w:tcPr>
          <w:p w14:paraId="1C5990DA"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Measurement proprieties (psychometric quality) not described</w:t>
            </w:r>
          </w:p>
        </w:tc>
      </w:tr>
      <w:tr w:rsidR="00522E94" w:rsidRPr="000A0DFC" w14:paraId="7A093E43" w14:textId="77777777" w:rsidTr="00C447C2">
        <w:tc>
          <w:tcPr>
            <w:tcW w:w="6374" w:type="dxa"/>
            <w:tcBorders>
              <w:left w:val="nil"/>
              <w:right w:val="nil"/>
            </w:tcBorders>
          </w:tcPr>
          <w:p w14:paraId="0A0C5914" w14:textId="22E2B060" w:rsidR="00522E94" w:rsidRPr="000A0DFC" w:rsidRDefault="0069638D"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69638D">
              <w:rPr>
                <w:rFonts w:asciiTheme="minorHAnsi" w:eastAsia="Calibri" w:hAnsiTheme="minorHAnsi" w:cstheme="minorHAnsi"/>
                <w:color w:val="222222"/>
                <w:sz w:val="20"/>
                <w:szCs w:val="20"/>
                <w:shd w:val="clear" w:color="auto" w:fill="FFFFFF"/>
                <w:lang w:val="en-GB"/>
              </w:rPr>
              <w:t xml:space="preserve">Paige SR, Krieger JL, Stellefson M, Alber JM. eHealth literacy in chronic disease patients: An item response theory analysis of the eHealth literacy scale (eHEALS). </w:t>
            </w:r>
            <w:r w:rsidRPr="0069638D">
              <w:rPr>
                <w:rFonts w:asciiTheme="minorHAnsi" w:eastAsia="Calibri" w:hAnsiTheme="minorHAnsi" w:cstheme="minorHAnsi"/>
                <w:color w:val="222222"/>
                <w:sz w:val="20"/>
                <w:szCs w:val="20"/>
                <w:shd w:val="clear" w:color="auto" w:fill="FFFFFF"/>
                <w:lang w:val="de-CH"/>
              </w:rPr>
              <w:t>Patient Educ Couns. 2017 Feb;100(2):320-326</w:t>
            </w:r>
            <w:r>
              <w:rPr>
                <w:rFonts w:asciiTheme="minorHAnsi" w:eastAsia="Calibri" w:hAnsiTheme="minorHAnsi" w:cstheme="minorHAnsi"/>
                <w:color w:val="222222"/>
                <w:sz w:val="20"/>
                <w:szCs w:val="20"/>
                <w:shd w:val="clear" w:color="auto" w:fill="FFFFFF"/>
                <w:lang w:val="de-CH"/>
              </w:rPr>
              <w:t>.</w:t>
            </w:r>
          </w:p>
        </w:tc>
        <w:tc>
          <w:tcPr>
            <w:tcW w:w="2688" w:type="dxa"/>
            <w:tcBorders>
              <w:left w:val="nil"/>
              <w:right w:val="nil"/>
            </w:tcBorders>
            <w:vAlign w:val="center"/>
          </w:tcPr>
          <w:p w14:paraId="2F701603" w14:textId="731DB05A" w:rsidR="00522E94" w:rsidRPr="000A0DFC" w:rsidRDefault="00522E94" w:rsidP="000A0DFC">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rPr>
              <w:t>Corrigendum</w:t>
            </w:r>
          </w:p>
        </w:tc>
      </w:tr>
      <w:tr w:rsidR="00522E94" w:rsidRPr="00B04110" w14:paraId="37B18FDA" w14:textId="77777777" w:rsidTr="00C447C2">
        <w:tc>
          <w:tcPr>
            <w:tcW w:w="6374" w:type="dxa"/>
            <w:tcBorders>
              <w:left w:val="nil"/>
              <w:right w:val="nil"/>
            </w:tcBorders>
          </w:tcPr>
          <w:p w14:paraId="4FA693FD" w14:textId="191DB26B" w:rsidR="00522E94" w:rsidRPr="000A0DFC" w:rsidRDefault="007C5868"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7C5868">
              <w:rPr>
                <w:rFonts w:asciiTheme="minorHAnsi" w:eastAsia="Calibri" w:hAnsiTheme="minorHAnsi" w:cstheme="minorHAnsi"/>
                <w:color w:val="222222"/>
                <w:sz w:val="20"/>
                <w:szCs w:val="20"/>
                <w:shd w:val="clear" w:color="auto" w:fill="FFFFFF"/>
                <w:lang w:val="en-GB"/>
              </w:rPr>
              <w:t xml:space="preserve">Lalor JP, Wu H, Chen L, Mazor KM, Yu H. ComprehENotes, an Instrument to Assess Patient Reading Comprehension of Electronic Health Record Notes: Development and Validation. </w:t>
            </w:r>
            <w:r w:rsidRPr="007C5868">
              <w:rPr>
                <w:rFonts w:asciiTheme="minorHAnsi" w:eastAsia="Calibri" w:hAnsiTheme="minorHAnsi" w:cstheme="minorHAnsi"/>
                <w:color w:val="222222"/>
                <w:sz w:val="20"/>
                <w:szCs w:val="20"/>
                <w:shd w:val="clear" w:color="auto" w:fill="FFFFFF"/>
                <w:lang w:val="de-CH"/>
              </w:rPr>
              <w:t>J Med Internet Res. 2018 Apr 25;20(4):e139.</w:t>
            </w:r>
          </w:p>
        </w:tc>
        <w:tc>
          <w:tcPr>
            <w:tcW w:w="2688" w:type="dxa"/>
            <w:tcBorders>
              <w:left w:val="nil"/>
              <w:right w:val="nil"/>
            </w:tcBorders>
            <w:vAlign w:val="center"/>
          </w:tcPr>
          <w:p w14:paraId="4488304B"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B04110" w14:paraId="7F30B6C0" w14:textId="77777777" w:rsidTr="00C447C2">
        <w:tc>
          <w:tcPr>
            <w:tcW w:w="6374" w:type="dxa"/>
            <w:tcBorders>
              <w:left w:val="nil"/>
              <w:right w:val="nil"/>
            </w:tcBorders>
          </w:tcPr>
          <w:p w14:paraId="31E87989" w14:textId="0AE0451B" w:rsidR="00522E94" w:rsidRPr="000A0DFC" w:rsidRDefault="007C5868"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7C5868">
              <w:rPr>
                <w:rFonts w:asciiTheme="minorHAnsi" w:eastAsia="Calibri" w:hAnsiTheme="minorHAnsi" w:cstheme="minorHAnsi"/>
                <w:color w:val="222222"/>
                <w:sz w:val="20"/>
                <w:szCs w:val="20"/>
                <w:shd w:val="clear" w:color="auto" w:fill="FFFFFF"/>
                <w:lang w:val="en-US"/>
              </w:rPr>
              <w:t>Richtering SS, Hyun K, Neubeck L, Coorey G, Chalmers J, Usherwood T, Peiris D, Chow CK, Redfern J. eHealth Literacy: Predictors in a Population With Moderate-to-High Cardiovascular Risk. JMIR Hum Factors. 2017 Jan 27;4(1):e4.</w:t>
            </w:r>
            <w:r w:rsidR="00522E94" w:rsidRPr="000A0DFC">
              <w:rPr>
                <w:rFonts w:asciiTheme="minorHAnsi" w:eastAsia="Calibri" w:hAnsiTheme="minorHAnsi" w:cstheme="minorHAnsi"/>
                <w:color w:val="222222"/>
                <w:sz w:val="20"/>
                <w:szCs w:val="20"/>
                <w:shd w:val="clear" w:color="auto" w:fill="FFFFFF"/>
              </w:rPr>
              <w:t>.</w:t>
            </w:r>
          </w:p>
        </w:tc>
        <w:tc>
          <w:tcPr>
            <w:tcW w:w="2688" w:type="dxa"/>
            <w:tcBorders>
              <w:left w:val="nil"/>
              <w:right w:val="nil"/>
            </w:tcBorders>
            <w:vAlign w:val="center"/>
          </w:tcPr>
          <w:p w14:paraId="3E8B405B"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50D4EB77" w14:textId="77777777" w:rsidTr="00C447C2">
        <w:tc>
          <w:tcPr>
            <w:tcW w:w="6374" w:type="dxa"/>
            <w:tcBorders>
              <w:left w:val="nil"/>
              <w:right w:val="nil"/>
            </w:tcBorders>
          </w:tcPr>
          <w:p w14:paraId="0ADFDFD6" w14:textId="79DC78B8" w:rsidR="00522E94" w:rsidRPr="000A0DFC" w:rsidRDefault="007C5868" w:rsidP="00C447C2">
            <w:pPr>
              <w:spacing w:after="0" w:line="240" w:lineRule="auto"/>
              <w:jc w:val="left"/>
              <w:rPr>
                <w:rFonts w:asciiTheme="minorHAnsi" w:eastAsia="Calibri" w:hAnsiTheme="minorHAnsi" w:cstheme="minorHAnsi"/>
                <w:color w:val="222222"/>
                <w:sz w:val="20"/>
                <w:szCs w:val="20"/>
                <w:shd w:val="clear" w:color="auto" w:fill="FFFFFF"/>
                <w:lang w:val="de-CH"/>
              </w:rPr>
            </w:pPr>
            <w:r w:rsidRPr="007C5868">
              <w:rPr>
                <w:rFonts w:asciiTheme="minorHAnsi" w:eastAsia="Calibri" w:hAnsiTheme="minorHAnsi" w:cstheme="minorHAnsi"/>
                <w:color w:val="222222"/>
                <w:sz w:val="20"/>
                <w:szCs w:val="20"/>
                <w:shd w:val="clear" w:color="auto" w:fill="FFFFFF"/>
                <w:lang w:val="en-US"/>
              </w:rPr>
              <w:t>Wakefield BJ, Turvey CL, Nazi KM, Holman JE, Hogan TP, Shimada SL, Kennedy DR. Psychometric Properties of Patient-Facing eHealth Evaluation Measures: Systematic Review and Analysis. J Med Internet Res. 2017 Oct 11;19(10):e346.</w:t>
            </w:r>
          </w:p>
        </w:tc>
        <w:tc>
          <w:tcPr>
            <w:tcW w:w="2688" w:type="dxa"/>
            <w:tcBorders>
              <w:left w:val="nil"/>
              <w:right w:val="nil"/>
            </w:tcBorders>
            <w:vAlign w:val="center"/>
          </w:tcPr>
          <w:p w14:paraId="499AC06D"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Not a primary study: review, state of the art</w:t>
            </w:r>
          </w:p>
        </w:tc>
      </w:tr>
      <w:tr w:rsidR="00522E94" w:rsidRPr="00B04110" w14:paraId="2FE8CE0B" w14:textId="77777777" w:rsidTr="00C447C2">
        <w:tc>
          <w:tcPr>
            <w:tcW w:w="6374" w:type="dxa"/>
            <w:tcBorders>
              <w:left w:val="nil"/>
              <w:right w:val="nil"/>
            </w:tcBorders>
          </w:tcPr>
          <w:p w14:paraId="135A1437" w14:textId="3C4A11E5" w:rsidR="00522E94" w:rsidRPr="000A0DFC" w:rsidRDefault="007C5868"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7C5868">
              <w:rPr>
                <w:rFonts w:asciiTheme="minorHAnsi" w:eastAsia="Calibri" w:hAnsiTheme="minorHAnsi" w:cstheme="minorHAnsi"/>
                <w:color w:val="222222"/>
                <w:sz w:val="20"/>
                <w:szCs w:val="20"/>
                <w:shd w:val="clear" w:color="auto" w:fill="FFFFFF"/>
                <w:lang w:val="en-GB"/>
              </w:rPr>
              <w:t xml:space="preserve">Alpay L, van der Boog P, Dumaij A. An empowerment-based approach to developing innovative e-health tools for self-management. </w:t>
            </w:r>
            <w:r w:rsidRPr="007C5868">
              <w:rPr>
                <w:rFonts w:asciiTheme="minorHAnsi" w:eastAsia="Calibri" w:hAnsiTheme="minorHAnsi" w:cstheme="minorHAnsi"/>
                <w:color w:val="222222"/>
                <w:sz w:val="20"/>
                <w:szCs w:val="20"/>
                <w:shd w:val="clear" w:color="auto" w:fill="FFFFFF"/>
                <w:lang w:val="de-CH"/>
              </w:rPr>
              <w:t>Health Informatics J. 2011 Dec;17(4):247-55.</w:t>
            </w:r>
          </w:p>
        </w:tc>
        <w:tc>
          <w:tcPr>
            <w:tcW w:w="2688" w:type="dxa"/>
            <w:tcBorders>
              <w:left w:val="nil"/>
              <w:right w:val="nil"/>
            </w:tcBorders>
            <w:vAlign w:val="center"/>
          </w:tcPr>
          <w:p w14:paraId="01C64F9C"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0A0DFC" w14:paraId="40801A4B" w14:textId="77777777" w:rsidTr="00C447C2">
        <w:tc>
          <w:tcPr>
            <w:tcW w:w="6374" w:type="dxa"/>
            <w:tcBorders>
              <w:left w:val="nil"/>
              <w:right w:val="nil"/>
            </w:tcBorders>
          </w:tcPr>
          <w:p w14:paraId="11354296" w14:textId="15DC661B" w:rsidR="00522E94" w:rsidRPr="000A0DFC" w:rsidRDefault="00522E94"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0A0DFC">
              <w:rPr>
                <w:rFonts w:asciiTheme="minorHAnsi" w:eastAsia="Calibri" w:hAnsiTheme="minorHAnsi" w:cstheme="minorHAnsi"/>
                <w:color w:val="222222"/>
                <w:sz w:val="20"/>
                <w:szCs w:val="20"/>
                <w:shd w:val="clear" w:color="auto" w:fill="FFFFFF"/>
                <w:lang w:val="en-US"/>
              </w:rPr>
              <w:t xml:space="preserve">Jean BS, Greene Taylor N, Kodama C, Subramaniam M. Assessing the digital health literacy skills of tween participants in a school-library-based after-school </w:t>
            </w:r>
            <w:r w:rsidRPr="007C5868">
              <w:rPr>
                <w:rFonts w:asciiTheme="minorHAnsi" w:eastAsia="Calibri" w:hAnsiTheme="minorHAnsi" w:cstheme="minorHAnsi"/>
                <w:color w:val="222222"/>
                <w:sz w:val="20"/>
                <w:szCs w:val="20"/>
                <w:shd w:val="clear" w:color="auto" w:fill="FFFFFF"/>
                <w:lang w:val="en-US"/>
              </w:rPr>
              <w:t>program.</w:t>
            </w:r>
            <w:r w:rsidR="007C5868" w:rsidRPr="007C5868">
              <w:rPr>
                <w:rFonts w:asciiTheme="minorHAnsi" w:eastAsia="Calibri" w:hAnsiTheme="minorHAnsi" w:cstheme="minorHAnsi"/>
                <w:color w:val="222222"/>
                <w:sz w:val="20"/>
                <w:szCs w:val="20"/>
                <w:shd w:val="clear" w:color="auto" w:fill="FFFFFF"/>
                <w:lang w:val="en-US"/>
              </w:rPr>
              <w:t xml:space="preserve"> </w:t>
            </w:r>
            <w:r w:rsidR="007C5868" w:rsidRPr="007C5868">
              <w:rPr>
                <w:rFonts w:asciiTheme="minorHAnsi" w:eastAsia="Calibri" w:hAnsiTheme="minorHAnsi" w:cstheme="minorHAnsi"/>
                <w:color w:val="222222"/>
                <w:sz w:val="20"/>
                <w:szCs w:val="20"/>
                <w:shd w:val="clear" w:color="auto" w:fill="FFFFFF"/>
                <w:lang w:val="en-GB"/>
              </w:rPr>
              <w:t>J Consum Health Internet. 2017 Mar;</w:t>
            </w:r>
            <w:r w:rsidRPr="007C5868">
              <w:rPr>
                <w:rFonts w:asciiTheme="minorHAnsi" w:eastAsia="Calibri" w:hAnsiTheme="minorHAnsi" w:cstheme="minorHAnsi"/>
                <w:color w:val="222222"/>
                <w:sz w:val="20"/>
                <w:szCs w:val="20"/>
                <w:shd w:val="clear" w:color="auto" w:fill="FFFFFF"/>
                <w:lang w:val="en-GB"/>
              </w:rPr>
              <w:t>21(1)</w:t>
            </w:r>
            <w:r w:rsidR="007C5868" w:rsidRPr="007C5868">
              <w:rPr>
                <w:rFonts w:asciiTheme="minorHAnsi" w:eastAsia="Calibri" w:hAnsiTheme="minorHAnsi" w:cstheme="minorHAnsi"/>
                <w:color w:val="222222"/>
                <w:sz w:val="20"/>
                <w:szCs w:val="20"/>
                <w:shd w:val="clear" w:color="auto" w:fill="FFFFFF"/>
                <w:lang w:val="en-GB"/>
              </w:rPr>
              <w:t> :</w:t>
            </w:r>
            <w:r w:rsidRPr="007C5868">
              <w:rPr>
                <w:rFonts w:asciiTheme="minorHAnsi" w:eastAsia="Calibri" w:hAnsiTheme="minorHAnsi" w:cstheme="minorHAnsi"/>
                <w:color w:val="222222"/>
                <w:sz w:val="20"/>
                <w:szCs w:val="20"/>
                <w:shd w:val="clear" w:color="auto" w:fill="FFFFFF"/>
                <w:lang w:val="en-GB"/>
              </w:rPr>
              <w:t>40-61.</w:t>
            </w:r>
          </w:p>
        </w:tc>
        <w:tc>
          <w:tcPr>
            <w:tcW w:w="2688" w:type="dxa"/>
            <w:tcBorders>
              <w:left w:val="nil"/>
              <w:right w:val="nil"/>
            </w:tcBorders>
            <w:vAlign w:val="center"/>
          </w:tcPr>
          <w:p w14:paraId="43481CA7"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Paediatric population 0-18</w:t>
            </w:r>
          </w:p>
        </w:tc>
      </w:tr>
      <w:tr w:rsidR="00522E94" w:rsidRPr="00B04110" w14:paraId="6872AF72" w14:textId="77777777" w:rsidTr="00C447C2">
        <w:tc>
          <w:tcPr>
            <w:tcW w:w="6374" w:type="dxa"/>
            <w:tcBorders>
              <w:left w:val="nil"/>
              <w:right w:val="nil"/>
            </w:tcBorders>
          </w:tcPr>
          <w:p w14:paraId="0D7D911B" w14:textId="2557D240" w:rsidR="00522E94" w:rsidRPr="000A0DFC" w:rsidRDefault="00B30ADF"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B30ADF">
              <w:rPr>
                <w:rFonts w:asciiTheme="minorHAnsi" w:eastAsia="Calibri" w:hAnsiTheme="minorHAnsi" w:cstheme="minorHAnsi"/>
                <w:color w:val="222222"/>
                <w:sz w:val="20"/>
                <w:szCs w:val="20"/>
                <w:shd w:val="clear" w:color="auto" w:fill="FFFFFF"/>
                <w:lang w:val="en-GB"/>
              </w:rPr>
              <w:t xml:space="preserve">Park S, Burford S, Nolan C, Hanlen L. The Role of Digital Engagement in the Self-Management of Type 2 Diabetes. </w:t>
            </w:r>
            <w:r w:rsidRPr="00B30ADF">
              <w:rPr>
                <w:rFonts w:asciiTheme="minorHAnsi" w:eastAsia="Calibri" w:hAnsiTheme="minorHAnsi" w:cstheme="minorHAnsi"/>
                <w:color w:val="222222"/>
                <w:sz w:val="20"/>
                <w:szCs w:val="20"/>
                <w:shd w:val="clear" w:color="auto" w:fill="FFFFFF"/>
                <w:lang w:val="de-CH"/>
              </w:rPr>
              <w:t>Health Commun. 2016 Dec;31(12):1557-</w:t>
            </w:r>
            <w:r>
              <w:rPr>
                <w:rFonts w:asciiTheme="minorHAnsi" w:eastAsia="Calibri" w:hAnsiTheme="minorHAnsi" w:cstheme="minorHAnsi"/>
                <w:color w:val="222222"/>
                <w:sz w:val="20"/>
                <w:szCs w:val="20"/>
                <w:shd w:val="clear" w:color="auto" w:fill="FFFFFF"/>
                <w:lang w:val="de-CH"/>
              </w:rPr>
              <w:t>15</w:t>
            </w:r>
            <w:r w:rsidRPr="00B30ADF">
              <w:rPr>
                <w:rFonts w:asciiTheme="minorHAnsi" w:eastAsia="Calibri" w:hAnsiTheme="minorHAnsi" w:cstheme="minorHAnsi"/>
                <w:color w:val="222222"/>
                <w:sz w:val="20"/>
                <w:szCs w:val="20"/>
                <w:shd w:val="clear" w:color="auto" w:fill="FFFFFF"/>
                <w:lang w:val="de-CH"/>
              </w:rPr>
              <w:t>65</w:t>
            </w:r>
            <w:r w:rsidR="00522E94" w:rsidRPr="000A0DFC">
              <w:rPr>
                <w:rFonts w:asciiTheme="minorHAnsi" w:eastAsia="Calibri" w:hAnsiTheme="minorHAnsi" w:cstheme="minorHAnsi"/>
                <w:color w:val="222222"/>
                <w:sz w:val="20"/>
                <w:szCs w:val="20"/>
                <w:shd w:val="clear" w:color="auto" w:fill="FFFFFF"/>
                <w:lang w:val="en-US"/>
              </w:rPr>
              <w:t>.</w:t>
            </w:r>
          </w:p>
        </w:tc>
        <w:tc>
          <w:tcPr>
            <w:tcW w:w="2688" w:type="dxa"/>
            <w:tcBorders>
              <w:left w:val="nil"/>
              <w:right w:val="nil"/>
            </w:tcBorders>
            <w:vAlign w:val="center"/>
          </w:tcPr>
          <w:p w14:paraId="253474D4"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B04110" w14:paraId="10F1FD5D" w14:textId="77777777" w:rsidTr="00C447C2">
        <w:tc>
          <w:tcPr>
            <w:tcW w:w="6374" w:type="dxa"/>
            <w:tcBorders>
              <w:left w:val="nil"/>
              <w:right w:val="nil"/>
            </w:tcBorders>
          </w:tcPr>
          <w:p w14:paraId="12C19EBB" w14:textId="0DB0C6E2" w:rsidR="00522E94" w:rsidRPr="000A0DFC" w:rsidRDefault="00940FBA"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940FBA">
              <w:rPr>
                <w:rFonts w:asciiTheme="minorHAnsi" w:eastAsia="Calibri" w:hAnsiTheme="minorHAnsi" w:cstheme="minorHAnsi"/>
                <w:color w:val="222222"/>
                <w:sz w:val="20"/>
                <w:szCs w:val="20"/>
                <w:shd w:val="clear" w:color="auto" w:fill="FFFFFF"/>
                <w:lang w:val="en-US"/>
              </w:rPr>
              <w:t>Ditzler N, Greenhawt M. Influence of health literacy and trust in online information on food allergy quality of life and self-efficacy. Ann Allergy Asthma Immunol. 2016 Sep;117(3):258-263.e1.</w:t>
            </w:r>
          </w:p>
        </w:tc>
        <w:tc>
          <w:tcPr>
            <w:tcW w:w="2688" w:type="dxa"/>
            <w:tcBorders>
              <w:left w:val="nil"/>
              <w:right w:val="nil"/>
            </w:tcBorders>
            <w:vAlign w:val="center"/>
          </w:tcPr>
          <w:p w14:paraId="28F31825"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572297A0" w14:textId="77777777" w:rsidTr="00C447C2">
        <w:tc>
          <w:tcPr>
            <w:tcW w:w="6374" w:type="dxa"/>
            <w:tcBorders>
              <w:left w:val="nil"/>
              <w:right w:val="nil"/>
            </w:tcBorders>
          </w:tcPr>
          <w:p w14:paraId="2E919BEC" w14:textId="69E4388D" w:rsidR="00522E94" w:rsidRPr="000A0DFC" w:rsidRDefault="00940FBA"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940FBA">
              <w:rPr>
                <w:rFonts w:asciiTheme="minorHAnsi" w:eastAsia="Calibri" w:hAnsiTheme="minorHAnsi" w:cstheme="minorHAnsi"/>
                <w:color w:val="222222"/>
                <w:sz w:val="20"/>
                <w:szCs w:val="20"/>
                <w:shd w:val="clear" w:color="auto" w:fill="FFFFFF"/>
              </w:rPr>
              <w:t xml:space="preserve">Nouri SS, Avila-Garcia P, Cemballi AG, Sarkar U, Aguilera A, Lyles CR. </w:t>
            </w:r>
            <w:r w:rsidRPr="00940FBA">
              <w:rPr>
                <w:rFonts w:asciiTheme="minorHAnsi" w:eastAsia="Calibri" w:hAnsiTheme="minorHAnsi" w:cstheme="minorHAnsi"/>
                <w:color w:val="222222"/>
                <w:sz w:val="20"/>
                <w:szCs w:val="20"/>
                <w:shd w:val="clear" w:color="auto" w:fill="FFFFFF"/>
                <w:lang w:val="en-GB"/>
              </w:rPr>
              <w:t xml:space="preserve">Assessing Mobile Phone Digital Literacy and Engagement in User-Centered Design in a Diverse, Safety-Net Population: Mixed Methods Study. </w:t>
            </w:r>
            <w:r w:rsidRPr="00940FBA">
              <w:rPr>
                <w:rFonts w:asciiTheme="minorHAnsi" w:eastAsia="Calibri" w:hAnsiTheme="minorHAnsi" w:cstheme="minorHAnsi"/>
                <w:color w:val="222222"/>
                <w:sz w:val="20"/>
                <w:szCs w:val="20"/>
                <w:shd w:val="clear" w:color="auto" w:fill="FFFFFF"/>
              </w:rPr>
              <w:t>JMIR Mhealth Uhealth. 2019 Aug 29;7(8):e14250</w:t>
            </w:r>
            <w:r w:rsidR="00522E94" w:rsidRPr="000A0DFC">
              <w:rPr>
                <w:rFonts w:asciiTheme="minorHAnsi" w:eastAsia="Calibri" w:hAnsiTheme="minorHAnsi" w:cstheme="minorHAnsi"/>
                <w:color w:val="222222"/>
                <w:sz w:val="20"/>
                <w:szCs w:val="20"/>
                <w:shd w:val="clear" w:color="auto" w:fill="FFFFFF"/>
              </w:rPr>
              <w:t>.</w:t>
            </w:r>
          </w:p>
        </w:tc>
        <w:tc>
          <w:tcPr>
            <w:tcW w:w="2688" w:type="dxa"/>
            <w:tcBorders>
              <w:left w:val="nil"/>
              <w:right w:val="nil"/>
            </w:tcBorders>
            <w:vAlign w:val="center"/>
          </w:tcPr>
          <w:p w14:paraId="23177CFC"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B04110" w14:paraId="5122A27A" w14:textId="77777777" w:rsidTr="00C447C2">
        <w:tc>
          <w:tcPr>
            <w:tcW w:w="6374" w:type="dxa"/>
            <w:tcBorders>
              <w:left w:val="nil"/>
              <w:right w:val="nil"/>
            </w:tcBorders>
          </w:tcPr>
          <w:p w14:paraId="651FCB49" w14:textId="02D2D626" w:rsidR="00522E94" w:rsidRPr="000A0DFC" w:rsidRDefault="00940FBA"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940FBA">
              <w:rPr>
                <w:rFonts w:asciiTheme="minorHAnsi" w:eastAsia="Calibri" w:hAnsiTheme="minorHAnsi" w:cstheme="minorHAnsi"/>
                <w:color w:val="222222"/>
                <w:sz w:val="20"/>
                <w:szCs w:val="20"/>
                <w:shd w:val="clear" w:color="auto" w:fill="FFFFFF"/>
                <w:lang w:val="en-GB"/>
              </w:rPr>
              <w:t xml:space="preserve">Griebel L, Kolominsky-Rabas P, Schaller S, Siudyka J, Sierpinski R, Papapavlou D, Simeonidou A, Prokosch HU, Sedlmayr M. Acceptance by laypersons and medical professionals of the personalized eHealth platform, eHealthMonitor. </w:t>
            </w:r>
            <w:r w:rsidRPr="00940FBA">
              <w:rPr>
                <w:rFonts w:asciiTheme="minorHAnsi" w:eastAsia="Calibri" w:hAnsiTheme="minorHAnsi" w:cstheme="minorHAnsi"/>
                <w:color w:val="222222"/>
                <w:sz w:val="20"/>
                <w:szCs w:val="20"/>
                <w:shd w:val="clear" w:color="auto" w:fill="FFFFFF"/>
                <w:lang w:val="de-CH"/>
              </w:rPr>
              <w:t>Inform Health Soc Care. 2017 Sep;42(3):232-249.</w:t>
            </w:r>
          </w:p>
        </w:tc>
        <w:tc>
          <w:tcPr>
            <w:tcW w:w="2688" w:type="dxa"/>
            <w:tcBorders>
              <w:left w:val="nil"/>
              <w:right w:val="nil"/>
            </w:tcBorders>
            <w:vAlign w:val="center"/>
          </w:tcPr>
          <w:p w14:paraId="0FC69A85"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4A0F1E4F" w14:textId="77777777" w:rsidTr="00C447C2">
        <w:tc>
          <w:tcPr>
            <w:tcW w:w="6374" w:type="dxa"/>
            <w:tcBorders>
              <w:left w:val="nil"/>
              <w:right w:val="nil"/>
            </w:tcBorders>
          </w:tcPr>
          <w:p w14:paraId="38C00B12" w14:textId="19BD4A81" w:rsidR="00522E94" w:rsidRPr="000A0DFC" w:rsidRDefault="00522E94"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0A0DFC">
              <w:rPr>
                <w:rFonts w:asciiTheme="minorHAnsi" w:eastAsia="Calibri" w:hAnsiTheme="minorHAnsi" w:cstheme="minorHAnsi"/>
                <w:color w:val="222222"/>
                <w:sz w:val="20"/>
                <w:szCs w:val="20"/>
                <w:shd w:val="clear" w:color="auto" w:fill="FFFFFF"/>
                <w:lang w:val="en-US"/>
              </w:rPr>
              <w:t>Kelly AK</w:t>
            </w:r>
            <w:r w:rsidRPr="00940FBA">
              <w:rPr>
                <w:rFonts w:asciiTheme="minorHAnsi" w:eastAsia="Calibri" w:hAnsiTheme="minorHAnsi" w:cstheme="minorHAnsi"/>
                <w:color w:val="222222"/>
                <w:sz w:val="20"/>
                <w:szCs w:val="20"/>
                <w:shd w:val="clear" w:color="auto" w:fill="FFFFFF"/>
                <w:lang w:val="en-US"/>
              </w:rPr>
              <w:t>.</w:t>
            </w:r>
            <w:r w:rsidR="00940FBA">
              <w:rPr>
                <w:rFonts w:asciiTheme="minorHAnsi" w:eastAsia="Calibri" w:hAnsiTheme="minorHAnsi" w:cstheme="minorHAnsi"/>
                <w:color w:val="222222"/>
                <w:sz w:val="20"/>
                <w:szCs w:val="20"/>
                <w:shd w:val="clear" w:color="auto" w:fill="FFFFFF"/>
                <w:lang w:val="en-US"/>
              </w:rPr>
              <w:t xml:space="preserve"> </w:t>
            </w:r>
            <w:r w:rsidRPr="00940FBA">
              <w:rPr>
                <w:rFonts w:asciiTheme="minorHAnsi" w:eastAsia="Calibri" w:hAnsiTheme="minorHAnsi" w:cstheme="minorHAnsi"/>
                <w:color w:val="222222"/>
                <w:sz w:val="20"/>
                <w:szCs w:val="20"/>
                <w:shd w:val="clear" w:color="auto" w:fill="FFFFFF"/>
                <w:lang w:val="en-US"/>
              </w:rPr>
              <w:t>Evaluating e-health use by primary care providers in a medically underserved clinic</w:t>
            </w:r>
            <w:r w:rsidR="00940FBA">
              <w:rPr>
                <w:rFonts w:asciiTheme="minorHAnsi" w:eastAsia="Calibri" w:hAnsiTheme="minorHAnsi" w:cstheme="minorHAnsi"/>
                <w:color w:val="222222"/>
                <w:sz w:val="20"/>
                <w:szCs w:val="20"/>
                <w:shd w:val="clear" w:color="auto" w:fill="FFFFFF"/>
                <w:lang w:val="en-US"/>
              </w:rPr>
              <w:t xml:space="preserve"> </w:t>
            </w:r>
            <w:r w:rsidRPr="00940FBA">
              <w:rPr>
                <w:rFonts w:asciiTheme="minorHAnsi" w:eastAsia="Calibri" w:hAnsiTheme="minorHAnsi" w:cstheme="minorHAnsi"/>
                <w:color w:val="222222"/>
                <w:sz w:val="20"/>
                <w:szCs w:val="20"/>
                <w:shd w:val="clear" w:color="auto" w:fill="FFFFFF"/>
                <w:lang w:val="en-US"/>
              </w:rPr>
              <w:t xml:space="preserve">(Doctoral dissertation). </w:t>
            </w:r>
            <w:r w:rsidR="00940FBA">
              <w:rPr>
                <w:rFonts w:asciiTheme="minorHAnsi" w:eastAsia="Calibri" w:hAnsiTheme="minorHAnsi" w:cstheme="minorHAnsi"/>
                <w:color w:val="222222"/>
                <w:sz w:val="20"/>
                <w:szCs w:val="20"/>
                <w:shd w:val="clear" w:color="auto" w:fill="FFFFFF"/>
                <w:lang w:val="en-US"/>
              </w:rPr>
              <w:t xml:space="preserve">Tucson: </w:t>
            </w:r>
            <w:r w:rsidRPr="00940FBA">
              <w:rPr>
                <w:rFonts w:asciiTheme="minorHAnsi" w:eastAsia="Calibri" w:hAnsiTheme="minorHAnsi" w:cstheme="minorHAnsi"/>
                <w:color w:val="222222"/>
                <w:sz w:val="20"/>
                <w:szCs w:val="20"/>
                <w:shd w:val="clear" w:color="auto" w:fill="FFFFFF"/>
                <w:lang w:val="en-US"/>
              </w:rPr>
              <w:t>The University of Arizona</w:t>
            </w:r>
            <w:r w:rsidR="00940FBA">
              <w:rPr>
                <w:rFonts w:asciiTheme="minorHAnsi" w:eastAsia="Calibri" w:hAnsiTheme="minorHAnsi" w:cstheme="minorHAnsi"/>
                <w:color w:val="222222"/>
                <w:sz w:val="20"/>
                <w:szCs w:val="20"/>
                <w:shd w:val="clear" w:color="auto" w:fill="FFFFFF"/>
                <w:lang w:val="en-US"/>
              </w:rPr>
              <w:t>; 2016.</w:t>
            </w:r>
          </w:p>
        </w:tc>
        <w:tc>
          <w:tcPr>
            <w:tcW w:w="2688" w:type="dxa"/>
            <w:tcBorders>
              <w:left w:val="nil"/>
              <w:right w:val="nil"/>
            </w:tcBorders>
            <w:vAlign w:val="center"/>
          </w:tcPr>
          <w:p w14:paraId="3A7588D5"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78A28557" w14:textId="77777777" w:rsidTr="00C447C2">
        <w:tc>
          <w:tcPr>
            <w:tcW w:w="6374" w:type="dxa"/>
            <w:tcBorders>
              <w:left w:val="nil"/>
              <w:right w:val="nil"/>
            </w:tcBorders>
          </w:tcPr>
          <w:p w14:paraId="410A88C0" w14:textId="7AFF66EA" w:rsidR="00522E94" w:rsidRPr="000A0DFC" w:rsidRDefault="00940FBA"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940FBA">
              <w:rPr>
                <w:rFonts w:asciiTheme="minorHAnsi" w:eastAsia="Calibri" w:hAnsiTheme="minorHAnsi" w:cstheme="minorHAnsi"/>
                <w:color w:val="222222"/>
                <w:sz w:val="20"/>
                <w:szCs w:val="20"/>
                <w:shd w:val="clear" w:color="auto" w:fill="FFFFFF"/>
                <w:lang w:val="en-GB"/>
              </w:rPr>
              <w:t xml:space="preserve">Sun X, Yang S, Fisher EB, Shi Y, Wang Y, Zeng Q, Ji Y, Chang C, Du W. Relationships of health literacy, health behavior, and health status regarding infectious respiratory diseases: application of a skill-based measure. </w:t>
            </w:r>
            <w:r w:rsidRPr="00940FBA">
              <w:rPr>
                <w:rFonts w:asciiTheme="minorHAnsi" w:eastAsia="Calibri" w:hAnsiTheme="minorHAnsi" w:cstheme="minorHAnsi"/>
                <w:color w:val="222222"/>
                <w:sz w:val="20"/>
                <w:szCs w:val="20"/>
                <w:shd w:val="clear" w:color="auto" w:fill="FFFFFF"/>
                <w:lang w:val="de-CH"/>
              </w:rPr>
              <w:t>J Health Commun. 2014;19 Suppl 2:173-</w:t>
            </w:r>
            <w:r>
              <w:rPr>
                <w:rFonts w:asciiTheme="minorHAnsi" w:eastAsia="Calibri" w:hAnsiTheme="minorHAnsi" w:cstheme="minorHAnsi"/>
                <w:color w:val="222222"/>
                <w:sz w:val="20"/>
                <w:szCs w:val="20"/>
                <w:shd w:val="clear" w:color="auto" w:fill="FFFFFF"/>
                <w:lang w:val="de-CH"/>
              </w:rPr>
              <w:t>1</w:t>
            </w:r>
            <w:r w:rsidRPr="00940FBA">
              <w:rPr>
                <w:rFonts w:asciiTheme="minorHAnsi" w:eastAsia="Calibri" w:hAnsiTheme="minorHAnsi" w:cstheme="minorHAnsi"/>
                <w:color w:val="222222"/>
                <w:sz w:val="20"/>
                <w:szCs w:val="20"/>
                <w:shd w:val="clear" w:color="auto" w:fill="FFFFFF"/>
                <w:lang w:val="de-CH"/>
              </w:rPr>
              <w:t>89.</w:t>
            </w:r>
          </w:p>
        </w:tc>
        <w:tc>
          <w:tcPr>
            <w:tcW w:w="2688" w:type="dxa"/>
            <w:tcBorders>
              <w:left w:val="nil"/>
              <w:right w:val="nil"/>
            </w:tcBorders>
            <w:vAlign w:val="center"/>
          </w:tcPr>
          <w:p w14:paraId="4C2D159A"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2D0293FB" w14:textId="77777777" w:rsidTr="00C447C2">
        <w:tc>
          <w:tcPr>
            <w:tcW w:w="6374" w:type="dxa"/>
            <w:tcBorders>
              <w:left w:val="nil"/>
              <w:right w:val="nil"/>
            </w:tcBorders>
          </w:tcPr>
          <w:p w14:paraId="0DE256FD" w14:textId="4EA3E36D" w:rsidR="00522E94" w:rsidRPr="00940FBA" w:rsidRDefault="00522E94"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940FBA">
              <w:rPr>
                <w:rFonts w:asciiTheme="minorHAnsi" w:eastAsia="Calibri" w:hAnsiTheme="minorHAnsi" w:cstheme="minorHAnsi"/>
                <w:color w:val="222222"/>
                <w:sz w:val="20"/>
                <w:szCs w:val="20"/>
                <w:shd w:val="clear" w:color="auto" w:fill="FFFFFF"/>
                <w:lang w:val="en-US"/>
              </w:rPr>
              <w:t>Tamer Gencer Z. Analysis of validity and reliability of Norman and Skinner's e-Health scale literacy for cultural adaptation.</w:t>
            </w:r>
            <w:r w:rsidR="00940FBA">
              <w:rPr>
                <w:rFonts w:asciiTheme="minorHAnsi" w:eastAsia="Calibri" w:hAnsiTheme="minorHAnsi" w:cstheme="minorHAnsi"/>
                <w:color w:val="222222"/>
                <w:sz w:val="20"/>
                <w:szCs w:val="20"/>
                <w:shd w:val="clear" w:color="auto" w:fill="FFFFFF"/>
                <w:lang w:val="en-US"/>
              </w:rPr>
              <w:t xml:space="preserve"> </w:t>
            </w:r>
            <w:r w:rsidRPr="00940FBA">
              <w:rPr>
                <w:rFonts w:asciiTheme="minorHAnsi" w:eastAsia="Calibri" w:hAnsiTheme="minorHAnsi" w:cstheme="minorHAnsi"/>
                <w:color w:val="222222"/>
                <w:sz w:val="20"/>
                <w:szCs w:val="20"/>
                <w:shd w:val="clear" w:color="auto" w:fill="FFFFFF"/>
                <w:lang w:val="en-GB"/>
              </w:rPr>
              <w:t>Istanbul Universitesi Iletisim Fakultesi Dergisi</w:t>
            </w:r>
            <w:r w:rsidR="00940FBA" w:rsidRPr="00940FBA">
              <w:rPr>
                <w:rFonts w:asciiTheme="minorHAnsi" w:eastAsia="Calibri" w:hAnsiTheme="minorHAnsi" w:cstheme="minorHAnsi"/>
                <w:color w:val="222222"/>
                <w:sz w:val="20"/>
                <w:szCs w:val="20"/>
                <w:shd w:val="clear" w:color="auto" w:fill="FFFFFF"/>
                <w:lang w:val="en-GB"/>
              </w:rPr>
              <w:t>. 2017;</w:t>
            </w:r>
            <w:r w:rsidRPr="00940FBA">
              <w:rPr>
                <w:rFonts w:asciiTheme="minorHAnsi" w:eastAsia="Calibri" w:hAnsiTheme="minorHAnsi" w:cstheme="minorHAnsi"/>
                <w:color w:val="222222"/>
                <w:sz w:val="20"/>
                <w:szCs w:val="20"/>
                <w:shd w:val="clear" w:color="auto" w:fill="FFFFFF"/>
                <w:lang w:val="en-GB"/>
              </w:rPr>
              <w:t>52.</w:t>
            </w:r>
          </w:p>
        </w:tc>
        <w:tc>
          <w:tcPr>
            <w:tcW w:w="2688" w:type="dxa"/>
            <w:tcBorders>
              <w:left w:val="nil"/>
              <w:right w:val="nil"/>
            </w:tcBorders>
            <w:vAlign w:val="center"/>
          </w:tcPr>
          <w:p w14:paraId="3F2FEF78"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Language other than English, French, Italian, Spanish</w:t>
            </w:r>
          </w:p>
        </w:tc>
      </w:tr>
      <w:tr w:rsidR="00522E94" w:rsidRPr="00B04110" w14:paraId="4DECB66A" w14:textId="77777777" w:rsidTr="00C447C2">
        <w:tc>
          <w:tcPr>
            <w:tcW w:w="6374" w:type="dxa"/>
            <w:tcBorders>
              <w:left w:val="nil"/>
              <w:right w:val="nil"/>
            </w:tcBorders>
          </w:tcPr>
          <w:p w14:paraId="56F3BF4D" w14:textId="463E7BB1" w:rsidR="00522E94" w:rsidRPr="000A0DFC" w:rsidRDefault="00522E94"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940FBA">
              <w:rPr>
                <w:rFonts w:asciiTheme="minorHAnsi" w:eastAsia="Calibri" w:hAnsiTheme="minorHAnsi" w:cstheme="minorHAnsi"/>
                <w:color w:val="222222"/>
                <w:sz w:val="20"/>
                <w:szCs w:val="20"/>
                <w:shd w:val="clear" w:color="auto" w:fill="FFFFFF"/>
                <w:lang w:val="en-GB"/>
              </w:rPr>
              <w:t xml:space="preserve">Chen W, Lee KH. </w:t>
            </w:r>
            <w:r w:rsidRPr="000A0DFC">
              <w:rPr>
                <w:rFonts w:asciiTheme="minorHAnsi" w:eastAsia="Calibri" w:hAnsiTheme="minorHAnsi" w:cstheme="minorHAnsi"/>
                <w:color w:val="222222"/>
                <w:sz w:val="20"/>
                <w:szCs w:val="20"/>
                <w:shd w:val="clear" w:color="auto" w:fill="FFFFFF"/>
                <w:lang w:val="en-US"/>
              </w:rPr>
              <w:t xml:space="preserve">More than search? Informational and participatory eHealth behaviors. </w:t>
            </w:r>
            <w:r w:rsidRPr="00940FBA">
              <w:rPr>
                <w:rFonts w:asciiTheme="minorHAnsi" w:eastAsia="Calibri" w:hAnsiTheme="minorHAnsi" w:cstheme="minorHAnsi"/>
                <w:color w:val="222222"/>
                <w:sz w:val="20"/>
                <w:szCs w:val="20"/>
                <w:shd w:val="clear" w:color="auto" w:fill="FFFFFF"/>
                <w:lang w:val="en-US"/>
              </w:rPr>
              <w:t>Comput Hum Behav</w:t>
            </w:r>
            <w:r w:rsidR="00940FBA">
              <w:rPr>
                <w:rFonts w:asciiTheme="minorHAnsi" w:eastAsia="Calibri" w:hAnsiTheme="minorHAnsi" w:cstheme="minorHAnsi"/>
                <w:color w:val="222222"/>
                <w:sz w:val="20"/>
                <w:szCs w:val="20"/>
                <w:shd w:val="clear" w:color="auto" w:fill="FFFFFF"/>
                <w:lang w:val="en-US"/>
              </w:rPr>
              <w:t>. 2014 Jan;</w:t>
            </w:r>
            <w:r w:rsidRPr="00940FBA">
              <w:rPr>
                <w:rFonts w:asciiTheme="minorHAnsi" w:eastAsia="Calibri" w:hAnsiTheme="minorHAnsi" w:cstheme="minorHAnsi"/>
                <w:color w:val="222222"/>
                <w:sz w:val="20"/>
                <w:szCs w:val="20"/>
                <w:shd w:val="clear" w:color="auto" w:fill="FFFFFF"/>
                <w:lang w:val="en-US"/>
              </w:rPr>
              <w:t>30</w:t>
            </w:r>
            <w:r w:rsidR="00940FBA">
              <w:rPr>
                <w:rFonts w:asciiTheme="minorHAnsi" w:eastAsia="Calibri" w:hAnsiTheme="minorHAnsi" w:cstheme="minorHAnsi"/>
                <w:color w:val="222222"/>
                <w:sz w:val="20"/>
                <w:szCs w:val="20"/>
                <w:shd w:val="clear" w:color="auto" w:fill="FFFFFF"/>
                <w:lang w:val="en-US"/>
              </w:rPr>
              <w:t>:</w:t>
            </w:r>
            <w:r w:rsidRPr="000A0DFC">
              <w:rPr>
                <w:rFonts w:asciiTheme="minorHAnsi" w:eastAsia="Calibri" w:hAnsiTheme="minorHAnsi" w:cstheme="minorHAnsi"/>
                <w:color w:val="222222"/>
                <w:sz w:val="20"/>
                <w:szCs w:val="20"/>
                <w:shd w:val="clear" w:color="auto" w:fill="FFFFFF"/>
                <w:lang w:val="en-US"/>
              </w:rPr>
              <w:t>103-109.</w:t>
            </w:r>
          </w:p>
        </w:tc>
        <w:tc>
          <w:tcPr>
            <w:tcW w:w="2688" w:type="dxa"/>
            <w:tcBorders>
              <w:left w:val="nil"/>
              <w:right w:val="nil"/>
            </w:tcBorders>
            <w:vAlign w:val="center"/>
          </w:tcPr>
          <w:p w14:paraId="5FFED2E0"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r w:rsidR="00522E94" w:rsidRPr="00B04110" w14:paraId="6E79C0EB" w14:textId="77777777" w:rsidTr="00C447C2">
        <w:tc>
          <w:tcPr>
            <w:tcW w:w="6374" w:type="dxa"/>
            <w:tcBorders>
              <w:left w:val="nil"/>
              <w:right w:val="nil"/>
            </w:tcBorders>
          </w:tcPr>
          <w:p w14:paraId="0D1ECE96" w14:textId="43BBBF32" w:rsidR="00522E94" w:rsidRPr="000A0DFC" w:rsidRDefault="0009296E"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09296E">
              <w:rPr>
                <w:rFonts w:asciiTheme="minorHAnsi" w:eastAsia="Calibri" w:hAnsiTheme="minorHAnsi" w:cstheme="minorHAnsi"/>
                <w:color w:val="222222"/>
                <w:sz w:val="20"/>
                <w:szCs w:val="20"/>
                <w:shd w:val="clear" w:color="auto" w:fill="FFFFFF"/>
                <w:lang w:val="en-US"/>
              </w:rPr>
              <w:t>Xesfingi S, Vozikis A. eHealth Literacy: In the Quest of the Contributing Factors. Interact J Med Res. 2016 May 25;5(2):e16.</w:t>
            </w:r>
          </w:p>
        </w:tc>
        <w:tc>
          <w:tcPr>
            <w:tcW w:w="2688" w:type="dxa"/>
            <w:tcBorders>
              <w:left w:val="nil"/>
              <w:right w:val="nil"/>
            </w:tcBorders>
            <w:vAlign w:val="center"/>
          </w:tcPr>
          <w:p w14:paraId="71E80E4E"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460F4CF5" w14:textId="77777777" w:rsidTr="00C447C2">
        <w:tc>
          <w:tcPr>
            <w:tcW w:w="6374" w:type="dxa"/>
            <w:tcBorders>
              <w:left w:val="nil"/>
              <w:right w:val="nil"/>
            </w:tcBorders>
          </w:tcPr>
          <w:p w14:paraId="4FEAD781" w14:textId="05AB8AB9" w:rsidR="00522E94" w:rsidRPr="000A0DFC" w:rsidRDefault="0009296E"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09296E">
              <w:rPr>
                <w:rFonts w:asciiTheme="minorHAnsi" w:eastAsia="Calibri" w:hAnsiTheme="minorHAnsi" w:cstheme="minorHAnsi"/>
                <w:color w:val="222222"/>
                <w:sz w:val="20"/>
                <w:szCs w:val="20"/>
                <w:shd w:val="clear" w:color="auto" w:fill="FFFFFF"/>
                <w:lang w:val="en-GB"/>
              </w:rPr>
              <w:t xml:space="preserve">Holt KA, Karnoe A, Overgaard D, Nielsen SE, Kayser L, Røder ME, From G. Differences in the Level of Electronic Health Literacy Between Users and Nonusers of Digital Health Services: An Exploratory Survey of a Group of Medical Outpatients. </w:t>
            </w:r>
            <w:r w:rsidRPr="0009296E">
              <w:rPr>
                <w:rFonts w:asciiTheme="minorHAnsi" w:eastAsia="Calibri" w:hAnsiTheme="minorHAnsi" w:cstheme="minorHAnsi"/>
                <w:color w:val="222222"/>
                <w:sz w:val="20"/>
                <w:szCs w:val="20"/>
                <w:shd w:val="clear" w:color="auto" w:fill="FFFFFF"/>
                <w:lang w:val="de-CH"/>
              </w:rPr>
              <w:t>Interact J Med Res. 2019 Apr 5;8(2):e8423.</w:t>
            </w:r>
          </w:p>
        </w:tc>
        <w:tc>
          <w:tcPr>
            <w:tcW w:w="2688" w:type="dxa"/>
            <w:tcBorders>
              <w:left w:val="nil"/>
              <w:right w:val="nil"/>
            </w:tcBorders>
            <w:vAlign w:val="center"/>
          </w:tcPr>
          <w:p w14:paraId="7F5A4B7F"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58D2EB49" w14:textId="77777777" w:rsidTr="00C447C2">
        <w:tc>
          <w:tcPr>
            <w:tcW w:w="6374" w:type="dxa"/>
            <w:tcBorders>
              <w:left w:val="nil"/>
              <w:right w:val="nil"/>
            </w:tcBorders>
          </w:tcPr>
          <w:p w14:paraId="54083CBA" w14:textId="1DF25B03" w:rsidR="00522E94" w:rsidRPr="0009296E" w:rsidRDefault="0009296E"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09296E">
              <w:rPr>
                <w:rFonts w:asciiTheme="minorHAnsi" w:eastAsia="Calibri" w:hAnsiTheme="minorHAnsi" w:cstheme="minorHAnsi"/>
                <w:color w:val="222222"/>
                <w:sz w:val="20"/>
                <w:szCs w:val="20"/>
                <w:shd w:val="clear" w:color="auto" w:fill="FFFFFF"/>
                <w:lang w:val="en-US"/>
              </w:rPr>
              <w:t xml:space="preserve">Mitsutake S, Shibata A, Ishii K, Okazaki K, Oka K. </w:t>
            </w:r>
            <w:r w:rsidRPr="000A0DFC">
              <w:rPr>
                <w:rFonts w:asciiTheme="minorHAnsi" w:eastAsia="Calibri" w:hAnsiTheme="minorHAnsi" w:cstheme="minorHAnsi"/>
                <w:color w:val="222222"/>
                <w:sz w:val="20"/>
                <w:szCs w:val="20"/>
                <w:shd w:val="clear" w:color="auto" w:fill="FFFFFF"/>
                <w:lang w:val="en-US"/>
              </w:rPr>
              <w:t>Nihon koshu eisei zasshi</w:t>
            </w:r>
            <w:r w:rsidRPr="0009296E">
              <w:rPr>
                <w:rFonts w:asciiTheme="minorHAnsi" w:eastAsia="Calibri" w:hAnsiTheme="minorHAnsi" w:cstheme="minorHAnsi"/>
                <w:color w:val="222222"/>
                <w:sz w:val="20"/>
                <w:szCs w:val="20"/>
                <w:shd w:val="clear" w:color="auto" w:fill="FFFFFF"/>
                <w:lang w:val="en-US"/>
              </w:rPr>
              <w:t xml:space="preserve"> [Developing Japanese version of the eHealth Literacy Scale (eHEALS)]. Nihon Koshu Eisei Zasshi. 2011 May;58(5):361-</w:t>
            </w:r>
            <w:r>
              <w:rPr>
                <w:rFonts w:asciiTheme="minorHAnsi" w:eastAsia="Calibri" w:hAnsiTheme="minorHAnsi" w:cstheme="minorHAnsi"/>
                <w:color w:val="222222"/>
                <w:sz w:val="20"/>
                <w:szCs w:val="20"/>
                <w:shd w:val="clear" w:color="auto" w:fill="FFFFFF"/>
                <w:lang w:val="en-US"/>
              </w:rPr>
              <w:t>3</w:t>
            </w:r>
            <w:r w:rsidRPr="0009296E">
              <w:rPr>
                <w:rFonts w:asciiTheme="minorHAnsi" w:eastAsia="Calibri" w:hAnsiTheme="minorHAnsi" w:cstheme="minorHAnsi"/>
                <w:color w:val="222222"/>
                <w:sz w:val="20"/>
                <w:szCs w:val="20"/>
                <w:shd w:val="clear" w:color="auto" w:fill="FFFFFF"/>
                <w:lang w:val="en-US"/>
              </w:rPr>
              <w:t>71. Japanese.</w:t>
            </w:r>
          </w:p>
        </w:tc>
        <w:tc>
          <w:tcPr>
            <w:tcW w:w="2688" w:type="dxa"/>
            <w:tcBorders>
              <w:left w:val="nil"/>
              <w:right w:val="nil"/>
            </w:tcBorders>
            <w:vAlign w:val="center"/>
          </w:tcPr>
          <w:p w14:paraId="5B0E90B9"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Language other than English, French, Italian, Spanish</w:t>
            </w:r>
          </w:p>
        </w:tc>
      </w:tr>
      <w:tr w:rsidR="00522E94" w:rsidRPr="00B04110" w14:paraId="715B8123" w14:textId="77777777" w:rsidTr="00C447C2">
        <w:tc>
          <w:tcPr>
            <w:tcW w:w="6374" w:type="dxa"/>
            <w:tcBorders>
              <w:left w:val="nil"/>
              <w:bottom w:val="single" w:sz="4" w:space="0" w:color="auto"/>
              <w:right w:val="nil"/>
            </w:tcBorders>
          </w:tcPr>
          <w:p w14:paraId="2E9946CF" w14:textId="09307F99" w:rsidR="00522E94" w:rsidRPr="000A0DFC" w:rsidRDefault="00301525"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301525">
              <w:rPr>
                <w:rFonts w:asciiTheme="minorHAnsi" w:eastAsia="Calibri" w:hAnsiTheme="minorHAnsi" w:cstheme="minorHAnsi"/>
                <w:color w:val="222222"/>
                <w:sz w:val="20"/>
                <w:szCs w:val="20"/>
                <w:shd w:val="clear" w:color="auto" w:fill="FFFFFF"/>
                <w:lang w:val="en-US"/>
              </w:rPr>
              <w:t>Norman C. eHealth literacy 2.0: problems and opportunities with an evolving concept. J Med Internet Res. 2011 Dec 23;13(4):e125.</w:t>
            </w:r>
          </w:p>
        </w:tc>
        <w:tc>
          <w:tcPr>
            <w:tcW w:w="2688" w:type="dxa"/>
            <w:tcBorders>
              <w:left w:val="nil"/>
              <w:bottom w:val="single" w:sz="4" w:space="0" w:color="auto"/>
              <w:right w:val="nil"/>
            </w:tcBorders>
            <w:vAlign w:val="center"/>
          </w:tcPr>
          <w:p w14:paraId="493E2D45"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Not a primary study: review, state of the art</w:t>
            </w:r>
          </w:p>
        </w:tc>
      </w:tr>
      <w:tr w:rsidR="00522E94" w:rsidRPr="00B04110" w14:paraId="190E6548" w14:textId="77777777" w:rsidTr="00C447C2">
        <w:tc>
          <w:tcPr>
            <w:tcW w:w="6374" w:type="dxa"/>
            <w:tcBorders>
              <w:left w:val="nil"/>
              <w:right w:val="nil"/>
            </w:tcBorders>
          </w:tcPr>
          <w:p w14:paraId="5E760A15" w14:textId="505037CC" w:rsidR="00522E94" w:rsidRPr="000A0DFC" w:rsidRDefault="00301525"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301525">
              <w:rPr>
                <w:rFonts w:asciiTheme="minorHAnsi" w:eastAsia="Calibri" w:hAnsiTheme="minorHAnsi" w:cstheme="minorHAnsi"/>
                <w:color w:val="222222"/>
                <w:sz w:val="20"/>
                <w:szCs w:val="20"/>
                <w:shd w:val="clear" w:color="auto" w:fill="FFFFFF"/>
                <w:lang w:val="en-GB"/>
              </w:rPr>
              <w:t xml:space="preserve">Paige SR, Stellefson M, Krieger JL, Anderson-Lewis C, Cheong J, Stopka C. Proposing a Transactional Model of eHealth Literacy: Concept Analysis. </w:t>
            </w:r>
            <w:r w:rsidRPr="00301525">
              <w:rPr>
                <w:rFonts w:asciiTheme="minorHAnsi" w:eastAsia="Calibri" w:hAnsiTheme="minorHAnsi" w:cstheme="minorHAnsi"/>
                <w:color w:val="222222"/>
                <w:sz w:val="20"/>
                <w:szCs w:val="20"/>
                <w:shd w:val="clear" w:color="auto" w:fill="FFFFFF"/>
                <w:lang w:val="de-CH"/>
              </w:rPr>
              <w:t>J Med Internet Res. 2018 Oct 2;20(10):e10175.</w:t>
            </w:r>
          </w:p>
        </w:tc>
        <w:tc>
          <w:tcPr>
            <w:tcW w:w="2688" w:type="dxa"/>
            <w:tcBorders>
              <w:left w:val="nil"/>
              <w:right w:val="nil"/>
            </w:tcBorders>
            <w:vAlign w:val="center"/>
          </w:tcPr>
          <w:p w14:paraId="716DB6E5"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Not a primary study: review, state of the art</w:t>
            </w:r>
          </w:p>
        </w:tc>
      </w:tr>
      <w:tr w:rsidR="00522E94" w:rsidRPr="00B04110" w14:paraId="697D0532" w14:textId="77777777" w:rsidTr="00C447C2">
        <w:tc>
          <w:tcPr>
            <w:tcW w:w="6374" w:type="dxa"/>
            <w:tcBorders>
              <w:left w:val="nil"/>
              <w:right w:val="nil"/>
            </w:tcBorders>
          </w:tcPr>
          <w:p w14:paraId="585038D2" w14:textId="3FC9648E" w:rsidR="00522E94" w:rsidRPr="000A0DFC" w:rsidRDefault="00301525"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301525">
              <w:rPr>
                <w:rFonts w:asciiTheme="minorHAnsi" w:eastAsia="Calibri" w:hAnsiTheme="minorHAnsi" w:cstheme="minorHAnsi"/>
                <w:color w:val="222222"/>
                <w:sz w:val="20"/>
                <w:szCs w:val="20"/>
                <w:shd w:val="clear" w:color="auto" w:fill="FFFFFF"/>
                <w:lang w:val="de-CH"/>
              </w:rPr>
              <w:t xml:space="preserve">Politi MC, Goodwin CM, Kaphingst KA, Wang X, Fagerlin A, Fuzzell LN, Philpott-Streiff SE. </w:t>
            </w:r>
            <w:r w:rsidRPr="00301525">
              <w:rPr>
                <w:rFonts w:asciiTheme="minorHAnsi" w:eastAsia="Calibri" w:hAnsiTheme="minorHAnsi" w:cstheme="minorHAnsi"/>
                <w:color w:val="222222"/>
                <w:sz w:val="20"/>
                <w:szCs w:val="20"/>
                <w:shd w:val="clear" w:color="auto" w:fill="FFFFFF"/>
                <w:lang w:val="en-GB"/>
              </w:rPr>
              <w:t xml:space="preserve">How Do Subjective Health Literacy Measures Work in Young Adults? Specifying "Online" or "Paper-Based" Forms Impacts Results. MDM Policy Pract. </w:t>
            </w:r>
            <w:r w:rsidRPr="00301525">
              <w:rPr>
                <w:rFonts w:asciiTheme="minorHAnsi" w:eastAsia="Calibri" w:hAnsiTheme="minorHAnsi" w:cstheme="minorHAnsi"/>
                <w:color w:val="222222"/>
                <w:sz w:val="20"/>
                <w:szCs w:val="20"/>
                <w:shd w:val="clear" w:color="auto" w:fill="FFFFFF"/>
                <w:lang w:val="de-CH"/>
              </w:rPr>
              <w:t>2020 May 27;5(1):2381468320924672.</w:t>
            </w:r>
          </w:p>
        </w:tc>
        <w:tc>
          <w:tcPr>
            <w:tcW w:w="2688" w:type="dxa"/>
            <w:tcBorders>
              <w:left w:val="nil"/>
              <w:right w:val="nil"/>
            </w:tcBorders>
            <w:vAlign w:val="center"/>
          </w:tcPr>
          <w:p w14:paraId="18A0BCF0"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Instrument use only for outcome measure</w:t>
            </w:r>
          </w:p>
        </w:tc>
      </w:tr>
      <w:tr w:rsidR="00522E94" w:rsidRPr="00B04110" w14:paraId="4C45A455" w14:textId="77777777" w:rsidTr="00C447C2">
        <w:tc>
          <w:tcPr>
            <w:tcW w:w="6374" w:type="dxa"/>
            <w:tcBorders>
              <w:left w:val="nil"/>
              <w:right w:val="nil"/>
            </w:tcBorders>
          </w:tcPr>
          <w:p w14:paraId="7C3D5056" w14:textId="703084B8" w:rsidR="00522E94" w:rsidRPr="00301525" w:rsidRDefault="00522E94" w:rsidP="00C447C2">
            <w:pPr>
              <w:spacing w:after="0" w:line="240" w:lineRule="auto"/>
              <w:jc w:val="left"/>
              <w:rPr>
                <w:rFonts w:asciiTheme="minorHAnsi" w:eastAsia="Calibri" w:hAnsiTheme="minorHAnsi" w:cstheme="minorHAnsi"/>
                <w:color w:val="222222"/>
                <w:sz w:val="20"/>
                <w:szCs w:val="20"/>
                <w:shd w:val="clear" w:color="auto" w:fill="FFFFFF"/>
                <w:lang w:val="en-US"/>
              </w:rPr>
            </w:pPr>
            <w:r w:rsidRPr="00301525">
              <w:rPr>
                <w:rFonts w:asciiTheme="minorHAnsi" w:eastAsia="Calibri" w:hAnsiTheme="minorHAnsi" w:cstheme="minorHAnsi"/>
                <w:color w:val="222222"/>
                <w:sz w:val="20"/>
                <w:szCs w:val="20"/>
                <w:shd w:val="clear" w:color="auto" w:fill="FFFFFF"/>
                <w:lang w:val="en-US"/>
              </w:rPr>
              <w:t>Ahmed S. mHealth literacy: characterizing people’s ability to use smartphone-based health-related applications (Doctoral dissertation). University of Illinois</w:t>
            </w:r>
            <w:r w:rsidR="00301525">
              <w:rPr>
                <w:rFonts w:asciiTheme="minorHAnsi" w:eastAsia="Calibri" w:hAnsiTheme="minorHAnsi" w:cstheme="minorHAnsi"/>
                <w:color w:val="222222"/>
                <w:sz w:val="20"/>
                <w:szCs w:val="20"/>
                <w:shd w:val="clear" w:color="auto" w:fill="FFFFFF"/>
                <w:lang w:val="en-US"/>
              </w:rPr>
              <w:t>; 2017.</w:t>
            </w:r>
          </w:p>
        </w:tc>
        <w:tc>
          <w:tcPr>
            <w:tcW w:w="2688" w:type="dxa"/>
            <w:tcBorders>
              <w:left w:val="nil"/>
              <w:right w:val="nil"/>
            </w:tcBorders>
            <w:vAlign w:val="center"/>
          </w:tcPr>
          <w:p w14:paraId="573FF923" w14:textId="77777777" w:rsidR="00522E94" w:rsidRPr="000A0DFC" w:rsidRDefault="00522E94" w:rsidP="00C447C2">
            <w:pPr>
              <w:spacing w:after="0" w:line="240" w:lineRule="auto"/>
              <w:jc w:val="left"/>
              <w:rPr>
                <w:rFonts w:asciiTheme="minorHAnsi" w:eastAsia="Calibri" w:hAnsiTheme="minorHAnsi" w:cstheme="minorHAnsi"/>
                <w:color w:val="2A2A2A"/>
                <w:sz w:val="20"/>
                <w:szCs w:val="20"/>
                <w:shd w:val="clear" w:color="auto" w:fill="FFFFFF"/>
                <w:lang w:val="en-US"/>
              </w:rPr>
            </w:pPr>
            <w:r w:rsidRPr="000A0DFC">
              <w:rPr>
                <w:rFonts w:asciiTheme="minorHAnsi" w:eastAsia="Calibri" w:hAnsiTheme="minorHAnsi" w:cstheme="minorHAnsi"/>
                <w:color w:val="2A2A2A"/>
                <w:sz w:val="20"/>
                <w:szCs w:val="20"/>
                <w:shd w:val="clear" w:color="auto" w:fill="FFFFFF"/>
                <w:lang w:val="en-US"/>
              </w:rPr>
              <w:t>Does not mention a tool for measuring eHealth literacy</w:t>
            </w:r>
          </w:p>
        </w:tc>
      </w:tr>
    </w:tbl>
    <w:p w14:paraId="4FA965E3" w14:textId="77777777" w:rsidR="00FD5C5D" w:rsidRPr="00522E94" w:rsidRDefault="00FD5C5D">
      <w:pPr>
        <w:rPr>
          <w:lang w:val="en-GB"/>
        </w:rPr>
      </w:pPr>
    </w:p>
    <w:sectPr w:rsidR="00FD5C5D" w:rsidRPr="00522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94"/>
    <w:rsid w:val="00025D9B"/>
    <w:rsid w:val="0009296E"/>
    <w:rsid w:val="000A0DFC"/>
    <w:rsid w:val="00163087"/>
    <w:rsid w:val="00301525"/>
    <w:rsid w:val="00455073"/>
    <w:rsid w:val="00522E94"/>
    <w:rsid w:val="0069638D"/>
    <w:rsid w:val="007C5868"/>
    <w:rsid w:val="00940FBA"/>
    <w:rsid w:val="00B04110"/>
    <w:rsid w:val="00B30ADF"/>
    <w:rsid w:val="00B5115C"/>
    <w:rsid w:val="00CE42B0"/>
    <w:rsid w:val="00D76275"/>
    <w:rsid w:val="00FA7C98"/>
    <w:rsid w:val="00FD5C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2329"/>
  <w15:chartTrackingRefBased/>
  <w15:docId w15:val="{45A4E0AA-D67A-42ED-82F3-47149561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94"/>
    <w:pPr>
      <w:spacing w:after="120" w:line="360" w:lineRule="auto"/>
      <w:jc w:val="both"/>
    </w:pPr>
    <w:rPr>
      <w:rFonts w:ascii="Times New Roman" w:hAnsi="Times New Roman"/>
      <w:kern w:val="0"/>
      <w:sz w:val="24"/>
      <w:lang w:val="fr-CH"/>
      <w14:ligatures w14:val="none"/>
    </w:rPr>
  </w:style>
  <w:style w:type="paragraph" w:styleId="Titre1">
    <w:name w:val="heading 1"/>
    <w:basedOn w:val="Normal"/>
    <w:next w:val="Normal"/>
    <w:link w:val="Titre1Car"/>
    <w:uiPriority w:val="9"/>
    <w:qFormat/>
    <w:rsid w:val="00522E94"/>
    <w:pPr>
      <w:autoSpaceDE w:val="0"/>
      <w:autoSpaceDN w:val="0"/>
      <w:adjustRightInd w:val="0"/>
      <w:spacing w:after="0"/>
      <w:outlineLvl w:val="0"/>
    </w:pPr>
    <w:rPr>
      <w:rFonts w:eastAsia="Calibri" w:cs="Times New Roman"/>
      <w:b/>
      <w:color w:val="3D5C64"/>
      <w:szCs w:val="24"/>
      <w:lang w:val="en-GB"/>
    </w:rPr>
  </w:style>
  <w:style w:type="paragraph" w:styleId="Titre2">
    <w:name w:val="heading 2"/>
    <w:basedOn w:val="Normal"/>
    <w:next w:val="Normal"/>
    <w:link w:val="Titre2Car"/>
    <w:uiPriority w:val="9"/>
    <w:unhideWhenUsed/>
    <w:qFormat/>
    <w:rsid w:val="00522E94"/>
    <w:pPr>
      <w:autoSpaceDE w:val="0"/>
      <w:autoSpaceDN w:val="0"/>
      <w:adjustRightInd w:val="0"/>
      <w:spacing w:after="0"/>
      <w:outlineLvl w:val="1"/>
    </w:pPr>
    <w:rPr>
      <w:rFonts w:cs="Times New Roman"/>
      <w:color w:val="3D5C6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22E94"/>
    <w:rPr>
      <w:rFonts w:ascii="Times New Roman" w:hAnsi="Times New Roman" w:cs="Times New Roman"/>
      <w:color w:val="3D5C64"/>
      <w:kern w:val="0"/>
      <w:sz w:val="24"/>
      <w:szCs w:val="24"/>
      <w:lang w:val="en-US"/>
      <w14:ligatures w14:val="none"/>
    </w:rPr>
  </w:style>
  <w:style w:type="table" w:customStyle="1" w:styleId="Grilledutableau3">
    <w:name w:val="Grille du tableau3"/>
    <w:basedOn w:val="TableauNormal"/>
    <w:next w:val="Grilledutableau"/>
    <w:uiPriority w:val="39"/>
    <w:rsid w:val="00522E94"/>
    <w:pPr>
      <w:spacing w:after="0" w:line="240" w:lineRule="auto"/>
    </w:pPr>
    <w:rPr>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522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522E94"/>
    <w:rPr>
      <w:rFonts w:ascii="Times New Roman" w:eastAsia="Calibri" w:hAnsi="Times New Roman" w:cs="Times New Roman"/>
      <w:b/>
      <w:color w:val="3D5C64"/>
      <w:kern w:val="0"/>
      <w:sz w:val="24"/>
      <w:szCs w:val="24"/>
      <w:lang w:val="en-GB"/>
      <w14:ligatures w14:val="none"/>
    </w:rPr>
  </w:style>
  <w:style w:type="character" w:styleId="Marquedecommentaire">
    <w:name w:val="annotation reference"/>
    <w:basedOn w:val="Policepardfaut"/>
    <w:uiPriority w:val="99"/>
    <w:semiHidden/>
    <w:unhideWhenUsed/>
    <w:rsid w:val="00D76275"/>
    <w:rPr>
      <w:sz w:val="16"/>
      <w:szCs w:val="16"/>
    </w:rPr>
  </w:style>
  <w:style w:type="paragraph" w:styleId="Commentaire">
    <w:name w:val="annotation text"/>
    <w:basedOn w:val="Normal"/>
    <w:link w:val="CommentaireCar"/>
    <w:uiPriority w:val="99"/>
    <w:unhideWhenUsed/>
    <w:rsid w:val="00D76275"/>
    <w:pPr>
      <w:spacing w:line="240" w:lineRule="auto"/>
    </w:pPr>
    <w:rPr>
      <w:sz w:val="20"/>
      <w:szCs w:val="20"/>
    </w:rPr>
  </w:style>
  <w:style w:type="character" w:customStyle="1" w:styleId="CommentaireCar">
    <w:name w:val="Commentaire Car"/>
    <w:basedOn w:val="Policepardfaut"/>
    <w:link w:val="Commentaire"/>
    <w:uiPriority w:val="99"/>
    <w:rsid w:val="00D76275"/>
    <w:rPr>
      <w:rFonts w:ascii="Times New Roman" w:hAnsi="Times New Roman"/>
      <w:kern w:val="0"/>
      <w:sz w:val="20"/>
      <w:szCs w:val="20"/>
      <w:lang w:val="fr-CH"/>
      <w14:ligatures w14:val="none"/>
    </w:rPr>
  </w:style>
  <w:style w:type="paragraph" w:styleId="Objetducommentaire">
    <w:name w:val="annotation subject"/>
    <w:basedOn w:val="Commentaire"/>
    <w:next w:val="Commentaire"/>
    <w:link w:val="ObjetducommentaireCar"/>
    <w:uiPriority w:val="99"/>
    <w:semiHidden/>
    <w:unhideWhenUsed/>
    <w:rsid w:val="00D76275"/>
    <w:rPr>
      <w:b/>
      <w:bCs/>
    </w:rPr>
  </w:style>
  <w:style w:type="character" w:customStyle="1" w:styleId="ObjetducommentaireCar">
    <w:name w:val="Objet du commentaire Car"/>
    <w:basedOn w:val="CommentaireCar"/>
    <w:link w:val="Objetducommentaire"/>
    <w:uiPriority w:val="99"/>
    <w:semiHidden/>
    <w:rsid w:val="00D76275"/>
    <w:rPr>
      <w:rFonts w:ascii="Times New Roman" w:hAnsi="Times New Roman"/>
      <w:b/>
      <w:bCs/>
      <w:kern w:val="0"/>
      <w:sz w:val="20"/>
      <w:szCs w:val="20"/>
      <w:lang w:val="fr-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1841</Words>
  <Characters>10126</Characters>
  <Application>Microsoft Office Word</Application>
  <DocSecurity>4</DocSecurity>
  <Lines>84</Lines>
  <Paragraphs>23</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Additional file 2. Excluded full texts and reasons for exclusion, without duplic</vt:lpstr>
    </vt:vector>
  </TitlesOfParts>
  <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Heyer</dc:creator>
  <cp:keywords/>
  <dc:description/>
  <cp:lastModifiedBy>DÉLÉTROZ Carole</cp:lastModifiedBy>
  <cp:revision>2</cp:revision>
  <dcterms:created xsi:type="dcterms:W3CDTF">2023-07-17T07:57:00Z</dcterms:created>
  <dcterms:modified xsi:type="dcterms:W3CDTF">2023-07-17T07:57:00Z</dcterms:modified>
</cp:coreProperties>
</file>