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Supplementary Material</w:t>
      </w:r>
    </w:p>
    <w:p>
      <w:pPr>
        <w:autoSpaceDE w:val="0"/>
        <w:autoSpaceDN w:val="0"/>
        <w:adjustRightInd w:val="0"/>
        <w:ind w:left="360" w:hanging="360" w:hangingChars="150"/>
        <w:jc w:val="left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Table.S1 GenBank Accession Numbers used in present study.</w:t>
      </w:r>
    </w:p>
    <w:tbl>
      <w:tblPr>
        <w:tblStyle w:val="5"/>
        <w:tblW w:w="13958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8"/>
        <w:gridCol w:w="3095"/>
        <w:gridCol w:w="2021"/>
        <w:gridCol w:w="1157"/>
        <w:gridCol w:w="1297"/>
        <w:gridCol w:w="1242"/>
        <w:gridCol w:w="18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24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Genus</w:t>
            </w:r>
          </w:p>
        </w:tc>
        <w:tc>
          <w:tcPr>
            <w:tcW w:w="309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Strain</w:t>
            </w:r>
          </w:p>
        </w:tc>
        <w:tc>
          <w:tcPr>
            <w:tcW w:w="202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Genome*</w:t>
            </w: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gyrB*</w:t>
            </w:r>
          </w:p>
        </w:tc>
        <w:tc>
          <w:tcPr>
            <w:tcW w:w="129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rpoB*</w:t>
            </w:r>
          </w:p>
        </w:tc>
        <w:tc>
          <w:tcPr>
            <w:tcW w:w="124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atpD*</w:t>
            </w:r>
          </w:p>
        </w:tc>
        <w:tc>
          <w:tcPr>
            <w:tcW w:w="189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infB*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Affinibrenneria salicis.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sp. nov.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L3-3HA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NZ VYKJ00000000</w:t>
            </w:r>
          </w:p>
        </w:tc>
        <w:tc>
          <w:tcPr>
            <w:tcW w:w="5594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NZ VYKJ00000000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Brenneria alni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NCPPB 3934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JF311627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JF311852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JF311514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JF311740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Brenneria corticis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gBX10-1-2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(CFCC 11842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QDKH00000000</w:t>
            </w:r>
          </w:p>
        </w:tc>
        <w:tc>
          <w:tcPr>
            <w:tcW w:w="559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QDKH00000000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Brenneria goodwinnii 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LMG 26270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(FRB 141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NZCP014137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JN544220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JN544238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JN544211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JN544229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Brenneria nigrifluens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LMG 2694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NZKZ818945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JF311612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JF311837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JF311499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JF311725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Brenneria populi </w:t>
            </w:r>
            <w:r>
              <w:rPr>
                <w:rFonts w:ascii="Times New Roman" w:hAnsi="Times New Roman" w:eastAsia="等线" w:cs="Times New Roman"/>
                <w:iCs/>
                <w:color w:val="000000"/>
                <w:kern w:val="0"/>
                <w:sz w:val="20"/>
                <w:szCs w:val="20"/>
              </w:rPr>
              <w:t>subsp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.populi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D9-5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KJ672083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KJ672084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KJ672086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KJ672085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Brenneria roseae </w:t>
            </w:r>
            <w:r>
              <w:rPr>
                <w:rFonts w:ascii="Times New Roman" w:hAnsi="Times New Roman" w:eastAsia="等线" w:cs="Times New Roman"/>
                <w:iCs/>
                <w:color w:val="000000"/>
                <w:kern w:val="0"/>
                <w:sz w:val="20"/>
                <w:szCs w:val="20"/>
              </w:rPr>
              <w:t>subsp.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americana 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FRB 223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(LMG 27715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NZ QDKJ00000000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KF308310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KF308330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KF308300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KF308320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Brenneria roseae </w:t>
            </w:r>
            <w:r>
              <w:rPr>
                <w:rFonts w:ascii="Times New Roman" w:hAnsi="Times New Roman" w:eastAsia="等线" w:cs="Times New Roman"/>
                <w:iCs/>
                <w:color w:val="000000"/>
                <w:kern w:val="0"/>
                <w:sz w:val="20"/>
                <w:szCs w:val="20"/>
              </w:rPr>
              <w:t>subsp.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roseae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FRB 222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(LMG 27714T)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NZKZ819022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KF308303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KF308323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KF308293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KF308313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Brenneria rubrifaciens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LMG 2709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(6D370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NZCP034035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JF311617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JF311842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JF311504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JF311730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Brenneria salicis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LMG 2698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ATCC 15712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NZMJMA01000000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JF311622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JF311847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JF311509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JF311735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Cronobacter sakazakii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ATCC BAA-894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(ATCC 29544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NZCP011047</w:t>
            </w:r>
          </w:p>
        </w:tc>
        <w:tc>
          <w:tcPr>
            <w:tcW w:w="559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NZCP011047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Dickeya chrysanthemi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LMG 2804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(NCPPB 402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NZCM001974  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JF311636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JF311861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JF311523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JF311749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Dickeya dadantii 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spp.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dierrenbachiae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LMG 25992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(NCPPB 2976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NZCM001978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JF311652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JF311877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JF311539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JF311765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Dickeya dianthicola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LMG 2485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(NCPPB 453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NZCM001841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JF311648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JF311873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JF311535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JF311761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Dickeya fangzhongdai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DSM 101947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NZCP025003</w:t>
            </w:r>
          </w:p>
        </w:tc>
        <w:tc>
          <w:tcPr>
            <w:tcW w:w="559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NZCP025003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Dickeya paradisiaca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LMG 2542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(NCPPB 2511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NZCM001857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JF311640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JF311865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JF311527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JF311753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Dickeya poaceiphila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NCPPB 569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9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NZCP042220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Dickeya oryzae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JCM 33020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(ZYY5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Izhakiella australiensis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D4N98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(LMG 30066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KY770965     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KY770963 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KY770964 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NZMRUL00000000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Izhakiella capsodis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N6PO6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NZFOVC01000030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KM267159 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KM841418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KM267158 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NZFOVC01000030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Lonsdalea britannica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LMG 26267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NZLUTN01000001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JF311666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JF311891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JF311553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JF311779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Lonsdalea iberica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LMG 26264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NZLUTP01000001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JF311665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JF311890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JF311552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JF311778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Lonsdalea populi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LMG 27349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(CFCC11748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LUTM00000000</w:t>
            </w:r>
          </w:p>
        </w:tc>
        <w:tc>
          <w:tcPr>
            <w:tcW w:w="559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Lonsdalea quercina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LMG 2724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(ATCC 29281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NZFNQS01000000 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JF311656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JF311881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JF311543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JF311769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Mixta intestinalis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SRCM 103226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NZCP028271</w:t>
            </w:r>
          </w:p>
        </w:tc>
        <w:tc>
          <w:tcPr>
            <w:tcW w:w="559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NZCP028271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Mixta calida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1400/07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GQ367480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GQ367479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GQ367477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GQ367476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Mixta tenebrionis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BIT-26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MN089593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MN089599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MN089590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MN089596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Pantoea dispersa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LMG 2603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(CCUG 25232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NZVXKA01000001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FJ617346  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EF988990 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EF988731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EF988904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Pantoea stewartii 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spp.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stewartii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LMG 2715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DC283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NZCP017581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EF988831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EF989003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EF988744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EF988917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Pectobacterium betavasculorum 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LMG 2466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(NCPPB 2795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JF311593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JF311819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JF311480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JF311706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Pectobacterium cacticida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LMG 17936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JF311597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JF311823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JF311484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JF311710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Pectobacterium carotovorum 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LMG 2404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(DSM 30168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NZFQWI01000025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JF311601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HM359006†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JF311488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JF311714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Pectobacterium parvum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Pcc s0421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(LMG 30828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559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NZOANP03000001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Pectobacterium wasabiae 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LMG 8444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(CFBP 3304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NZCP015750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JF311608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JF311833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JF311495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JF311721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Pectobacterium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versatile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3-2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NZCP024842</w:t>
            </w:r>
          </w:p>
        </w:tc>
        <w:tc>
          <w:tcPr>
            <w:tcW w:w="559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24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Sodalis praecaptivus</w:t>
            </w:r>
          </w:p>
        </w:tc>
        <w:tc>
          <w:tcPr>
            <w:tcW w:w="309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HS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CP006569</w:t>
            </w:r>
          </w:p>
        </w:tc>
        <w:tc>
          <w:tcPr>
            <w:tcW w:w="5594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CP006569</w:t>
            </w:r>
          </w:p>
        </w:tc>
      </w:tr>
    </w:tbl>
    <w:p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*GenBank accession numbers.</w:t>
      </w:r>
    </w:p>
    <w:p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†Sequences used in previous studies.</w:t>
      </w:r>
    </w:p>
    <w:p>
      <w:pPr>
        <w:widowControl/>
        <w:spacing w:after="200" w:line="276" w:lineRule="auto"/>
        <w:jc w:val="left"/>
        <w:rPr>
          <w:rFonts w:ascii="Times New Roman" w:hAnsi="Times New Roman" w:cs="Times New Roman"/>
          <w:b/>
          <w:sz w:val="24"/>
          <w:szCs w:val="18"/>
        </w:rPr>
        <w:sectPr>
          <w:pgSz w:w="16838" w:h="11906" w:orient="landscape"/>
          <w:pgMar w:top="1797" w:right="1440" w:bottom="1797" w:left="1440" w:header="851" w:footer="992" w:gutter="0"/>
          <w:lnNumType w:countBy="1" w:restart="continuous"/>
          <w:cols w:space="425" w:num="1"/>
          <w:docGrid w:type="linesAndChars" w:linePitch="312" w:charSpace="0"/>
        </w:sectPr>
      </w:pPr>
      <w:r>
        <w:rPr>
          <w:rFonts w:ascii="Times New Roman" w:hAnsi="Times New Roman" w:cs="Times New Roman"/>
          <w:b/>
          <w:sz w:val="24"/>
          <w:szCs w:val="18"/>
        </w:rPr>
        <w:br w:type="page"/>
      </w:r>
    </w:p>
    <w:p>
      <w:pPr>
        <w:rPr>
          <w:rFonts w:ascii="Times New Roman" w:hAnsi="Times New Roman" w:cs="Times New Roman"/>
          <w:sz w:val="24"/>
          <w:szCs w:val="18"/>
        </w:rPr>
      </w:pPr>
      <w:r>
        <w:rPr>
          <w:rFonts w:ascii="Times New Roman" w:hAnsi="Times New Roman" w:cs="Times New Roman"/>
          <w:b/>
          <w:sz w:val="24"/>
          <w:szCs w:val="18"/>
        </w:rPr>
        <w:t>Table S2</w:t>
      </w:r>
      <w:r>
        <w:rPr>
          <w:rFonts w:ascii="Times New Roman" w:hAnsi="Times New Roman" w:cs="Times New Roman"/>
          <w:sz w:val="24"/>
          <w:szCs w:val="18"/>
        </w:rPr>
        <w:t>. Fatty acid compositions of the novel strains and reference type strains of species.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>
      <w:pPr>
        <w:rPr>
          <w:rFonts w:ascii="Times New Roman" w:hAnsi="Times New Roman" w:cs="Times New Roman"/>
          <w:sz w:val="24"/>
          <w:szCs w:val="18"/>
        </w:rPr>
      </w:pPr>
      <w:r>
        <w:rPr>
          <w:rFonts w:ascii="Times New Roman" w:hAnsi="Times New Roman" w:cs="Times New Roman"/>
          <w:sz w:val="24"/>
          <w:szCs w:val="18"/>
        </w:rPr>
        <w:t xml:space="preserve">Strain: 1, </w:t>
      </w:r>
      <w:bookmarkStart w:id="0" w:name="OLE_LINK1"/>
      <w:r>
        <w:rPr>
          <w:rFonts w:ascii="Times New Roman" w:hAnsi="Times New Roman" w:cs="Times New Roman"/>
          <w:i/>
          <w:sz w:val="24"/>
          <w:szCs w:val="18"/>
        </w:rPr>
        <w:t xml:space="preserve">Affinibrenneria salicis </w:t>
      </w:r>
      <w:r>
        <w:rPr>
          <w:rFonts w:ascii="Times New Roman" w:hAnsi="Times New Roman" w:cs="Times New Roman"/>
          <w:sz w:val="24"/>
          <w:szCs w:val="18"/>
        </w:rPr>
        <w:t>sp. nov</w:t>
      </w:r>
      <w:bookmarkEnd w:id="0"/>
      <w:r>
        <w:rPr>
          <w:rFonts w:ascii="Times New Roman" w:hAnsi="Times New Roman" w:cs="Times New Roman"/>
          <w:sz w:val="24"/>
          <w:szCs w:val="18"/>
        </w:rPr>
        <w:t>; 2,</w:t>
      </w:r>
      <w:r>
        <w:rPr>
          <w:rFonts w:ascii="Times New Roman" w:hAnsi="Times New Roman" w:cs="Times New Roman"/>
          <w:i/>
          <w:sz w:val="24"/>
          <w:szCs w:val="18"/>
        </w:rPr>
        <w:t xml:space="preserve"> </w:t>
      </w:r>
      <w:bookmarkStart w:id="1" w:name="OLE_LINK24"/>
      <w:bookmarkStart w:id="2" w:name="OLE_LINK25"/>
      <w:r>
        <w:rPr>
          <w:rFonts w:ascii="Times New Roman" w:hAnsi="Times New Roman" w:cs="Times New Roman"/>
          <w:i/>
          <w:sz w:val="24"/>
          <w:szCs w:val="18"/>
        </w:rPr>
        <w:t xml:space="preserve">Lonsdalea quercina </w:t>
      </w:r>
      <w:r>
        <w:rPr>
          <w:rFonts w:ascii="Times New Roman" w:hAnsi="Times New Roman" w:cs="Times New Roman"/>
          <w:sz w:val="24"/>
          <w:szCs w:val="18"/>
        </w:rPr>
        <w:t>LMG 2724</w:t>
      </w:r>
      <w:r>
        <w:rPr>
          <w:rFonts w:ascii="Times New Roman" w:hAnsi="Times New Roman" w:cs="Times New Roman"/>
          <w:sz w:val="24"/>
          <w:szCs w:val="18"/>
          <w:vertAlign w:val="superscript"/>
        </w:rPr>
        <w:t>T</w:t>
      </w:r>
      <w:r>
        <w:rPr>
          <w:rFonts w:ascii="Times New Roman" w:hAnsi="Times New Roman" w:cs="Times New Roman"/>
          <w:sz w:val="24"/>
          <w:szCs w:val="18"/>
        </w:rPr>
        <w:t xml:space="preserve">; 3, </w:t>
      </w:r>
      <w:r>
        <w:rPr>
          <w:rFonts w:ascii="Times New Roman" w:hAnsi="Times New Roman" w:cs="Times New Roman"/>
          <w:i/>
          <w:sz w:val="24"/>
          <w:szCs w:val="18"/>
        </w:rPr>
        <w:t>Brenneria salicis</w:t>
      </w:r>
      <w:r>
        <w:rPr>
          <w:rFonts w:ascii="Times New Roman" w:hAnsi="Times New Roman" w:cs="Times New Roman"/>
          <w:sz w:val="24"/>
          <w:szCs w:val="18"/>
        </w:rPr>
        <w:t xml:space="preserve"> LMG 2698</w:t>
      </w:r>
      <w:r>
        <w:rPr>
          <w:rFonts w:ascii="Times New Roman" w:hAnsi="Times New Roman" w:cs="Times New Roman"/>
          <w:sz w:val="24"/>
          <w:szCs w:val="18"/>
          <w:vertAlign w:val="superscript"/>
        </w:rPr>
        <w:t>T</w:t>
      </w:r>
      <w:r>
        <w:rPr>
          <w:rFonts w:ascii="Times New Roman" w:hAnsi="Times New Roman" w:cs="Times New Roman"/>
          <w:sz w:val="24"/>
          <w:szCs w:val="18"/>
        </w:rPr>
        <w:t xml:space="preserve">; 4, </w:t>
      </w:r>
      <w:r>
        <w:rPr>
          <w:rFonts w:ascii="Times New Roman" w:hAnsi="Times New Roman" w:cs="Times New Roman"/>
          <w:i/>
          <w:sz w:val="24"/>
          <w:szCs w:val="18"/>
        </w:rPr>
        <w:t>Dickeya chrysanthemi</w:t>
      </w:r>
      <w:r>
        <w:rPr>
          <w:rFonts w:ascii="Times New Roman" w:hAnsi="Times New Roman" w:cs="Times New Roman"/>
          <w:sz w:val="24"/>
          <w:szCs w:val="18"/>
        </w:rPr>
        <w:t xml:space="preserve"> LMG 2804</w:t>
      </w:r>
      <w:r>
        <w:rPr>
          <w:rFonts w:ascii="Times New Roman" w:hAnsi="Times New Roman" w:cs="Times New Roman"/>
          <w:sz w:val="24"/>
          <w:szCs w:val="18"/>
          <w:vertAlign w:val="superscript"/>
        </w:rPr>
        <w:t>T</w:t>
      </w:r>
      <w:r>
        <w:rPr>
          <w:rFonts w:ascii="Times New Roman" w:hAnsi="Times New Roman" w:cs="Times New Roman"/>
          <w:sz w:val="24"/>
          <w:szCs w:val="18"/>
        </w:rPr>
        <w:t xml:space="preserve">; 5, </w:t>
      </w:r>
      <w:r>
        <w:rPr>
          <w:rFonts w:ascii="Times New Roman" w:hAnsi="Times New Roman" w:cs="Times New Roman"/>
          <w:i/>
          <w:sz w:val="24"/>
          <w:szCs w:val="18"/>
        </w:rPr>
        <w:t>Pectobacterium carotovorum</w:t>
      </w:r>
      <w:r>
        <w:rPr>
          <w:rFonts w:ascii="Times New Roman" w:hAnsi="Times New Roman" w:cs="Times New Roman"/>
          <w:sz w:val="24"/>
          <w:szCs w:val="18"/>
        </w:rPr>
        <w:t xml:space="preserve"> LMG</w:t>
      </w:r>
      <w:r>
        <w:rPr>
          <w:rFonts w:hint="eastAsia" w:ascii="Times New Roman" w:hAnsi="Times New Roman" w:cs="Times New Roman"/>
          <w:sz w:val="24"/>
          <w:szCs w:val="18"/>
        </w:rPr>
        <w:t xml:space="preserve"> </w:t>
      </w:r>
      <w:r>
        <w:rPr>
          <w:rFonts w:ascii="Times New Roman" w:hAnsi="Times New Roman" w:cs="Times New Roman"/>
          <w:sz w:val="24"/>
          <w:szCs w:val="18"/>
        </w:rPr>
        <w:t>2404</w:t>
      </w:r>
      <w:r>
        <w:rPr>
          <w:rFonts w:ascii="Times New Roman" w:hAnsi="Times New Roman" w:cs="Times New Roman"/>
          <w:sz w:val="24"/>
          <w:szCs w:val="18"/>
          <w:vertAlign w:val="superscript"/>
        </w:rPr>
        <w:t>T</w:t>
      </w:r>
      <w:bookmarkEnd w:id="1"/>
      <w:bookmarkEnd w:id="2"/>
      <w:r>
        <w:rPr>
          <w:rFonts w:ascii="Times New Roman" w:hAnsi="Times New Roman" w:cs="Times New Roman"/>
          <w:iCs/>
          <w:sz w:val="24"/>
          <w:szCs w:val="24"/>
        </w:rPr>
        <w:t>.</w:t>
      </w:r>
    </w:p>
    <w:p>
      <w:pPr>
        <w:rPr>
          <w:rFonts w:ascii="Times New Roman" w:hAnsi="Times New Roman" w:cs="Times New Roman"/>
          <w:sz w:val="24"/>
          <w:szCs w:val="18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4"/>
        <w:gridCol w:w="761"/>
        <w:gridCol w:w="756"/>
        <w:gridCol w:w="760"/>
        <w:gridCol w:w="756"/>
        <w:gridCol w:w="75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324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Fatty acid</w:t>
            </w:r>
          </w:p>
        </w:tc>
        <w:tc>
          <w:tcPr>
            <w:tcW w:w="76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6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3244" w:type="dxa"/>
            <w:tcBorders>
              <w:top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Saturated fatty acids </w:t>
            </w:r>
          </w:p>
        </w:tc>
        <w:tc>
          <w:tcPr>
            <w:tcW w:w="761" w:type="dxa"/>
            <w:tcBorders>
              <w:top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3244" w:type="dxa"/>
          </w:tcPr>
          <w:p>
            <w:pPr>
              <w:autoSpaceDE w:val="0"/>
              <w:autoSpaceDN w:val="0"/>
              <w:adjustRightInd w:val="0"/>
              <w:snapToGrid w:val="0"/>
              <w:ind w:firstLine="180" w:firstLineChars="7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12:0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61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756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760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756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756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3244" w:type="dxa"/>
          </w:tcPr>
          <w:p>
            <w:pPr>
              <w:autoSpaceDE w:val="0"/>
              <w:autoSpaceDN w:val="0"/>
              <w:adjustRightInd w:val="0"/>
              <w:snapToGrid w:val="0"/>
              <w:ind w:firstLine="180" w:firstLineChars="7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14:0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61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9.7</w:t>
            </w:r>
          </w:p>
        </w:tc>
        <w:tc>
          <w:tcPr>
            <w:tcW w:w="756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10.60</w:t>
            </w:r>
          </w:p>
        </w:tc>
        <w:tc>
          <w:tcPr>
            <w:tcW w:w="760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756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6.8</w:t>
            </w:r>
          </w:p>
        </w:tc>
        <w:tc>
          <w:tcPr>
            <w:tcW w:w="756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3244" w:type="dxa"/>
          </w:tcPr>
          <w:p>
            <w:pPr>
              <w:autoSpaceDE w:val="0"/>
              <w:autoSpaceDN w:val="0"/>
              <w:adjustRightInd w:val="0"/>
              <w:snapToGrid w:val="0"/>
              <w:ind w:firstLine="180" w:firstLineChars="7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16:0 </w:t>
            </w:r>
          </w:p>
        </w:tc>
        <w:tc>
          <w:tcPr>
            <w:tcW w:w="761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43.5</w:t>
            </w:r>
          </w:p>
        </w:tc>
        <w:tc>
          <w:tcPr>
            <w:tcW w:w="756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30.2</w:t>
            </w:r>
          </w:p>
        </w:tc>
        <w:tc>
          <w:tcPr>
            <w:tcW w:w="760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29.8</w:t>
            </w:r>
          </w:p>
        </w:tc>
        <w:tc>
          <w:tcPr>
            <w:tcW w:w="756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25.9</w:t>
            </w:r>
          </w:p>
        </w:tc>
        <w:tc>
          <w:tcPr>
            <w:tcW w:w="756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3244" w:type="dxa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Unsaturated fatty acids </w:t>
            </w:r>
          </w:p>
        </w:tc>
        <w:tc>
          <w:tcPr>
            <w:tcW w:w="761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3244" w:type="dxa"/>
          </w:tcPr>
          <w:p>
            <w:pPr>
              <w:autoSpaceDE w:val="0"/>
              <w:autoSpaceDN w:val="0"/>
              <w:adjustRightInd w:val="0"/>
              <w:snapToGrid w:val="0"/>
              <w:ind w:firstLine="180" w:firstLineChars="75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18:1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c </w:t>
            </w:r>
          </w:p>
        </w:tc>
        <w:tc>
          <w:tcPr>
            <w:tcW w:w="761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756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</w:t>
            </w:r>
          </w:p>
        </w:tc>
        <w:tc>
          <w:tcPr>
            <w:tcW w:w="760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14.5</w:t>
            </w:r>
          </w:p>
        </w:tc>
        <w:tc>
          <w:tcPr>
            <w:tcW w:w="756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</w:t>
            </w:r>
          </w:p>
        </w:tc>
        <w:tc>
          <w:tcPr>
            <w:tcW w:w="756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3244" w:type="dxa"/>
          </w:tcPr>
          <w:p>
            <w:pPr>
              <w:autoSpaceDE w:val="0"/>
              <w:autoSpaceDN w:val="0"/>
              <w:adjustRightInd w:val="0"/>
              <w:snapToGrid w:val="0"/>
              <w:ind w:firstLine="180" w:firstLineChars="7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19:0 cyclo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ω8c</w:t>
            </w:r>
          </w:p>
        </w:tc>
        <w:tc>
          <w:tcPr>
            <w:tcW w:w="761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10.7</w:t>
            </w:r>
          </w:p>
        </w:tc>
        <w:tc>
          <w:tcPr>
            <w:tcW w:w="756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0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6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6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3244" w:type="dxa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Cyclopropane fatty acids </w:t>
            </w:r>
          </w:p>
        </w:tc>
        <w:tc>
          <w:tcPr>
            <w:tcW w:w="761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3244" w:type="dxa"/>
          </w:tcPr>
          <w:p>
            <w:pPr>
              <w:autoSpaceDE w:val="0"/>
              <w:autoSpaceDN w:val="0"/>
              <w:adjustRightInd w:val="0"/>
              <w:snapToGrid w:val="0"/>
              <w:ind w:firstLine="180" w:firstLineChars="7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17:0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61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18.4</w:t>
            </w:r>
          </w:p>
        </w:tc>
        <w:tc>
          <w:tcPr>
            <w:tcW w:w="756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9.8</w:t>
            </w:r>
          </w:p>
        </w:tc>
        <w:tc>
          <w:tcPr>
            <w:tcW w:w="760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</w:t>
            </w:r>
          </w:p>
        </w:tc>
        <w:tc>
          <w:tcPr>
            <w:tcW w:w="756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756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3244" w:type="dxa"/>
          </w:tcPr>
          <w:p>
            <w:pPr>
              <w:autoSpaceDE w:val="0"/>
              <w:autoSpaceDN w:val="0"/>
              <w:adjustRightInd w:val="0"/>
              <w:snapToGrid w:val="0"/>
              <w:ind w:firstLine="180" w:firstLineChars="7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19:0 </w:t>
            </w:r>
          </w:p>
        </w:tc>
        <w:tc>
          <w:tcPr>
            <w:tcW w:w="761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6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760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756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6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3244" w:type="dxa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14:0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3OH and/ or C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16:1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iso I</w:t>
            </w:r>
          </w:p>
        </w:tc>
        <w:tc>
          <w:tcPr>
            <w:tcW w:w="761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56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12.7</w:t>
            </w:r>
          </w:p>
        </w:tc>
        <w:tc>
          <w:tcPr>
            <w:tcW w:w="760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</w:t>
            </w:r>
          </w:p>
        </w:tc>
        <w:tc>
          <w:tcPr>
            <w:tcW w:w="756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</w:t>
            </w:r>
          </w:p>
        </w:tc>
        <w:tc>
          <w:tcPr>
            <w:tcW w:w="756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3244" w:type="dxa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16:1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7c and/ or iso-C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15:0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2-OH</w:t>
            </w:r>
          </w:p>
        </w:tc>
        <w:tc>
          <w:tcPr>
            <w:tcW w:w="761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756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</w:t>
            </w:r>
          </w:p>
        </w:tc>
        <w:tc>
          <w:tcPr>
            <w:tcW w:w="760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23.6</w:t>
            </w:r>
          </w:p>
        </w:tc>
        <w:tc>
          <w:tcPr>
            <w:tcW w:w="756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34.3</w:t>
            </w:r>
          </w:p>
        </w:tc>
        <w:tc>
          <w:tcPr>
            <w:tcW w:w="756" w:type="dxa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32.6</w:t>
            </w:r>
          </w:p>
        </w:tc>
      </w:tr>
    </w:tbl>
    <w:p>
      <w:pPr>
        <w:rPr>
          <w:rFonts w:ascii="Times New Roman" w:hAnsi="Times New Roman" w:cs="Times New Roman"/>
          <w:b/>
          <w:sz w:val="24"/>
          <w:szCs w:val="24"/>
        </w:rPr>
      </w:pPr>
    </w:p>
    <w:p/>
    <w:p>
      <w:pPr>
        <w:rPr>
          <w:bCs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Table S3. Amino acid identity (AAI) </w:t>
      </w:r>
      <w:r>
        <w:rPr>
          <w:rFonts w:ascii="Times New Roman" w:hAnsi="Times New Roman" w:cs="Times New Roman"/>
          <w:bCs/>
          <w:sz w:val="24"/>
          <w:szCs w:val="24"/>
        </w:rPr>
        <w:t xml:space="preserve">analysis among novel isolate and reference strains of 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genera </w:t>
      </w:r>
      <w:r>
        <w:rPr>
          <w:rFonts w:ascii="Times New Roman" w:hAnsi="Times New Roman" w:cs="Times New Roman"/>
          <w:bCs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Lonsdalea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cs="Times New Roman"/>
          <w:bCs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Brenneria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cs="Times New Roman"/>
          <w:bCs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Dickeya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cs="Times New Roman"/>
          <w:bCs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Pectobacterium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cs="Times New Roman"/>
          <w:bCs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Sodalis</w:t>
      </w:r>
      <w:r>
        <w:rPr>
          <w:rFonts w:hint="eastAsia"/>
          <w:bCs/>
        </w:rPr>
        <w:t xml:space="preserve"> </w:t>
      </w:r>
    </w:p>
    <w:p>
      <w:r>
        <w:rPr>
          <w:rFonts w:ascii="Times New Roman" w:hAnsi="Times New Roman" w:cs="Times New Roman"/>
          <w:sz w:val="24"/>
          <w:szCs w:val="18"/>
        </w:rPr>
        <w:t xml:space="preserve">Strain: 1, </w:t>
      </w:r>
      <w:r>
        <w:rPr>
          <w:rFonts w:ascii="Times New Roman" w:hAnsi="Times New Roman" w:cs="Times New Roman"/>
          <w:i/>
          <w:sz w:val="24"/>
          <w:szCs w:val="18"/>
        </w:rPr>
        <w:t xml:space="preserve">Affinibrenneria salicis </w:t>
      </w:r>
      <w:r>
        <w:rPr>
          <w:rFonts w:ascii="Times New Roman" w:hAnsi="Times New Roman" w:cs="Times New Roman"/>
          <w:sz w:val="24"/>
          <w:szCs w:val="18"/>
        </w:rPr>
        <w:t>sp. nov; 2,</w:t>
      </w:r>
      <w:r>
        <w:rPr>
          <w:rFonts w:ascii="Times New Roman" w:hAnsi="Times New Roman" w:cs="Times New Roman"/>
          <w:i/>
          <w:sz w:val="24"/>
          <w:szCs w:val="18"/>
        </w:rPr>
        <w:t xml:space="preserve"> Brenneria salicis</w:t>
      </w:r>
      <w:r>
        <w:rPr>
          <w:rFonts w:ascii="Times New Roman" w:hAnsi="Times New Roman" w:cs="Times New Roman"/>
          <w:sz w:val="24"/>
          <w:szCs w:val="18"/>
        </w:rPr>
        <w:t xml:space="preserve"> LMG 2698</w:t>
      </w:r>
      <w:r>
        <w:rPr>
          <w:rFonts w:ascii="Times New Roman" w:hAnsi="Times New Roman" w:cs="Times New Roman"/>
          <w:sz w:val="24"/>
          <w:szCs w:val="18"/>
          <w:vertAlign w:val="superscript"/>
        </w:rPr>
        <w:t>T</w:t>
      </w:r>
      <w:r>
        <w:rPr>
          <w:rFonts w:ascii="Times New Roman" w:hAnsi="Times New Roman" w:cs="Times New Roman"/>
          <w:sz w:val="24"/>
          <w:szCs w:val="18"/>
        </w:rPr>
        <w:t>;</w:t>
      </w:r>
      <w:r>
        <w:rPr>
          <w:rFonts w:ascii="Times New Roman" w:hAnsi="Times New Roman" w:cs="Times New Roman"/>
          <w:i/>
          <w:sz w:val="24"/>
          <w:szCs w:val="18"/>
        </w:rPr>
        <w:t xml:space="preserve"> </w:t>
      </w:r>
      <w:r>
        <w:rPr>
          <w:rFonts w:ascii="Times New Roman" w:hAnsi="Times New Roman" w:cs="Times New Roman"/>
          <w:sz w:val="24"/>
          <w:szCs w:val="18"/>
        </w:rPr>
        <w:t xml:space="preserve">3, </w:t>
      </w:r>
      <w:r>
        <w:rPr>
          <w:rFonts w:ascii="Times New Roman" w:hAnsi="Times New Roman" w:cs="Times New Roman"/>
          <w:i/>
          <w:sz w:val="24"/>
          <w:szCs w:val="18"/>
        </w:rPr>
        <w:t>Dickeya chrysanthemi</w:t>
      </w:r>
      <w:r>
        <w:rPr>
          <w:rFonts w:ascii="Times New Roman" w:hAnsi="Times New Roman" w:cs="Times New Roman"/>
          <w:sz w:val="24"/>
          <w:szCs w:val="18"/>
        </w:rPr>
        <w:t xml:space="preserve"> LMG 2804</w:t>
      </w:r>
      <w:r>
        <w:rPr>
          <w:rFonts w:ascii="Times New Roman" w:hAnsi="Times New Roman" w:cs="Times New Roman"/>
          <w:sz w:val="24"/>
          <w:szCs w:val="18"/>
          <w:vertAlign w:val="superscript"/>
        </w:rPr>
        <w:t>T</w:t>
      </w:r>
      <w:r>
        <w:rPr>
          <w:rFonts w:ascii="Times New Roman" w:hAnsi="Times New Roman" w:cs="Times New Roman"/>
          <w:sz w:val="24"/>
          <w:szCs w:val="18"/>
        </w:rPr>
        <w:t>; 4,</w:t>
      </w:r>
      <w:r>
        <w:rPr>
          <w:rFonts w:ascii="Times New Roman" w:hAnsi="Times New Roman" w:cs="Times New Roman"/>
          <w:i/>
          <w:sz w:val="24"/>
          <w:szCs w:val="18"/>
        </w:rPr>
        <w:t xml:space="preserve"> Lonsdalea quercina </w:t>
      </w:r>
      <w:r>
        <w:rPr>
          <w:rFonts w:ascii="Times New Roman" w:hAnsi="Times New Roman" w:cs="Times New Roman"/>
          <w:sz w:val="24"/>
          <w:szCs w:val="18"/>
        </w:rPr>
        <w:t>LMG 2724</w:t>
      </w:r>
      <w:r>
        <w:rPr>
          <w:rFonts w:ascii="Times New Roman" w:hAnsi="Times New Roman" w:cs="Times New Roman"/>
          <w:sz w:val="24"/>
          <w:szCs w:val="18"/>
          <w:vertAlign w:val="superscript"/>
        </w:rPr>
        <w:t>T</w:t>
      </w:r>
      <w:r>
        <w:rPr>
          <w:rFonts w:ascii="Times New Roman" w:hAnsi="Times New Roman" w:cs="Times New Roman"/>
          <w:sz w:val="24"/>
          <w:szCs w:val="18"/>
        </w:rPr>
        <w:t xml:space="preserve">; 5, </w:t>
      </w:r>
      <w:r>
        <w:rPr>
          <w:rFonts w:ascii="Times New Roman" w:hAnsi="Times New Roman" w:cs="Times New Roman"/>
          <w:i/>
          <w:sz w:val="24"/>
          <w:szCs w:val="18"/>
        </w:rPr>
        <w:t>Pectobacterium carotovorum</w:t>
      </w:r>
      <w:r>
        <w:rPr>
          <w:rFonts w:ascii="Times New Roman" w:hAnsi="Times New Roman" w:cs="Times New Roman"/>
          <w:sz w:val="24"/>
          <w:szCs w:val="18"/>
        </w:rPr>
        <w:t xml:space="preserve"> LMG</w:t>
      </w:r>
      <w:r>
        <w:rPr>
          <w:rFonts w:hint="eastAsia" w:ascii="Times New Roman" w:hAnsi="Times New Roman" w:cs="Times New Roman"/>
          <w:sz w:val="24"/>
          <w:szCs w:val="18"/>
        </w:rPr>
        <w:t xml:space="preserve"> </w:t>
      </w:r>
      <w:r>
        <w:rPr>
          <w:rFonts w:ascii="Times New Roman" w:hAnsi="Times New Roman" w:cs="Times New Roman"/>
          <w:sz w:val="24"/>
          <w:szCs w:val="18"/>
        </w:rPr>
        <w:t>2404</w:t>
      </w:r>
      <w:r>
        <w:rPr>
          <w:rFonts w:ascii="Times New Roman" w:hAnsi="Times New Roman" w:cs="Times New Roman"/>
          <w:sz w:val="24"/>
          <w:szCs w:val="18"/>
          <w:vertAlign w:val="superscript"/>
        </w:rPr>
        <w:t>T</w:t>
      </w:r>
      <w:r>
        <w:rPr>
          <w:rFonts w:ascii="Times New Roman" w:hAnsi="Times New Roman" w:cs="Times New Roman"/>
          <w:sz w:val="24"/>
          <w:szCs w:val="18"/>
        </w:rPr>
        <w:t xml:space="preserve">; 6, </w:t>
      </w:r>
      <w:r>
        <w:rPr>
          <w:rFonts w:ascii="Times New Roman" w:hAnsi="Times New Roman" w:cs="Times New Roman"/>
          <w:i/>
          <w:sz w:val="24"/>
          <w:szCs w:val="18"/>
        </w:rPr>
        <w:t xml:space="preserve">Sodalis praecaptivus </w:t>
      </w:r>
      <w:r>
        <w:rPr>
          <w:rFonts w:ascii="Times New Roman" w:hAnsi="Times New Roman" w:cs="Times New Roman"/>
          <w:kern w:val="0"/>
          <w:sz w:val="24"/>
          <w:szCs w:val="24"/>
        </w:rPr>
        <w:t>HS</w:t>
      </w:r>
      <w:r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T</w:t>
      </w:r>
      <w:r>
        <w:rPr>
          <w:rFonts w:ascii="Times New Roman" w:hAnsi="Times New Roman" w:cs="Times New Roman"/>
          <w:kern w:val="0"/>
          <w:sz w:val="24"/>
          <w:szCs w:val="24"/>
        </w:rPr>
        <w:t>.</w:t>
      </w:r>
    </w:p>
    <w:tbl>
      <w:tblPr>
        <w:tblStyle w:val="5"/>
        <w:tblW w:w="6277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6"/>
        <w:gridCol w:w="896"/>
        <w:gridCol w:w="897"/>
        <w:gridCol w:w="897"/>
        <w:gridCol w:w="897"/>
        <w:gridCol w:w="897"/>
        <w:gridCol w:w="89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60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Strains</w:t>
            </w:r>
          </w:p>
        </w:tc>
        <w:tc>
          <w:tcPr>
            <w:tcW w:w="160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0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i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60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i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60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i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60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i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60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iCs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605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05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605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71.04</w:t>
            </w:r>
          </w:p>
        </w:tc>
        <w:tc>
          <w:tcPr>
            <w:tcW w:w="1605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68.92</w:t>
            </w:r>
          </w:p>
        </w:tc>
        <w:tc>
          <w:tcPr>
            <w:tcW w:w="1605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69.27</w:t>
            </w:r>
          </w:p>
        </w:tc>
        <w:tc>
          <w:tcPr>
            <w:tcW w:w="1605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70.32</w:t>
            </w:r>
          </w:p>
        </w:tc>
        <w:tc>
          <w:tcPr>
            <w:tcW w:w="1605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64.22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i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74.9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74.59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73.63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81.12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68.3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i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71.04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73.26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73.29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74.55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66.54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i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73.39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74.42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75.51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73.89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67.32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i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71.63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78.07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73.3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71.28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iCs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65.06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65.51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64.73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64.55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65.33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100</w:t>
            </w:r>
          </w:p>
        </w:tc>
      </w:tr>
    </w:tbl>
    <w:p>
      <w:pPr>
        <w:widowControl/>
        <w:spacing w:after="200" w:line="276" w:lineRule="auto"/>
        <w:jc w:val="left"/>
        <w:rPr>
          <w:rFonts w:ascii="Times New Roman" w:hAnsi="Times New Roman" w:cs="Times New Roman"/>
          <w:kern w:val="0"/>
          <w:sz w:val="18"/>
          <w:szCs w:val="20"/>
        </w:rPr>
      </w:pPr>
      <w:r>
        <w:rPr>
          <w:rFonts w:ascii="Times New Roman" w:hAnsi="Times New Roman" w:cs="Times New Roman"/>
          <w:kern w:val="0"/>
          <w:sz w:val="18"/>
          <w:szCs w:val="20"/>
        </w:rPr>
        <w:br w:type="page"/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kern w:val="0"/>
          <w:sz w:val="24"/>
          <w:szCs w:val="24"/>
        </w:rPr>
        <w:t>Fig.S1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Neighbor-joining tree based on 16S rRNA gene sequences of strains of eight gen</w:t>
      </w:r>
      <w:r>
        <w:rPr>
          <w:rFonts w:hint="eastAsia" w:ascii="Times New Roman" w:hAnsi="Times New Roman" w:cs="Times New Roman"/>
          <w:sz w:val="24"/>
          <w:szCs w:val="24"/>
        </w:rPr>
        <w:t>era</w:t>
      </w:r>
      <w:r>
        <w:rPr>
          <w:rFonts w:ascii="Times New Roman" w:hAnsi="Times New Roman" w:cs="Times New Roman"/>
          <w:sz w:val="24"/>
          <w:szCs w:val="24"/>
        </w:rPr>
        <w:t xml:space="preserve"> and the novel species.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Bootstrap values after 1000 replicates are expressed as percentages. 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Cronobacter sakazakii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is included as an outgroup; gene sequences were obtained from genome sequencing database (</w:t>
      </w:r>
      <w:r>
        <w:fldChar w:fldCharType="begin"/>
      </w:r>
      <w:r>
        <w:instrText xml:space="preserve"> HYPERLINK "http://www.bacterio.net" </w:instrText>
      </w:r>
      <w:r>
        <w:fldChar w:fldCharType="separate"/>
      </w:r>
      <w:r>
        <w:rPr>
          <w:rStyle w:val="8"/>
          <w:rFonts w:ascii="Times New Roman" w:hAnsi="Times New Roman" w:cs="Times New Roman"/>
          <w:sz w:val="24"/>
          <w:szCs w:val="24"/>
        </w:rPr>
        <w:t>http://www.bacterio.net</w:t>
      </w:r>
      <w:r>
        <w:rPr>
          <w:rStyle w:val="8"/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). Bar, 0.0020 substitutions per site.</w:t>
      </w:r>
    </w:p>
    <w:p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drawing>
          <wp:inline distT="0" distB="0" distL="0" distR="0">
            <wp:extent cx="5278120" cy="4658995"/>
            <wp:effectExtent l="0" t="0" r="0" b="0"/>
            <wp:docPr id="129" name="图片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图片 12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465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>
      <w:pPr>
        <w:widowControl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kern w:val="0"/>
          <w:sz w:val="24"/>
          <w:szCs w:val="24"/>
        </w:rPr>
        <w:br w:type="page"/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kern w:val="0"/>
          <w:sz w:val="24"/>
          <w:szCs w:val="24"/>
        </w:rPr>
        <w:t>Fig.S2</w:t>
      </w:r>
      <w:r>
        <w:rPr>
          <w:rFonts w:ascii="Times New Roman" w:hAnsi="Times New Roman" w:cs="Times New Roman"/>
          <w:sz w:val="24"/>
          <w:szCs w:val="24"/>
        </w:rPr>
        <w:t xml:space="preserve"> Neighbor-joining tree based on concatenated partial gyrB, rpoB, atpD, infB gene sequences of the type strains in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the genera 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Lonsdalea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Brenneria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Dickeya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Pectobacterium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Sodalis</w:t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,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Izhakiella</w:t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Pantoea</w:t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and 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Mixta</w:t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Bootstrap values after 1000 replicates are expressed as percentages. 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Cronobacter sakazakii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is included as an outgroup; gene sequences were obtained from genome sequencing database (</w:t>
      </w:r>
      <w:r>
        <w:fldChar w:fldCharType="begin"/>
      </w:r>
      <w:r>
        <w:instrText xml:space="preserve"> HYPERLINK "http://www.ncbi.nlm.nih.gov" </w:instrText>
      </w:r>
      <w:r>
        <w:fldChar w:fldCharType="separate"/>
      </w:r>
      <w:r>
        <w:rPr>
          <w:rStyle w:val="8"/>
          <w:rFonts w:ascii="Times New Roman" w:hAnsi="Times New Roman" w:cs="Times New Roman"/>
          <w:sz w:val="24"/>
          <w:szCs w:val="24"/>
        </w:rPr>
        <w:t>http://www.ncbi.nlm.nih.gov</w:t>
      </w:r>
      <w:r>
        <w:rPr>
          <w:rStyle w:val="8"/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). Bar, 0.050 substitutions per site.</w:t>
      </w:r>
    </w:p>
    <w:p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20"/>
        </w:rPr>
      </w:pPr>
      <w:r>
        <w:drawing>
          <wp:inline distT="0" distB="0" distL="0" distR="0">
            <wp:extent cx="5278120" cy="5187315"/>
            <wp:effectExtent l="0" t="0" r="0" b="0"/>
            <wp:docPr id="133" name="图片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图片 13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5187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1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18"/>
          <w14:textFill>
            <w14:solidFill>
              <w14:schemeClr w14:val="tx1"/>
            </w14:solidFill>
          </w14:textFill>
        </w:rPr>
        <w:br w:type="page"/>
      </w:r>
    </w:p>
    <w:p>
      <w:pPr>
        <w:autoSpaceDE w:val="0"/>
        <w:autoSpaceDN w:val="0"/>
        <w:adjustRightInd w:val="0"/>
        <w:ind w:left="360" w:hanging="360" w:hangingChars="150"/>
        <w:jc w:val="left"/>
        <w:rPr>
          <w:rFonts w:ascii="Times New Roman" w:hAnsi="Times New Roman" w:cs="Times New Roman"/>
          <w:color w:val="000000" w:themeColor="text1"/>
          <w:sz w:val="24"/>
          <w:szCs w:val="1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18"/>
          <w14:textFill>
            <w14:solidFill>
              <w14:schemeClr w14:val="tx1"/>
            </w14:solidFill>
          </w14:textFill>
        </w:rPr>
        <w:t>Fig. S3 K-mer of genome sequence of novel strain</w:t>
      </w:r>
    </w:p>
    <w:p>
      <w:pPr>
        <w:autoSpaceDE w:val="0"/>
        <w:autoSpaceDN w:val="0"/>
        <w:adjustRightInd w:val="0"/>
        <w:ind w:left="360" w:hanging="360" w:hangingChars="150"/>
        <w:jc w:val="left"/>
        <w:rPr>
          <w:rFonts w:ascii="Times New Roman" w:hAnsi="Times New Roman" w:cs="Times New Roman"/>
          <w:color w:val="000000" w:themeColor="text1"/>
          <w:sz w:val="24"/>
          <w:szCs w:val="1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18"/>
          <w14:textFill>
            <w14:solidFill>
              <w14:schemeClr w14:val="tx1"/>
            </w14:solidFill>
          </w14:textFill>
        </w:rPr>
        <w:t xml:space="preserve">  </w:t>
      </w:r>
      <w:r>
        <w:drawing>
          <wp:inline distT="0" distB="0" distL="114300" distR="114300">
            <wp:extent cx="2389505" cy="2389505"/>
            <wp:effectExtent l="0" t="0" r="6985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89505" cy="2389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ind w:left="360" w:hanging="360" w:hangingChars="150"/>
        <w:jc w:val="left"/>
        <w:rPr>
          <w:rFonts w:ascii="Times New Roman" w:hAnsi="Times New Roman" w:cs="Times New Roman"/>
          <w:color w:val="000000" w:themeColor="text1"/>
          <w:sz w:val="24"/>
          <w:szCs w:val="1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18"/>
          <w14:textFill>
            <w14:solidFill>
              <w14:schemeClr w14:val="tx1"/>
            </w14:solidFill>
          </w14:textFill>
        </w:rPr>
        <w:t xml:space="preserve">Fig. S4 </w:t>
      </w:r>
      <w:r>
        <w:rPr>
          <w:rFonts w:hint="eastAsia" w:ascii="Times New Roman" w:hAnsi="Times New Roman" w:cs="Times New Roman"/>
          <w:color w:val="000000" w:themeColor="text1"/>
          <w:sz w:val="24"/>
          <w:szCs w:val="18"/>
          <w14:textFill>
            <w14:solidFill>
              <w14:schemeClr w14:val="tx1"/>
            </w14:solidFill>
          </w14:textFill>
        </w:rPr>
        <w:t>GC-depth</w:t>
      </w:r>
      <w:r>
        <w:rPr>
          <w:rFonts w:ascii="Times New Roman" w:hAnsi="Times New Roman" w:cs="Times New Roman"/>
          <w:color w:val="000000" w:themeColor="text1"/>
          <w:sz w:val="24"/>
          <w:szCs w:val="18"/>
          <w14:textFill>
            <w14:solidFill>
              <w14:schemeClr w14:val="tx1"/>
            </w14:solidFill>
          </w14:textFill>
        </w:rPr>
        <w:t xml:space="preserve"> of genome sequence of novel strain</w:t>
      </w:r>
    </w:p>
    <w:p>
      <w:pPr>
        <w:autoSpaceDE w:val="0"/>
        <w:autoSpaceDN w:val="0"/>
        <w:adjustRightInd w:val="0"/>
        <w:ind w:left="315" w:hanging="315" w:hangingChars="150"/>
        <w:jc w:val="left"/>
        <w:rPr>
          <w:rFonts w:ascii="Times New Roman" w:hAnsi="Times New Roman" w:cs="Times New Roman"/>
          <w:color w:val="000000" w:themeColor="text1"/>
          <w:sz w:val="24"/>
          <w:szCs w:val="18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2449830" cy="2449830"/>
            <wp:effectExtent l="0" t="0" r="635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49830" cy="244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GoBack"/>
      <w:bookmarkEnd w:id="3"/>
    </w:p>
    <w:p>
      <w:pPr>
        <w:autoSpaceDE w:val="0"/>
        <w:autoSpaceDN w:val="0"/>
        <w:adjustRightInd w:val="0"/>
        <w:ind w:left="360" w:hanging="360" w:hangingChars="150"/>
        <w:jc w:val="left"/>
        <w:rPr>
          <w:rFonts w:ascii="Times New Roman" w:hAnsi="Times New Roman" w:cs="Times New Roman"/>
          <w:color w:val="000000" w:themeColor="text1"/>
          <w:sz w:val="24"/>
          <w:szCs w:val="1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18"/>
          <w14:textFill>
            <w14:solidFill>
              <w14:schemeClr w14:val="tx1"/>
            </w14:solidFill>
          </w14:textFill>
        </w:rPr>
        <w:t>F</w:t>
      </w:r>
      <w:r>
        <w:rPr>
          <w:rFonts w:hint="eastAsia" w:ascii="Times New Roman" w:hAnsi="Times New Roman" w:cs="Times New Roman"/>
          <w:color w:val="000000" w:themeColor="text1"/>
          <w:sz w:val="24"/>
          <w:szCs w:val="18"/>
          <w14:textFill>
            <w14:solidFill>
              <w14:schemeClr w14:val="tx1"/>
            </w14:solidFill>
          </w14:textFill>
        </w:rPr>
        <w:t>ig.S</w:t>
      </w:r>
      <w:r>
        <w:rPr>
          <w:rFonts w:ascii="Times New Roman" w:hAnsi="Times New Roman" w:cs="Times New Roman"/>
          <w:color w:val="000000" w:themeColor="text1"/>
          <w:sz w:val="24"/>
          <w:szCs w:val="18"/>
          <w14:textFill>
            <w14:solidFill>
              <w14:schemeClr w14:val="tx1"/>
            </w14:solidFill>
          </w14:textFill>
        </w:rPr>
        <w:t xml:space="preserve">5 </w:t>
      </w: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transmission electron microscopy </w:t>
      </w:r>
      <w:r>
        <w:rPr>
          <w:rFonts w:hint="eastAsia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o</w:t>
      </w: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f </w:t>
      </w:r>
      <w:r>
        <w:rPr>
          <w:rFonts w:ascii="Times New Roman" w:hAnsi="Times New Roman" w:cs="Times New Roman"/>
          <w:i/>
          <w:iCs/>
          <w:color w:val="333333"/>
          <w:sz w:val="24"/>
          <w:szCs w:val="24"/>
          <w:lang w:val="zh-CN"/>
        </w:rPr>
        <w:t>Affinib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renneria </w:t>
      </w:r>
      <w:r>
        <w:rPr>
          <w:rFonts w:ascii="Times New Roman" w:hAnsi="Times New Roman" w:cs="Times New Roman"/>
          <w:bCs/>
          <w:i/>
          <w:color w:val="000000"/>
          <w:sz w:val="24"/>
          <w:szCs w:val="24"/>
        </w:rPr>
        <w:t xml:space="preserve">salicis </w:t>
      </w:r>
      <w:r>
        <w:rPr>
          <w:rFonts w:hint="eastAsia" w:ascii="Times New Roman" w:hAnsi="Times New Roman" w:cs="Times New Roman"/>
          <w:bCs/>
          <w:iCs/>
          <w:color w:val="000000"/>
          <w:sz w:val="24"/>
          <w:szCs w:val="24"/>
        </w:rPr>
        <w:t>sp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>. nov</w:t>
      </w:r>
    </w:p>
    <w:p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color w:val="000000" w:themeColor="text1"/>
          <w:sz w:val="20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274310" cy="3119755"/>
            <wp:effectExtent l="0" t="0" r="2540" b="4445"/>
            <wp:docPr id="106" name="图片 106" descr="C:\Users\danille\AppData\Local\Temp\155954494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 descr="C:\Users\danille\AppData\Local\Temp\1559544949(1)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1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797" w:bottom="1440" w:left="1797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3CFD"/>
    <w:rsid w:val="000615D7"/>
    <w:rsid w:val="000B067E"/>
    <w:rsid w:val="001B319D"/>
    <w:rsid w:val="001E5843"/>
    <w:rsid w:val="00214A5C"/>
    <w:rsid w:val="00223DC4"/>
    <w:rsid w:val="002546F7"/>
    <w:rsid w:val="002A4DF0"/>
    <w:rsid w:val="00314732"/>
    <w:rsid w:val="00344B14"/>
    <w:rsid w:val="003F15D2"/>
    <w:rsid w:val="00482AE8"/>
    <w:rsid w:val="005A3DC6"/>
    <w:rsid w:val="00623F52"/>
    <w:rsid w:val="00643EDD"/>
    <w:rsid w:val="00656ACB"/>
    <w:rsid w:val="006609DC"/>
    <w:rsid w:val="006C6B8B"/>
    <w:rsid w:val="0070369B"/>
    <w:rsid w:val="00720B12"/>
    <w:rsid w:val="007834B2"/>
    <w:rsid w:val="00795E51"/>
    <w:rsid w:val="007B5854"/>
    <w:rsid w:val="00804467"/>
    <w:rsid w:val="00862B07"/>
    <w:rsid w:val="00953BA0"/>
    <w:rsid w:val="009A4414"/>
    <w:rsid w:val="009D29C4"/>
    <w:rsid w:val="00B03D05"/>
    <w:rsid w:val="00B43E73"/>
    <w:rsid w:val="00B83867"/>
    <w:rsid w:val="00C455B4"/>
    <w:rsid w:val="00C73133"/>
    <w:rsid w:val="00C8584C"/>
    <w:rsid w:val="00C90E37"/>
    <w:rsid w:val="00D0606B"/>
    <w:rsid w:val="00D507E8"/>
    <w:rsid w:val="00D72068"/>
    <w:rsid w:val="00DD13DE"/>
    <w:rsid w:val="00E340BD"/>
    <w:rsid w:val="00E3662F"/>
    <w:rsid w:val="00E55D61"/>
    <w:rsid w:val="00EB211E"/>
    <w:rsid w:val="00EB3CFD"/>
    <w:rsid w:val="00EC41FE"/>
    <w:rsid w:val="00ED06A5"/>
    <w:rsid w:val="00FA785A"/>
    <w:rsid w:val="00FF3234"/>
    <w:rsid w:val="5B647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line number"/>
    <w:basedOn w:val="6"/>
    <w:semiHidden/>
    <w:unhideWhenUsed/>
    <w:uiPriority w:val="99"/>
  </w:style>
  <w:style w:type="character" w:styleId="8">
    <w:name w:val="Hyperlink"/>
    <w:basedOn w:val="6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813</Words>
  <Characters>4636</Characters>
  <Lines>38</Lines>
  <Paragraphs>10</Paragraphs>
  <TotalTime>4737</TotalTime>
  <ScaleCrop>false</ScaleCrop>
  <LinksUpToDate>false</LinksUpToDate>
  <CharactersWithSpaces>5439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2020-05-04T22:57:00Z</dcterms:created>
  <dc:creator>Stanley Li</dc:creator>
  <cp:lastModifiedBy>蕈菌_李</cp:lastModifiedBy>
  <dcterms:modified xsi:type="dcterms:W3CDTF">2020-12-16T08:42:43Z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