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6E4C9B" w14:textId="0E477D38" w:rsidR="00E54824" w:rsidRDefault="7E9D7685" w:rsidP="11432DA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11432DA4">
        <w:rPr>
          <w:rFonts w:ascii="Times New Roman" w:eastAsia="Times New Roman" w:hAnsi="Times New Roman" w:cs="Times New Roman"/>
          <w:b/>
          <w:bCs/>
          <w:sz w:val="20"/>
          <w:szCs w:val="20"/>
        </w:rPr>
        <w:t>Model Covariate Definitions and Sources</w:t>
      </w:r>
      <w:r w:rsidRPr="11432DA4">
        <w:rPr>
          <w:rFonts w:ascii="Times New Roman" w:eastAsia="Times New Roman" w:hAnsi="Times New Roman" w:cs="Times New Roman"/>
          <w:sz w:val="20"/>
          <w:szCs w:val="20"/>
        </w:rPr>
        <w:t> </w:t>
      </w:r>
      <w:bookmarkStart w:id="0" w:name="_GoBack"/>
      <w:bookmarkEnd w:id="0"/>
    </w:p>
    <w:tbl>
      <w:tblPr>
        <w:tblStyle w:val="TableGrid"/>
        <w:tblW w:w="9465" w:type="dxa"/>
        <w:tblLayout w:type="fixed"/>
        <w:tblLook w:val="04A0" w:firstRow="1" w:lastRow="0" w:firstColumn="1" w:lastColumn="0" w:noHBand="0" w:noVBand="1"/>
      </w:tblPr>
      <w:tblGrid>
        <w:gridCol w:w="2785"/>
        <w:gridCol w:w="1460"/>
        <w:gridCol w:w="5220"/>
      </w:tblGrid>
      <w:tr w:rsidR="11432DA4" w14:paraId="2ED634AC" w14:textId="77777777" w:rsidTr="0021521E">
        <w:tc>
          <w:tcPr>
            <w:tcW w:w="2785" w:type="dxa"/>
          </w:tcPr>
          <w:p w14:paraId="657EB6ED" w14:textId="095979B4" w:rsidR="11432DA4" w:rsidRDefault="11432DA4" w:rsidP="001D4C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1460" w:type="dxa"/>
          </w:tcPr>
          <w:p w14:paraId="205CA3F1" w14:textId="489EAF81" w:rsidR="11432DA4" w:rsidRDefault="11432DA4" w:rsidP="001D4C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5220" w:type="dxa"/>
          </w:tcPr>
          <w:p w14:paraId="1C843FC9" w14:textId="0ABFD2C8" w:rsidR="11432DA4" w:rsidRDefault="11432DA4" w:rsidP="001D4C6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Definition</w:t>
            </w:r>
          </w:p>
        </w:tc>
      </w:tr>
      <w:tr w:rsidR="11432DA4" w14:paraId="405806EC" w14:textId="77777777" w:rsidTr="0021521E">
        <w:tc>
          <w:tcPr>
            <w:tcW w:w="9465" w:type="dxa"/>
            <w:gridSpan w:val="3"/>
          </w:tcPr>
          <w:p w14:paraId="55C5B002" w14:textId="272D5EFE" w:rsidR="11432DA4" w:rsidRDefault="11432DA4" w:rsidP="11432D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Sociodemographic</w:t>
            </w: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11432DA4" w14:paraId="43F4A9A4" w14:textId="77777777" w:rsidTr="0021521E">
        <w:tc>
          <w:tcPr>
            <w:tcW w:w="2785" w:type="dxa"/>
            <w:vAlign w:val="center"/>
          </w:tcPr>
          <w:p w14:paraId="7EBCE025" w14:textId="1B765099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Age </w:t>
            </w:r>
          </w:p>
        </w:tc>
        <w:tc>
          <w:tcPr>
            <w:tcW w:w="1460" w:type="dxa"/>
            <w:vAlign w:val="center"/>
          </w:tcPr>
          <w:p w14:paraId="06CA2A5D" w14:textId="17B939BF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67122D8A" w14:textId="43EC9BF7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Age calculated at the time of study based on the date of birth in the EMR </w:t>
            </w:r>
          </w:p>
        </w:tc>
      </w:tr>
      <w:tr w:rsidR="11432DA4" w14:paraId="4FE88857" w14:textId="77777777" w:rsidTr="0021521E">
        <w:tc>
          <w:tcPr>
            <w:tcW w:w="2785" w:type="dxa"/>
            <w:vAlign w:val="center"/>
          </w:tcPr>
          <w:p w14:paraId="1F27DC64" w14:textId="76230307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Gender </w:t>
            </w:r>
          </w:p>
        </w:tc>
        <w:tc>
          <w:tcPr>
            <w:tcW w:w="1460" w:type="dxa"/>
            <w:vAlign w:val="center"/>
          </w:tcPr>
          <w:p w14:paraId="4FA92C82" w14:textId="26810AD3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135EBA9F" w14:textId="0E1B3399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Self-reported </w:t>
            </w:r>
          </w:p>
        </w:tc>
      </w:tr>
      <w:tr w:rsidR="11432DA4" w14:paraId="3D4DBF58" w14:textId="77777777" w:rsidTr="0021521E">
        <w:tc>
          <w:tcPr>
            <w:tcW w:w="2785" w:type="dxa"/>
            <w:vAlign w:val="center"/>
          </w:tcPr>
          <w:p w14:paraId="442A88DC" w14:textId="39FA7891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Education </w:t>
            </w:r>
          </w:p>
        </w:tc>
        <w:tc>
          <w:tcPr>
            <w:tcW w:w="1460" w:type="dxa"/>
            <w:vAlign w:val="center"/>
          </w:tcPr>
          <w:p w14:paraId="4E5E1AA0" w14:textId="022CD548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ACS </w:t>
            </w:r>
          </w:p>
        </w:tc>
        <w:tc>
          <w:tcPr>
            <w:tcW w:w="5220" w:type="dxa"/>
            <w:vAlign w:val="center"/>
          </w:tcPr>
          <w:p w14:paraId="63EFE1D3" w14:textId="5333C4C7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Neighborhood education level used as proxy for individuals, since EMR data is so sparsely populated. Assigned via geocoded patient address using percent of population age 25+ with no high school diploma, as defined by ACS </w:t>
            </w:r>
          </w:p>
        </w:tc>
      </w:tr>
      <w:tr w:rsidR="11432DA4" w14:paraId="084B8DD3" w14:textId="77777777" w:rsidTr="0021521E">
        <w:tc>
          <w:tcPr>
            <w:tcW w:w="2785" w:type="dxa"/>
            <w:vAlign w:val="center"/>
          </w:tcPr>
          <w:p w14:paraId="14257990" w14:textId="657C3A01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Employment </w:t>
            </w:r>
          </w:p>
        </w:tc>
        <w:tc>
          <w:tcPr>
            <w:tcW w:w="1460" w:type="dxa"/>
            <w:vAlign w:val="center"/>
          </w:tcPr>
          <w:p w14:paraId="373C61A5" w14:textId="4BECF5B0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2C0AFD01" w14:textId="66F1F481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Self-reported </w:t>
            </w:r>
          </w:p>
        </w:tc>
      </w:tr>
      <w:tr w:rsidR="11432DA4" w14:paraId="6F332355" w14:textId="77777777" w:rsidTr="0021521E">
        <w:tc>
          <w:tcPr>
            <w:tcW w:w="2785" w:type="dxa"/>
            <w:vAlign w:val="center"/>
          </w:tcPr>
          <w:p w14:paraId="66F99ACF" w14:textId="06B329B7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Race </w:t>
            </w:r>
          </w:p>
        </w:tc>
        <w:tc>
          <w:tcPr>
            <w:tcW w:w="1460" w:type="dxa"/>
            <w:vAlign w:val="center"/>
          </w:tcPr>
          <w:p w14:paraId="6975555A" w14:textId="1B3664F9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4F183C72" w14:textId="415F638D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Self-reported </w:t>
            </w:r>
          </w:p>
        </w:tc>
      </w:tr>
      <w:tr w:rsidR="11432DA4" w14:paraId="583522E7" w14:textId="77777777" w:rsidTr="0021521E">
        <w:tc>
          <w:tcPr>
            <w:tcW w:w="2785" w:type="dxa"/>
            <w:vAlign w:val="center"/>
          </w:tcPr>
          <w:p w14:paraId="3CDDEE92" w14:textId="6E2C1A63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Ethnicity </w:t>
            </w:r>
          </w:p>
        </w:tc>
        <w:tc>
          <w:tcPr>
            <w:tcW w:w="1460" w:type="dxa"/>
            <w:vAlign w:val="center"/>
          </w:tcPr>
          <w:p w14:paraId="1733AEE9" w14:textId="1F81BEFB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693C23D4" w14:textId="7A36C238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Self-reported </w:t>
            </w:r>
          </w:p>
        </w:tc>
      </w:tr>
      <w:tr w:rsidR="11432DA4" w14:paraId="3620D4A7" w14:textId="77777777" w:rsidTr="0021521E">
        <w:tc>
          <w:tcPr>
            <w:tcW w:w="2785" w:type="dxa"/>
            <w:vAlign w:val="center"/>
          </w:tcPr>
          <w:p w14:paraId="261863EA" w14:textId="0711076E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Religion </w:t>
            </w:r>
          </w:p>
        </w:tc>
        <w:tc>
          <w:tcPr>
            <w:tcW w:w="1460" w:type="dxa"/>
            <w:vAlign w:val="center"/>
          </w:tcPr>
          <w:p w14:paraId="4DC14AD0" w14:textId="5540FA44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5E9A1F9A" w14:textId="448B2DAA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Self-reported </w:t>
            </w:r>
          </w:p>
        </w:tc>
      </w:tr>
      <w:tr w:rsidR="11432DA4" w14:paraId="589C7AEC" w14:textId="77777777" w:rsidTr="0021521E">
        <w:tc>
          <w:tcPr>
            <w:tcW w:w="2785" w:type="dxa"/>
            <w:vAlign w:val="center"/>
          </w:tcPr>
          <w:p w14:paraId="12BE8802" w14:textId="46755711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Relationship </w:t>
            </w:r>
          </w:p>
        </w:tc>
        <w:tc>
          <w:tcPr>
            <w:tcW w:w="1460" w:type="dxa"/>
            <w:vAlign w:val="center"/>
          </w:tcPr>
          <w:p w14:paraId="5E30C94C" w14:textId="787BBB44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4B29A111" w14:textId="15AB0513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Self-reported marital status </w:t>
            </w:r>
          </w:p>
        </w:tc>
      </w:tr>
      <w:tr w:rsidR="11432DA4" w14:paraId="7A980BAB" w14:textId="77777777" w:rsidTr="0021521E">
        <w:tc>
          <w:tcPr>
            <w:tcW w:w="2785" w:type="dxa"/>
            <w:vAlign w:val="center"/>
          </w:tcPr>
          <w:p w14:paraId="38A49CA7" w14:textId="32B8FE1B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Language </w:t>
            </w:r>
          </w:p>
        </w:tc>
        <w:tc>
          <w:tcPr>
            <w:tcW w:w="1460" w:type="dxa"/>
            <w:vAlign w:val="center"/>
          </w:tcPr>
          <w:p w14:paraId="62AD03E0" w14:textId="4EB46B13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1230CCF6" w14:textId="7E59BAC6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Self-reported </w:t>
            </w:r>
          </w:p>
        </w:tc>
      </w:tr>
      <w:tr w:rsidR="11432DA4" w14:paraId="0E762FE4" w14:textId="77777777" w:rsidTr="0021521E">
        <w:tc>
          <w:tcPr>
            <w:tcW w:w="9465" w:type="dxa"/>
            <w:gridSpan w:val="3"/>
            <w:vAlign w:val="center"/>
          </w:tcPr>
          <w:p w14:paraId="17DA4E40" w14:textId="7F7B4ABF" w:rsidR="11432DA4" w:rsidRDefault="11432DA4" w:rsidP="11432D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Clinical</w:t>
            </w: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11432DA4" w14:paraId="3FA7AF3A" w14:textId="77777777" w:rsidTr="0021521E">
        <w:tc>
          <w:tcPr>
            <w:tcW w:w="2785" w:type="dxa"/>
            <w:vAlign w:val="center"/>
          </w:tcPr>
          <w:p w14:paraId="7BF675D5" w14:textId="2918EB76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Body Mass Index </w:t>
            </w:r>
          </w:p>
        </w:tc>
        <w:tc>
          <w:tcPr>
            <w:tcW w:w="1460" w:type="dxa"/>
            <w:vAlign w:val="center"/>
          </w:tcPr>
          <w:p w14:paraId="0127E24E" w14:textId="3DD6A813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66DCB3CE" w14:textId="7F407602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Body mass index recorded at the most recent encounter </w:t>
            </w:r>
          </w:p>
        </w:tc>
      </w:tr>
      <w:tr w:rsidR="11432DA4" w14:paraId="7EC5A16A" w14:textId="77777777" w:rsidTr="0021521E">
        <w:tc>
          <w:tcPr>
            <w:tcW w:w="2785" w:type="dxa"/>
            <w:vAlign w:val="center"/>
          </w:tcPr>
          <w:p w14:paraId="0B71EBDF" w14:textId="7C028259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Chronic Condition Count </w:t>
            </w:r>
          </w:p>
        </w:tc>
        <w:tc>
          <w:tcPr>
            <w:tcW w:w="1460" w:type="dxa"/>
            <w:vAlign w:val="center"/>
          </w:tcPr>
          <w:p w14:paraId="353E0A12" w14:textId="0719E473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0D1E880C" w14:textId="77A6A253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Count of total chronic conditions in problem list or clinical encounter using the </w:t>
            </w:r>
            <w:proofErr w:type="spellStart"/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Charlson</w:t>
            </w:r>
            <w:proofErr w:type="spellEnd"/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Comorbidity Classification </w:t>
            </w:r>
          </w:p>
        </w:tc>
      </w:tr>
      <w:tr w:rsidR="11432DA4" w14:paraId="72514195" w14:textId="77777777" w:rsidTr="0021521E">
        <w:tc>
          <w:tcPr>
            <w:tcW w:w="2785" w:type="dxa"/>
            <w:vAlign w:val="center"/>
          </w:tcPr>
          <w:p w14:paraId="3B171173" w14:textId="3BCA963C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Chronic Kidney Disease </w:t>
            </w:r>
          </w:p>
        </w:tc>
        <w:tc>
          <w:tcPr>
            <w:tcW w:w="1460" w:type="dxa"/>
            <w:vAlign w:val="center"/>
          </w:tcPr>
          <w:p w14:paraId="1047B529" w14:textId="55B0D760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19ECDB34" w14:textId="62759D92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Problem list or clinical encounter diagnoses using standard International Classification of Diseases, Tenth Revision, Clinical Modification (ICD-10-CM), based on </w:t>
            </w:r>
            <w:proofErr w:type="spellStart"/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Charlson</w:t>
            </w:r>
            <w:proofErr w:type="spellEnd"/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Comorbidity Classification </w:t>
            </w:r>
          </w:p>
        </w:tc>
      </w:tr>
      <w:tr w:rsidR="11432DA4" w14:paraId="7AC7660C" w14:textId="77777777" w:rsidTr="0021521E">
        <w:tc>
          <w:tcPr>
            <w:tcW w:w="2785" w:type="dxa"/>
            <w:vAlign w:val="center"/>
          </w:tcPr>
          <w:p w14:paraId="171C8D6E" w14:textId="0DA6E99E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Diabetes </w:t>
            </w:r>
          </w:p>
        </w:tc>
        <w:tc>
          <w:tcPr>
            <w:tcW w:w="1460" w:type="dxa"/>
            <w:vAlign w:val="center"/>
          </w:tcPr>
          <w:p w14:paraId="28FDE0D9" w14:textId="3A446F95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5454C191" w14:textId="270CDF62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Problem list or clinical encounter diagnoses using standard International Classification of Diseases, Tenth Revision, Clinical Modification (ICD-10-CM), based on </w:t>
            </w:r>
            <w:proofErr w:type="spellStart"/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Charlson</w:t>
            </w:r>
            <w:proofErr w:type="spellEnd"/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Comorbidity Classification </w:t>
            </w:r>
          </w:p>
        </w:tc>
      </w:tr>
      <w:tr w:rsidR="11432DA4" w14:paraId="03B176FA" w14:textId="77777777" w:rsidTr="0021521E">
        <w:tc>
          <w:tcPr>
            <w:tcW w:w="2785" w:type="dxa"/>
            <w:vAlign w:val="center"/>
          </w:tcPr>
          <w:p w14:paraId="76BE670C" w14:textId="5912A82D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HIV/AIDS </w:t>
            </w:r>
          </w:p>
        </w:tc>
        <w:tc>
          <w:tcPr>
            <w:tcW w:w="1460" w:type="dxa"/>
            <w:vAlign w:val="center"/>
          </w:tcPr>
          <w:p w14:paraId="782C8967" w14:textId="2BCADD95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696DF709" w14:textId="759D1F1D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Problem list or clinical encounter diagnoses using standard International Classification of Diseases, Tenth Revision, Clinical Modification (ICD-10-CM), based on </w:t>
            </w:r>
            <w:proofErr w:type="spellStart"/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Charlson</w:t>
            </w:r>
            <w:proofErr w:type="spellEnd"/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Comorbidity Classification </w:t>
            </w:r>
          </w:p>
        </w:tc>
      </w:tr>
      <w:tr w:rsidR="11432DA4" w14:paraId="24577CBC" w14:textId="77777777" w:rsidTr="0021521E">
        <w:tc>
          <w:tcPr>
            <w:tcW w:w="2785" w:type="dxa"/>
            <w:vAlign w:val="center"/>
          </w:tcPr>
          <w:p w14:paraId="35117590" w14:textId="35DF85AE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Illicit Drug Use </w:t>
            </w:r>
          </w:p>
        </w:tc>
        <w:tc>
          <w:tcPr>
            <w:tcW w:w="1460" w:type="dxa"/>
            <w:vAlign w:val="center"/>
          </w:tcPr>
          <w:p w14:paraId="183CC0DB" w14:textId="0F3E6E4A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42798A81" w14:textId="609FE99A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Self-reported </w:t>
            </w:r>
          </w:p>
        </w:tc>
      </w:tr>
      <w:tr w:rsidR="11432DA4" w14:paraId="681FD88F" w14:textId="77777777" w:rsidTr="0021521E">
        <w:tc>
          <w:tcPr>
            <w:tcW w:w="2785" w:type="dxa"/>
            <w:vAlign w:val="center"/>
          </w:tcPr>
          <w:p w14:paraId="7CC5C1B6" w14:textId="68E70CA2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Primary Care Provider Affiliation </w:t>
            </w:r>
          </w:p>
        </w:tc>
        <w:tc>
          <w:tcPr>
            <w:tcW w:w="1460" w:type="dxa"/>
            <w:vAlign w:val="center"/>
          </w:tcPr>
          <w:p w14:paraId="433C7A05" w14:textId="4235751C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0DCAEFFF" w14:textId="354278CF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Attributed using self-reported Primary Care Provider. Patient placed into three groups: Internal Primary Care Provider, External Primary Care Provider identified, or Unknown Primary Care Provider. </w:t>
            </w:r>
          </w:p>
        </w:tc>
      </w:tr>
      <w:tr w:rsidR="11432DA4" w14:paraId="6F5D3929" w14:textId="77777777" w:rsidTr="0021521E">
        <w:tc>
          <w:tcPr>
            <w:tcW w:w="2785" w:type="dxa"/>
            <w:vAlign w:val="center"/>
          </w:tcPr>
          <w:p w14:paraId="731A9816" w14:textId="75C779D2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Polypharmacy </w:t>
            </w:r>
          </w:p>
        </w:tc>
        <w:tc>
          <w:tcPr>
            <w:tcW w:w="1460" w:type="dxa"/>
            <w:vAlign w:val="center"/>
          </w:tcPr>
          <w:p w14:paraId="608921A6" w14:textId="59032B2C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54747F46" w14:textId="61BEF0F6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Number of distinct medications prescribed in the last 12 months </w:t>
            </w:r>
          </w:p>
        </w:tc>
      </w:tr>
      <w:tr w:rsidR="11432DA4" w14:paraId="4BF3BE77" w14:textId="77777777" w:rsidTr="0021521E">
        <w:tc>
          <w:tcPr>
            <w:tcW w:w="2785" w:type="dxa"/>
            <w:vAlign w:val="center"/>
          </w:tcPr>
          <w:p w14:paraId="6E1CC3E3" w14:textId="6E86381F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Serious Mental Illness </w:t>
            </w:r>
          </w:p>
        </w:tc>
        <w:tc>
          <w:tcPr>
            <w:tcW w:w="1460" w:type="dxa"/>
            <w:vAlign w:val="center"/>
          </w:tcPr>
          <w:p w14:paraId="38A0970D" w14:textId="1CBF392F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19CC19F8" w14:textId="07868829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Major recurrent depression, schizophrenia, and bipolar disorder as defined by </w:t>
            </w:r>
            <w:proofErr w:type="spellStart"/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Charlson</w:t>
            </w:r>
            <w:proofErr w:type="spellEnd"/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Comorbidity Classification </w:t>
            </w:r>
          </w:p>
        </w:tc>
      </w:tr>
      <w:tr w:rsidR="11432DA4" w14:paraId="7462F00A" w14:textId="77777777" w:rsidTr="0021521E">
        <w:tc>
          <w:tcPr>
            <w:tcW w:w="2785" w:type="dxa"/>
            <w:vAlign w:val="center"/>
          </w:tcPr>
          <w:p w14:paraId="634B51C4" w14:textId="4BA963D0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Substance Use Disorder </w:t>
            </w:r>
          </w:p>
        </w:tc>
        <w:tc>
          <w:tcPr>
            <w:tcW w:w="1460" w:type="dxa"/>
            <w:vAlign w:val="center"/>
          </w:tcPr>
          <w:p w14:paraId="1BB0E6A4" w14:textId="71E24974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77F3035A" w14:textId="243426AB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56EEA81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NYU (New York University) </w:t>
            </w:r>
            <w:r w:rsidR="71EF9E59" w:rsidRPr="56EEA81D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 w:rsidRPr="56EEA81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ental </w:t>
            </w:r>
            <w:r w:rsidR="76F7319D" w:rsidRPr="56EEA81D"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  <w:r w:rsidRPr="56EEA81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ealth </w:t>
            </w:r>
            <w:r w:rsidR="25604579" w:rsidRPr="56EEA81D"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  <w:r w:rsidR="7D5EC346" w:rsidRPr="56EEA81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sychoactive </w:t>
            </w:r>
            <w:r w:rsidR="6943E129" w:rsidRPr="56EEA81D">
              <w:rPr>
                <w:rFonts w:ascii="Times New Roman" w:eastAsia="Times New Roman" w:hAnsi="Times New Roman" w:cs="Times New Roman"/>
                <w:sz w:val="20"/>
                <w:szCs w:val="20"/>
              </w:rPr>
              <w:t>substance dependence</w:t>
            </w:r>
            <w:r w:rsidRPr="56EEA81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C0CEE74" w:rsidRPr="56EEA81D"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 w:rsidRPr="56EEA81D">
              <w:rPr>
                <w:rFonts w:ascii="Times New Roman" w:eastAsia="Times New Roman" w:hAnsi="Times New Roman" w:cs="Times New Roman"/>
                <w:sz w:val="20"/>
                <w:szCs w:val="20"/>
              </w:rPr>
              <w:t>lassification </w:t>
            </w:r>
          </w:p>
        </w:tc>
      </w:tr>
      <w:tr w:rsidR="11432DA4" w14:paraId="1F40C9EE" w14:textId="77777777" w:rsidTr="0021521E">
        <w:tc>
          <w:tcPr>
            <w:tcW w:w="2785" w:type="dxa"/>
            <w:vAlign w:val="center"/>
          </w:tcPr>
          <w:p w14:paraId="3BF3130F" w14:textId="2F549179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Dementia </w:t>
            </w:r>
          </w:p>
        </w:tc>
        <w:tc>
          <w:tcPr>
            <w:tcW w:w="1460" w:type="dxa"/>
            <w:vAlign w:val="center"/>
          </w:tcPr>
          <w:p w14:paraId="0CF8CB71" w14:textId="582328D8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60C48C29" w14:textId="3FBD5414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Problem list or clinical encounter diagnoses using standard International Classification of Diseases, Tenth Revision, Clinical Modification (ICD-10-CM), based on </w:t>
            </w:r>
            <w:proofErr w:type="spellStart"/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Charlson</w:t>
            </w:r>
            <w:proofErr w:type="spellEnd"/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Comorbidity Classification </w:t>
            </w:r>
          </w:p>
        </w:tc>
      </w:tr>
      <w:tr w:rsidR="11432DA4" w14:paraId="5298C82D" w14:textId="77777777" w:rsidTr="0021521E">
        <w:tc>
          <w:tcPr>
            <w:tcW w:w="2785" w:type="dxa"/>
            <w:vAlign w:val="center"/>
          </w:tcPr>
          <w:p w14:paraId="43D8D8BE" w14:textId="481E9796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Tobacco Use </w:t>
            </w:r>
          </w:p>
        </w:tc>
        <w:tc>
          <w:tcPr>
            <w:tcW w:w="1460" w:type="dxa"/>
            <w:vAlign w:val="center"/>
          </w:tcPr>
          <w:p w14:paraId="5A1801F2" w14:textId="4046CBD0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41A8012A" w14:textId="1CEF3B8B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Self-reported </w:t>
            </w:r>
          </w:p>
        </w:tc>
      </w:tr>
      <w:tr w:rsidR="11432DA4" w14:paraId="7D83ED6F" w14:textId="77777777" w:rsidTr="0021521E">
        <w:tc>
          <w:tcPr>
            <w:tcW w:w="2785" w:type="dxa"/>
            <w:vAlign w:val="center"/>
          </w:tcPr>
          <w:p w14:paraId="659D967E" w14:textId="2A6EE107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Symptoms </w:t>
            </w:r>
          </w:p>
        </w:tc>
        <w:tc>
          <w:tcPr>
            <w:tcW w:w="1460" w:type="dxa"/>
            <w:vAlign w:val="center"/>
          </w:tcPr>
          <w:p w14:paraId="51468BAB" w14:textId="60EE04AA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4C696799" w14:textId="0200DB35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Encounter reported fever, cough, shortness of breath, chills, myalgia </w:t>
            </w:r>
          </w:p>
        </w:tc>
      </w:tr>
      <w:tr w:rsidR="11432DA4" w14:paraId="5C94B56C" w14:textId="77777777" w:rsidTr="0021521E">
        <w:tc>
          <w:tcPr>
            <w:tcW w:w="9465" w:type="dxa"/>
            <w:gridSpan w:val="3"/>
            <w:vAlign w:val="center"/>
          </w:tcPr>
          <w:p w14:paraId="33BECF1A" w14:textId="32D5B8DF" w:rsidR="11432DA4" w:rsidRDefault="11432DA4" w:rsidP="11432D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Environmental</w:t>
            </w: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11432DA4" w14:paraId="68531411" w14:textId="77777777" w:rsidTr="0021521E">
        <w:tc>
          <w:tcPr>
            <w:tcW w:w="2785" w:type="dxa"/>
            <w:vAlign w:val="center"/>
          </w:tcPr>
          <w:p w14:paraId="468D4588" w14:textId="2E32516C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Region </w:t>
            </w:r>
          </w:p>
        </w:tc>
        <w:tc>
          <w:tcPr>
            <w:tcW w:w="1460" w:type="dxa"/>
            <w:vAlign w:val="center"/>
          </w:tcPr>
          <w:p w14:paraId="35239748" w14:textId="2A424A88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01F5EDB1" w14:textId="64412709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Assigned via self-reported geocoded patient address mapped to regional areas. As more patients are tested, geographical grouping can be narrowed to smaller areas. </w:t>
            </w:r>
          </w:p>
        </w:tc>
      </w:tr>
      <w:tr w:rsidR="11432DA4" w14:paraId="1E74855D" w14:textId="77777777" w:rsidTr="0021521E">
        <w:tc>
          <w:tcPr>
            <w:tcW w:w="2785" w:type="dxa"/>
            <w:vAlign w:val="center"/>
          </w:tcPr>
          <w:p w14:paraId="7E115874" w14:textId="7FC95CDC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Age-stratified Communal Living  </w:t>
            </w:r>
          </w:p>
        </w:tc>
        <w:tc>
          <w:tcPr>
            <w:tcW w:w="1460" w:type="dxa"/>
            <w:vAlign w:val="center"/>
          </w:tcPr>
          <w:p w14:paraId="47B25C46" w14:textId="6B590B86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EMR </w:t>
            </w:r>
          </w:p>
        </w:tc>
        <w:tc>
          <w:tcPr>
            <w:tcW w:w="5220" w:type="dxa"/>
            <w:vAlign w:val="center"/>
          </w:tcPr>
          <w:p w14:paraId="0125EBDD" w14:textId="5CC45FA1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Derived using age ranges and generational composition of residents clustered by geographic proximity  </w:t>
            </w:r>
          </w:p>
        </w:tc>
      </w:tr>
      <w:tr w:rsidR="11432DA4" w14:paraId="08A5E8EB" w14:textId="77777777" w:rsidTr="0021521E">
        <w:tc>
          <w:tcPr>
            <w:tcW w:w="2785" w:type="dxa"/>
            <w:vAlign w:val="center"/>
          </w:tcPr>
          <w:p w14:paraId="1ADE7FEE" w14:textId="7F8C4EAB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Neighborhood Financial Security </w:t>
            </w:r>
          </w:p>
        </w:tc>
        <w:tc>
          <w:tcPr>
            <w:tcW w:w="1460" w:type="dxa"/>
            <w:vAlign w:val="center"/>
          </w:tcPr>
          <w:p w14:paraId="3997BF0A" w14:textId="65872DD4" w:rsidR="11432DA4" w:rsidRDefault="0021521E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2018 </w:t>
            </w:r>
            <w:r w:rsidR="11432DA4"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merican Community Survey</w:t>
            </w:r>
            <w:r w:rsidR="11432DA4"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220" w:type="dxa"/>
            <w:vAlign w:val="center"/>
          </w:tcPr>
          <w:p w14:paraId="12AF7732" w14:textId="1346221B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Assigned via geocoded patient address using four variables:  1) Percent of population at or below 200% of the Federal Poverty Level (FPL), 2) Percent of cost burdened households where gross rent is greater than 30% of income, 3) Per capita income in the bottom quartile, and 4) Percent of households receiving SNAP benefits </w:t>
            </w:r>
          </w:p>
        </w:tc>
      </w:tr>
      <w:tr w:rsidR="11432DA4" w14:paraId="71F7E712" w14:textId="77777777" w:rsidTr="0021521E">
        <w:tc>
          <w:tcPr>
            <w:tcW w:w="2785" w:type="dxa"/>
            <w:vAlign w:val="center"/>
          </w:tcPr>
          <w:p w14:paraId="09F78664" w14:textId="74D7670B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Neighborhood Housing Security </w:t>
            </w:r>
          </w:p>
        </w:tc>
        <w:tc>
          <w:tcPr>
            <w:tcW w:w="1460" w:type="dxa"/>
            <w:vAlign w:val="center"/>
          </w:tcPr>
          <w:p w14:paraId="080DAB8B" w14:textId="08FB87DE" w:rsidR="11432DA4" w:rsidRDefault="0021521E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2018 </w:t>
            </w: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merican Community Survey</w:t>
            </w: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220" w:type="dxa"/>
            <w:vAlign w:val="center"/>
          </w:tcPr>
          <w:p w14:paraId="28D4480A" w14:textId="441D1A21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Assigned via geocoded patient address using two variables: 1) Percent of occupied housing with 1+ substandard condition such as heat, kitchen, bathroom, overcrowding, or other factors and 2) Percent housing units overcrowded </w:t>
            </w:r>
          </w:p>
        </w:tc>
      </w:tr>
      <w:tr w:rsidR="11432DA4" w14:paraId="3BAC5322" w14:textId="77777777" w:rsidTr="0021521E">
        <w:tc>
          <w:tcPr>
            <w:tcW w:w="2785" w:type="dxa"/>
            <w:vAlign w:val="center"/>
          </w:tcPr>
          <w:p w14:paraId="112828A7" w14:textId="3E1BCA1B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Neighborhood Transportation </w:t>
            </w:r>
          </w:p>
        </w:tc>
        <w:tc>
          <w:tcPr>
            <w:tcW w:w="1460" w:type="dxa"/>
            <w:vAlign w:val="center"/>
          </w:tcPr>
          <w:p w14:paraId="644AA37F" w14:textId="6036A775" w:rsidR="11432DA4" w:rsidRDefault="0021521E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2018 </w:t>
            </w: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merican Community Survey</w:t>
            </w: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220" w:type="dxa"/>
            <w:vAlign w:val="center"/>
          </w:tcPr>
          <w:p w14:paraId="0A7D1ADA" w14:textId="70F089C6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Assigned via geocoded patient address using 2 variables:</w:t>
            </w:r>
            <w:r w:rsidR="0021521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1) Percent of population using public transportation for commute to work and 2) Percent of households with no motor vehicle </w:t>
            </w:r>
          </w:p>
        </w:tc>
      </w:tr>
      <w:tr w:rsidR="11432DA4" w14:paraId="1E9C6F2C" w14:textId="77777777" w:rsidTr="0021521E">
        <w:trPr>
          <w:trHeight w:val="1403"/>
        </w:trPr>
        <w:tc>
          <w:tcPr>
            <w:tcW w:w="2785" w:type="dxa"/>
            <w:vAlign w:val="center"/>
          </w:tcPr>
          <w:p w14:paraId="3422201D" w14:textId="0205124D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Air Quality </w:t>
            </w:r>
          </w:p>
        </w:tc>
        <w:tc>
          <w:tcPr>
            <w:tcW w:w="1460" w:type="dxa"/>
            <w:vAlign w:val="center"/>
          </w:tcPr>
          <w:p w14:paraId="498163BF" w14:textId="4BABCA8E" w:rsidR="11432DA4" w:rsidRDefault="0021521E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Centers for Disease Control and Prevention Air Quality</w:t>
            </w:r>
          </w:p>
        </w:tc>
        <w:tc>
          <w:tcPr>
            <w:tcW w:w="5220" w:type="dxa"/>
            <w:vAlign w:val="center"/>
          </w:tcPr>
          <w:p w14:paraId="6EE76D6D" w14:textId="7D858E83" w:rsidR="11432DA4" w:rsidRDefault="11432DA4" w:rsidP="11432DA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1432DA4">
              <w:rPr>
                <w:rFonts w:ascii="Times New Roman" w:eastAsia="Times New Roman" w:hAnsi="Times New Roman" w:cs="Times New Roman"/>
                <w:sz w:val="20"/>
                <w:szCs w:val="20"/>
              </w:rPr>
              <w:t>Assigned via geocoded patient address using percent days exceeding standards for ozone concentration </w:t>
            </w:r>
          </w:p>
        </w:tc>
      </w:tr>
    </w:tbl>
    <w:p w14:paraId="2C078E63" w14:textId="6A3907F6" w:rsidR="00E54824" w:rsidRDefault="00E54824" w:rsidP="11432DA4"/>
    <w:sectPr w:rsidR="00E548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79B2EB" w14:textId="77777777" w:rsidR="005F10F8" w:rsidRDefault="005F10F8" w:rsidP="005F10F8">
      <w:pPr>
        <w:spacing w:after="0" w:line="240" w:lineRule="auto"/>
      </w:pPr>
      <w:r>
        <w:separator/>
      </w:r>
    </w:p>
  </w:endnote>
  <w:endnote w:type="continuationSeparator" w:id="0">
    <w:p w14:paraId="0864FDC7" w14:textId="77777777" w:rsidR="005F10F8" w:rsidRDefault="005F10F8" w:rsidP="005F1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51D672" w14:textId="77777777" w:rsidR="005F10F8" w:rsidRDefault="005F10F8" w:rsidP="005F10F8">
      <w:pPr>
        <w:spacing w:after="0" w:line="240" w:lineRule="auto"/>
      </w:pPr>
      <w:r>
        <w:separator/>
      </w:r>
    </w:p>
  </w:footnote>
  <w:footnote w:type="continuationSeparator" w:id="0">
    <w:p w14:paraId="6ACEB6C0" w14:textId="77777777" w:rsidR="005F10F8" w:rsidRDefault="005F10F8" w:rsidP="005F10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792EA5E"/>
    <w:rsid w:val="001D4C61"/>
    <w:rsid w:val="0021521E"/>
    <w:rsid w:val="005F10F8"/>
    <w:rsid w:val="00E54824"/>
    <w:rsid w:val="0C0CEE74"/>
    <w:rsid w:val="11432DA4"/>
    <w:rsid w:val="14F704C0"/>
    <w:rsid w:val="25604579"/>
    <w:rsid w:val="29ED3D36"/>
    <w:rsid w:val="48732B67"/>
    <w:rsid w:val="4AD0C5DE"/>
    <w:rsid w:val="56EEA81D"/>
    <w:rsid w:val="5DB15426"/>
    <w:rsid w:val="6243C48B"/>
    <w:rsid w:val="6792EA5E"/>
    <w:rsid w:val="6943E129"/>
    <w:rsid w:val="71EF9E59"/>
    <w:rsid w:val="76F7319D"/>
    <w:rsid w:val="7AB5DACF"/>
    <w:rsid w:val="7D5EC346"/>
    <w:rsid w:val="7E9D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5803D17"/>
  <w15:chartTrackingRefBased/>
  <w15:docId w15:val="{867C86D7-4230-4F95-836B-F9B4AA7C8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s0 xmlns="2da58092-5854-4ef6-88f5-aea7782f4e7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259FE66757A7418633349D526E37AD" ma:contentTypeVersion="11" ma:contentTypeDescription="Create a new document." ma:contentTypeScope="" ma:versionID="0965438853dd6749f45f1efebe70412e">
  <xsd:schema xmlns:xsd="http://www.w3.org/2001/XMLSchema" xmlns:xs="http://www.w3.org/2001/XMLSchema" xmlns:p="http://schemas.microsoft.com/office/2006/metadata/properties" xmlns:ns2="38491cd6-2f98-4605-8546-7585a7f70a1a" xmlns:ns3="2da58092-5854-4ef6-88f5-aea7782f4e70" targetNamespace="http://schemas.microsoft.com/office/2006/metadata/properties" ma:root="true" ma:fieldsID="32d98b658502a840dcbf656a31cb9877" ns2:_="" ns3:_="">
    <xsd:import namespace="38491cd6-2f98-4605-8546-7585a7f70a1a"/>
    <xsd:import namespace="2da58092-5854-4ef6-88f5-aea7782f4e7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Notes0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491cd6-2f98-4605-8546-7585a7f70a1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a58092-5854-4ef6-88f5-aea7782f4e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Notes0" ma:index="17" nillable="true" ma:displayName="Notes" ma:internalName="Notes0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89F2697-67F9-406E-BD40-8465F4E6021D}">
  <ds:schemaRefs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38491cd6-2f98-4605-8546-7585a7f70a1a"/>
    <ds:schemaRef ds:uri="http://purl.org/dc/terms/"/>
    <ds:schemaRef ds:uri="2da58092-5854-4ef6-88f5-aea7782f4e70"/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B4BA33AF-183C-40B8-BBC7-5B4A17FE75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491cd6-2f98-4605-8546-7585a7f70a1a"/>
    <ds:schemaRef ds:uri="2da58092-5854-4ef6-88f5-aea7782f4e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A8D6C71-B61F-405B-BE41-A572071958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588</Words>
  <Characters>3354</Characters>
  <Application>Microsoft Office Word</Application>
  <DocSecurity>0</DocSecurity>
  <Lines>27</Lines>
  <Paragraphs>7</Paragraphs>
  <ScaleCrop>false</ScaleCrop>
  <Company/>
  <LinksUpToDate>false</LinksUpToDate>
  <CharactersWithSpaces>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Rozenfeld, Yelena</dc:creator>
  <cp:keywords/>
  <dc:description/>
  <cp:lastModifiedBy>Maier, Haley R</cp:lastModifiedBy>
  <cp:revision>5</cp:revision>
  <dcterms:created xsi:type="dcterms:W3CDTF">2020-05-21T15:50:00Z</dcterms:created>
  <dcterms:modified xsi:type="dcterms:W3CDTF">2020-05-27T16:16:00Z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0x01010069259FE66757A7418633349D526E37AD</vt:lpwstr>
  </property>
  <property fmtid="{D5CDD505-2E9C-101B-9397-08002B2CF9AE}" pid="3" name="MSIP_Label_11a905b5-8388-4a05-b89a-55e43f7b4d00_Enabled">
    <vt:lpwstr>true</vt:lpwstr>
  </property>
  <property fmtid="{D5CDD505-2E9C-101B-9397-08002B2CF9AE}" pid="4" name="MSIP_Label_11a905b5-8388-4a05-b89a-55e43f7b4d00_SetDate">
    <vt:lpwstr>2020-05-21T15:49:48Z</vt:lpwstr>
  </property>
  <property fmtid="{D5CDD505-2E9C-101B-9397-08002B2CF9AE}" pid="5" name="MSIP_Label_11a905b5-8388-4a05-b89a-55e43f7b4d00_Method">
    <vt:lpwstr>Standard</vt:lpwstr>
  </property>
  <property fmtid="{D5CDD505-2E9C-101B-9397-08002B2CF9AE}" pid="6" name="MSIP_Label_11a905b5-8388-4a05-b89a-55e43f7b4d00_Name">
    <vt:lpwstr>General</vt:lpwstr>
  </property>
  <property fmtid="{D5CDD505-2E9C-101B-9397-08002B2CF9AE}" pid="7" name="MSIP_Label_11a905b5-8388-4a05-b89a-55e43f7b4d00_SiteId">
    <vt:lpwstr>2e319086-9a26-46a3-865f-615bed576786</vt:lpwstr>
  </property>
  <property fmtid="{D5CDD505-2E9C-101B-9397-08002B2CF9AE}" pid="8" name="MSIP_Label_11a905b5-8388-4a05-b89a-55e43f7b4d00_ActionId">
    <vt:lpwstr>416b2b4f-d522-4060-8475-f0485260c865</vt:lpwstr>
  </property>
  <property fmtid="{D5CDD505-2E9C-101B-9397-08002B2CF9AE}" pid="9" name="MSIP_Label_11a905b5-8388-4a05-b89a-55e43f7b4d00_ContentBits">
    <vt:lpwstr>0</vt:lpwstr>
  </property>
</Properties>
</file>