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236E6A" w14:textId="77777777" w:rsidR="00C54966" w:rsidRPr="007B4BBF" w:rsidRDefault="007B4BBF">
      <w:pPr>
        <w:rPr>
          <w:b/>
          <w:sz w:val="28"/>
          <w:szCs w:val="28"/>
        </w:rPr>
      </w:pPr>
      <w:r w:rsidRPr="007B4BBF">
        <w:rPr>
          <w:b/>
          <w:sz w:val="28"/>
          <w:szCs w:val="28"/>
        </w:rPr>
        <w:t>Appendix A</w:t>
      </w:r>
      <w:r>
        <w:rPr>
          <w:b/>
          <w:sz w:val="28"/>
          <w:szCs w:val="28"/>
        </w:rPr>
        <w:t>.  Detailed Laboratory Testing Methodology</w:t>
      </w:r>
      <w:bookmarkStart w:id="0" w:name="_GoBack"/>
      <w:bookmarkEnd w:id="0"/>
    </w:p>
    <w:p w14:paraId="4C4FACCD" w14:textId="77777777" w:rsidR="002F4A19" w:rsidRDefault="002F4A19"/>
    <w:p w14:paraId="27A51B93" w14:textId="77777777" w:rsidR="00B2499B" w:rsidRPr="00B2499B" w:rsidRDefault="00B2499B">
      <w:pPr>
        <w:rPr>
          <w:b/>
        </w:rPr>
      </w:pPr>
      <w:r w:rsidRPr="00B2499B">
        <w:rPr>
          <w:b/>
        </w:rPr>
        <w:t>IgM and IgG ELISA Testing</w:t>
      </w:r>
    </w:p>
    <w:p w14:paraId="041FADD9" w14:textId="77777777" w:rsidR="00B2499B" w:rsidRDefault="00B2499B"/>
    <w:p w14:paraId="4E5D1055" w14:textId="77777777" w:rsidR="002F4A19" w:rsidRDefault="002F4A19" w:rsidP="002F4A19">
      <w:pPr>
        <w:spacing w:line="480" w:lineRule="auto"/>
        <w:ind w:firstLine="720"/>
      </w:pPr>
      <w:r w:rsidRPr="000226AB">
        <w:t>IgM and IgG antibodies against ZIKV, DENV and CHIKV were detected in patients’ serum samples using a commercial indirect, colorimetric ELISA assay (</w:t>
      </w:r>
      <w:proofErr w:type="spellStart"/>
      <w:r w:rsidRPr="000226AB">
        <w:t>Euroimmun</w:t>
      </w:r>
      <w:proofErr w:type="spellEnd"/>
      <w:r w:rsidRPr="000226AB">
        <w:t xml:space="preserve"> AG, </w:t>
      </w:r>
      <w:proofErr w:type="spellStart"/>
      <w:r w:rsidRPr="000226AB">
        <w:t>Lübeck</w:t>
      </w:r>
      <w:proofErr w:type="spellEnd"/>
      <w:r w:rsidRPr="000226AB">
        <w:t>, Germany). Anti-Zika ELISA IgM and IgG platforms contain micro titer wells coated with recombinant non-structural protein (NS1) of Zika virus; anti-Dengue ELISA IgM and IgG contain micro titer wells coated with dengue virus antigens; and anti-Chikungunya ELISA IgM and IgG</w:t>
      </w:r>
      <w:r w:rsidRPr="000226AB" w:rsidDel="00E755C6">
        <w:t xml:space="preserve"> </w:t>
      </w:r>
      <w:r w:rsidRPr="000226AB">
        <w:t>contain micro titer wells coated with recombinant Chikungunya virus antigens. The assays were performed according to the manufacturers’ kit inserts. Briefly, 1:100 diluted serum was added to the coated wells together with positive, negative and calibrator samples in duplicates, and incubated for one hour at 37°C. Conjugated anti-human IgM and IgG</w:t>
      </w:r>
      <w:r w:rsidRPr="000226AB" w:rsidDel="00E755C6">
        <w:t xml:space="preserve"> </w:t>
      </w:r>
      <w:r w:rsidRPr="000226AB">
        <w:t>antibodies were added for IgM and IgG</w:t>
      </w:r>
      <w:r w:rsidRPr="000226AB" w:rsidDel="00E755C6">
        <w:t xml:space="preserve"> </w:t>
      </w:r>
      <w:r w:rsidRPr="000226AB">
        <w:t>detection, respectively, followed by a substrate. The OD of each well was measured by spectrophotometry at 450 nm, with a 620 nm reference wavelength. Ratios were determined by dividing the OD of the patient’s sample by the OD of the assay calibrator. IgM results were reported semi-quantitatively by calculating a ratio of the extinction value of the control or patient sample over the extinction value of the calibrator. The sample was considered IgM positive if the IgM ratio was ≥1.1, borderline if the ratio was ≥0.8 to &lt;1.1 and negative if &lt;0.8.  IgG results were reported quantitatively using the standard curve obtained by point-to-point plotting of the extinction values measured for the 3 calibration sera against the corresponding units (linear/linear). The sample was considered IgG positive if the result was ≥22 relative units (RU)/mL, borderline if ≥16 to &lt;22 RU/mL, or negative if &lt;16 RU/mL.</w:t>
      </w:r>
    </w:p>
    <w:p w14:paraId="6348770D" w14:textId="77777777" w:rsidR="00B2499B" w:rsidRDefault="00B2499B" w:rsidP="00B2499B">
      <w:pPr>
        <w:spacing w:line="480" w:lineRule="auto"/>
        <w:rPr>
          <w:b/>
        </w:rPr>
      </w:pPr>
    </w:p>
    <w:p w14:paraId="6E0C1652" w14:textId="77777777" w:rsidR="00B2499B" w:rsidRPr="000226AB" w:rsidRDefault="00B2499B" w:rsidP="00B2499B">
      <w:pPr>
        <w:spacing w:line="480" w:lineRule="auto"/>
        <w:rPr>
          <w:b/>
        </w:rPr>
      </w:pPr>
      <w:r w:rsidRPr="000226AB">
        <w:rPr>
          <w:b/>
        </w:rPr>
        <w:t>RNA extraction and real-time PCR</w:t>
      </w:r>
    </w:p>
    <w:p w14:paraId="60C13781" w14:textId="77777777" w:rsidR="00B2499B" w:rsidRDefault="00B2499B" w:rsidP="00B2499B">
      <w:pPr>
        <w:spacing w:line="480" w:lineRule="auto"/>
        <w:ind w:firstLine="720"/>
      </w:pPr>
      <w:r w:rsidRPr="000226AB">
        <w:t xml:space="preserve">All IgM and IgG-positive samples were tested for the presence of viral RNA. </w:t>
      </w:r>
      <w:r>
        <w:t xml:space="preserve">Details of RNA extraction and real-time PCR methods can be found in Appendix A. </w:t>
      </w:r>
      <w:r w:rsidRPr="000226AB">
        <w:t xml:space="preserve">Viral RNA was extracted from 140 </w:t>
      </w:r>
      <w:proofErr w:type="spellStart"/>
      <w:r w:rsidRPr="000226AB">
        <w:t>μL</w:t>
      </w:r>
      <w:proofErr w:type="spellEnd"/>
      <w:r w:rsidRPr="000226AB">
        <w:t xml:space="preserve"> of plasma sample by using </w:t>
      </w:r>
      <w:proofErr w:type="spellStart"/>
      <w:r w:rsidRPr="000226AB">
        <w:t>QIAmpviral</w:t>
      </w:r>
      <w:proofErr w:type="spellEnd"/>
      <w:r w:rsidRPr="000226AB">
        <w:t xml:space="preserve"> RNA Mini kit (</w:t>
      </w:r>
      <w:proofErr w:type="spellStart"/>
      <w:r w:rsidRPr="000226AB">
        <w:t>Qiagen</w:t>
      </w:r>
      <w:proofErr w:type="spellEnd"/>
      <w:r w:rsidRPr="000226AB">
        <w:t xml:space="preserve"> Inc., Valencia, CA), according to the manufacturer’s instructions, and then stored at -80°C until further processing. The real time PCR was performed using </w:t>
      </w:r>
      <w:proofErr w:type="spellStart"/>
      <w:r w:rsidRPr="000226AB">
        <w:t>Altona</w:t>
      </w:r>
      <w:proofErr w:type="spellEnd"/>
      <w:r w:rsidRPr="000226AB">
        <w:t xml:space="preserve"> </w:t>
      </w:r>
      <w:proofErr w:type="spellStart"/>
      <w:r w:rsidRPr="000226AB">
        <w:t>RealStar</w:t>
      </w:r>
      <w:proofErr w:type="spellEnd"/>
      <w:r w:rsidRPr="000226AB">
        <w:t xml:space="preserve"> Zika, dengue and Chikungunya PCR kits (</w:t>
      </w:r>
      <w:proofErr w:type="spellStart"/>
      <w:r w:rsidRPr="000226AB">
        <w:t>Altona</w:t>
      </w:r>
      <w:proofErr w:type="spellEnd"/>
      <w:r w:rsidRPr="000226AB">
        <w:t xml:space="preserve"> Diagnostics, Hamburg, Germany). Reaction mixtures A and B and an internal control (IC) were mixed with 10 </w:t>
      </w:r>
      <w:proofErr w:type="spellStart"/>
      <w:r w:rsidRPr="000226AB">
        <w:t>uL</w:t>
      </w:r>
      <w:proofErr w:type="spellEnd"/>
      <w:r w:rsidRPr="000226AB">
        <w:t xml:space="preserve"> of extracted RNA. Reverse transcription PCR (RT-PCR) was performed using the ViiA7 system (Applied </w:t>
      </w:r>
      <w:proofErr w:type="spellStart"/>
      <w:r w:rsidRPr="000226AB">
        <w:t>Biosystems</w:t>
      </w:r>
      <w:proofErr w:type="spellEnd"/>
      <w:r w:rsidRPr="000226AB">
        <w:t xml:space="preserve">, Foster City, CA, USA). Cycling conditions were as follows: 50°C for 10 min (RT step), 95°C for 2 min, 45 cycles of 95°C for 15 s, 55°C for 45 s, and 72°C for 15 s (run time, 120 min). The </w:t>
      </w:r>
      <w:proofErr w:type="spellStart"/>
      <w:r w:rsidRPr="000226AB">
        <w:t>Altona</w:t>
      </w:r>
      <w:proofErr w:type="spellEnd"/>
      <w:r w:rsidRPr="000226AB">
        <w:t xml:space="preserve"> IC was required to be detected within 45 cycles; samples in which the </w:t>
      </w:r>
      <w:proofErr w:type="spellStart"/>
      <w:r w:rsidRPr="000226AB">
        <w:t>Altona</w:t>
      </w:r>
      <w:proofErr w:type="spellEnd"/>
      <w:r w:rsidRPr="000226AB">
        <w:t xml:space="preserve"> IC was not amplified were considered not valid. Samples with a cycle threshold &gt;38-40 were considered positive.</w:t>
      </w:r>
    </w:p>
    <w:p w14:paraId="6F7B4978" w14:textId="77777777" w:rsidR="007B4BBF" w:rsidRPr="007B4BBF" w:rsidRDefault="007B4BBF" w:rsidP="007B4BBF">
      <w:pPr>
        <w:rPr>
          <w:b/>
        </w:rPr>
      </w:pPr>
      <w:r w:rsidRPr="007B4BBF">
        <w:rPr>
          <w:b/>
        </w:rPr>
        <w:t>Focus Reduction Neutralization Test</w:t>
      </w:r>
    </w:p>
    <w:p w14:paraId="67BE793A" w14:textId="77777777" w:rsidR="007B4BBF" w:rsidRPr="007B4BBF" w:rsidRDefault="007B4BBF" w:rsidP="007B4BBF"/>
    <w:p w14:paraId="113D90FF" w14:textId="77777777" w:rsidR="007B4BBF" w:rsidRPr="0022429D" w:rsidRDefault="007B4BBF" w:rsidP="007B4BBF">
      <w:pPr>
        <w:autoSpaceDE w:val="0"/>
        <w:autoSpaceDN w:val="0"/>
        <w:adjustRightInd w:val="0"/>
        <w:spacing w:line="480" w:lineRule="auto"/>
        <w:ind w:firstLine="720"/>
        <w:rPr>
          <w:rFonts w:eastAsia="Times New Roman"/>
          <w:color w:val="000000"/>
        </w:rPr>
      </w:pPr>
      <w:r w:rsidRPr="0022429D">
        <w:t xml:space="preserve">A focus reduction neutralization test (FRNT) was used to quantify CHIKV-specific </w:t>
      </w:r>
      <w:r w:rsidRPr="0022429D">
        <w:rPr>
          <w:rFonts w:eastAsia="Times New Roman"/>
          <w:color w:val="000000"/>
        </w:rPr>
        <w:t xml:space="preserve">neutralizing antibodies. Briefly, three-fold serial dilutions of heat-inactivated serum samples were incubated with 150 focus forming units (FFU) of CHIKV strain 181/25 for 1 hour at 37°C in technical duplicate.  Serum-virus mixtures were incubated at 37°C with pre-plated Vero cells in 96-well tissue culture plates for 4 hours, then overlaid with 1% (w/v) methylcellulose (Sigma Aldrich) in </w:t>
      </w:r>
      <w:proofErr w:type="spellStart"/>
      <w:r w:rsidRPr="0022429D">
        <w:rPr>
          <w:rFonts w:eastAsia="Times New Roman"/>
          <w:color w:val="000000"/>
        </w:rPr>
        <w:t>Opti</w:t>
      </w:r>
      <w:proofErr w:type="spellEnd"/>
      <w:r w:rsidRPr="0022429D">
        <w:rPr>
          <w:rFonts w:eastAsia="Times New Roman"/>
          <w:color w:val="000000"/>
        </w:rPr>
        <w:t xml:space="preserve">-MEM (Invitrogen) containing 2% FBS (Atlanta </w:t>
      </w:r>
      <w:proofErr w:type="spellStart"/>
      <w:r w:rsidRPr="0022429D">
        <w:rPr>
          <w:rFonts w:eastAsia="Times New Roman"/>
          <w:color w:val="000000"/>
        </w:rPr>
        <w:t>Biologicals</w:t>
      </w:r>
      <w:proofErr w:type="spellEnd"/>
      <w:r w:rsidRPr="0022429D">
        <w:rPr>
          <w:rFonts w:eastAsia="Times New Roman"/>
          <w:color w:val="000000"/>
        </w:rPr>
        <w:t xml:space="preserve">) and 1x Penicillin-Streptomycin (Invitrogen), and incubated at 37°C for 18-24 hours.  Following infection, cells were fixed with 1.3% PFA in 1X PBS for 30 minutes and </w:t>
      </w:r>
      <w:proofErr w:type="spellStart"/>
      <w:r w:rsidRPr="0022429D">
        <w:rPr>
          <w:rFonts w:eastAsia="Times New Roman"/>
          <w:color w:val="000000"/>
        </w:rPr>
        <w:t>permeabilized</w:t>
      </w:r>
      <w:proofErr w:type="spellEnd"/>
      <w:r w:rsidRPr="0022429D">
        <w:rPr>
          <w:rFonts w:eastAsia="Times New Roman"/>
          <w:color w:val="000000"/>
        </w:rPr>
        <w:t xml:space="preserve"> using 1x Perm/Wash buffer (BD Biosciences).  CHIKV-infected foci were detected by sequential incubation with 700 </w:t>
      </w:r>
      <w:proofErr w:type="spellStart"/>
      <w:r w:rsidRPr="0022429D">
        <w:rPr>
          <w:rFonts w:eastAsia="Times New Roman"/>
          <w:color w:val="000000"/>
        </w:rPr>
        <w:t>ng</w:t>
      </w:r>
      <w:proofErr w:type="spellEnd"/>
      <w:r w:rsidRPr="0022429D">
        <w:rPr>
          <w:rFonts w:eastAsia="Times New Roman"/>
          <w:color w:val="000000"/>
        </w:rPr>
        <w:t>/ml of a CHIKV-specific mouse monoclonal antibody (</w:t>
      </w:r>
      <w:proofErr w:type="spellStart"/>
      <w:r w:rsidRPr="0022429D">
        <w:rPr>
          <w:rFonts w:eastAsia="Times New Roman"/>
          <w:color w:val="000000"/>
        </w:rPr>
        <w:t>mAb</w:t>
      </w:r>
      <w:proofErr w:type="spellEnd"/>
      <w:r w:rsidRPr="0022429D">
        <w:rPr>
          <w:rFonts w:eastAsia="Times New Roman"/>
          <w:color w:val="000000"/>
        </w:rPr>
        <w:t xml:space="preserve"> CHK-11</w:t>
      </w:r>
      <w:r w:rsidRPr="0022429D">
        <w:rPr>
          <w:rFonts w:eastAsia="Times New Roman"/>
          <w:color w:val="000000" w:themeColor="text1"/>
        </w:rPr>
        <w:t>),</w:t>
      </w:r>
      <w:r w:rsidRPr="0022429D">
        <w:rPr>
          <w:rFonts w:eastAsia="Times New Roman"/>
          <w:color w:val="000000"/>
        </w:rPr>
        <w:t xml:space="preserve"> 200 </w:t>
      </w:r>
      <w:proofErr w:type="spellStart"/>
      <w:r w:rsidRPr="0022429D">
        <w:rPr>
          <w:rFonts w:eastAsia="Times New Roman"/>
          <w:color w:val="000000"/>
        </w:rPr>
        <w:t>ng</w:t>
      </w:r>
      <w:proofErr w:type="spellEnd"/>
      <w:r w:rsidRPr="0022429D">
        <w:rPr>
          <w:rFonts w:eastAsia="Times New Roman"/>
          <w:color w:val="000000"/>
        </w:rPr>
        <w:t xml:space="preserve">/ml of horseradish peroxidase (HRP)-conjugated goat anti-mouse IgG (Sigma Aldrich), and </w:t>
      </w:r>
      <w:proofErr w:type="spellStart"/>
      <w:r w:rsidRPr="0022429D">
        <w:rPr>
          <w:rFonts w:eastAsia="Times New Roman"/>
          <w:color w:val="000000"/>
        </w:rPr>
        <w:t>TrueBlue</w:t>
      </w:r>
      <w:proofErr w:type="spellEnd"/>
      <w:r w:rsidRPr="0022429D">
        <w:rPr>
          <w:rFonts w:eastAsia="Times New Roman"/>
          <w:color w:val="000000"/>
        </w:rPr>
        <w:t xml:space="preserve"> peroxidase substrate (KPL, Inc.).  Foci were quantitated using an </w:t>
      </w:r>
      <w:proofErr w:type="spellStart"/>
      <w:r w:rsidRPr="0022429D">
        <w:rPr>
          <w:rFonts w:eastAsia="Times New Roman"/>
          <w:color w:val="000000"/>
        </w:rPr>
        <w:t>ImmunoSpot</w:t>
      </w:r>
      <w:proofErr w:type="spellEnd"/>
      <w:r w:rsidRPr="0022429D">
        <w:rPr>
          <w:rFonts w:eastAsia="Times New Roman"/>
          <w:color w:val="000000"/>
        </w:rPr>
        <w:t xml:space="preserve"> </w:t>
      </w:r>
      <w:proofErr w:type="spellStart"/>
      <w:r w:rsidRPr="0022429D">
        <w:rPr>
          <w:rFonts w:eastAsia="Times New Roman"/>
          <w:color w:val="000000"/>
        </w:rPr>
        <w:t>Macroanalyzer</w:t>
      </w:r>
      <w:proofErr w:type="spellEnd"/>
      <w:r w:rsidRPr="0022429D">
        <w:rPr>
          <w:rFonts w:eastAsia="Times New Roman"/>
          <w:color w:val="000000"/>
        </w:rPr>
        <w:t xml:space="preserve"> (Cellular Technologies, Ltd.).  Nonlinear regression analysis </w:t>
      </w:r>
      <w:r w:rsidRPr="0022429D">
        <w:rPr>
          <w:rFonts w:eastAsia="Times New Roman"/>
          <w:color w:val="000000"/>
          <w:shd w:val="clear" w:color="auto" w:fill="FFFFFF"/>
        </w:rPr>
        <w:t xml:space="preserve">with a variable slope </w:t>
      </w:r>
      <w:r w:rsidRPr="0022429D">
        <w:rPr>
          <w:rFonts w:eastAsia="Times New Roman"/>
          <w:color w:val="000000"/>
        </w:rPr>
        <w:t xml:space="preserve">was used to generate </w:t>
      </w:r>
      <w:r w:rsidRPr="0022429D">
        <w:rPr>
          <w:rFonts w:eastAsia="Times New Roman"/>
          <w:color w:val="000000"/>
          <w:shd w:val="clear" w:color="auto" w:fill="FFFFFF"/>
        </w:rPr>
        <w:t>serum-dose response curves and calculate the dilution required to inhibit infectivity by 50% (NT</w:t>
      </w:r>
      <w:r w:rsidRPr="0022429D">
        <w:rPr>
          <w:rFonts w:eastAsia="Times New Roman"/>
          <w:color w:val="000000"/>
          <w:vertAlign w:val="subscript"/>
        </w:rPr>
        <w:t>50</w:t>
      </w:r>
      <w:r w:rsidRPr="0022429D">
        <w:rPr>
          <w:rFonts w:eastAsia="Times New Roman"/>
          <w:color w:val="000000"/>
          <w:shd w:val="clear" w:color="auto" w:fill="FFFFFF"/>
        </w:rPr>
        <w:t>) (</w:t>
      </w:r>
      <w:proofErr w:type="spellStart"/>
      <w:r w:rsidRPr="0022429D">
        <w:rPr>
          <w:rFonts w:eastAsia="Times New Roman"/>
          <w:color w:val="000000"/>
          <w:shd w:val="clear" w:color="auto" w:fill="FFFFFF"/>
        </w:rPr>
        <w:t>GraphPad</w:t>
      </w:r>
      <w:proofErr w:type="spellEnd"/>
      <w:r w:rsidRPr="0022429D">
        <w:rPr>
          <w:rFonts w:eastAsia="Times New Roman"/>
          <w:color w:val="000000"/>
          <w:shd w:val="clear" w:color="auto" w:fill="FFFFFF"/>
        </w:rPr>
        <w:t xml:space="preserve"> Prism, version 6.0g; </w:t>
      </w:r>
      <w:proofErr w:type="spellStart"/>
      <w:r w:rsidRPr="0022429D">
        <w:rPr>
          <w:rFonts w:eastAsia="Times New Roman"/>
          <w:color w:val="000000"/>
          <w:shd w:val="clear" w:color="auto" w:fill="FFFFFF"/>
        </w:rPr>
        <w:t>GraphPad</w:t>
      </w:r>
      <w:proofErr w:type="spellEnd"/>
      <w:r w:rsidRPr="0022429D">
        <w:rPr>
          <w:rFonts w:eastAsia="Times New Roman"/>
          <w:color w:val="000000"/>
          <w:shd w:val="clear" w:color="auto" w:fill="FFFFFF"/>
        </w:rPr>
        <w:t xml:space="preserve"> Software).</w:t>
      </w:r>
    </w:p>
    <w:p w14:paraId="01F041D6" w14:textId="77777777" w:rsidR="007B4BBF" w:rsidRPr="0022429D" w:rsidRDefault="007B4BBF" w:rsidP="00B2499B">
      <w:pPr>
        <w:spacing w:line="480" w:lineRule="auto"/>
        <w:ind w:firstLine="720"/>
      </w:pPr>
    </w:p>
    <w:p w14:paraId="791A4EE2" w14:textId="77777777" w:rsidR="00B2499B" w:rsidRPr="0022429D" w:rsidRDefault="00B2499B" w:rsidP="002F4A19">
      <w:pPr>
        <w:spacing w:line="480" w:lineRule="auto"/>
        <w:ind w:firstLine="720"/>
      </w:pPr>
    </w:p>
    <w:p w14:paraId="01513163" w14:textId="77777777" w:rsidR="002F4A19" w:rsidRDefault="002F4A19"/>
    <w:p w14:paraId="22E06222" w14:textId="77777777" w:rsidR="002F4A19" w:rsidRDefault="002F4A19"/>
    <w:p w14:paraId="15216A8D" w14:textId="77777777" w:rsidR="002F4A19" w:rsidRDefault="002F4A19"/>
    <w:sectPr w:rsidR="002F4A19" w:rsidSect="00C5496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A19"/>
    <w:rsid w:val="002F4A19"/>
    <w:rsid w:val="007B4BBF"/>
    <w:rsid w:val="00B2499B"/>
    <w:rsid w:val="00C54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744F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643</Words>
  <Characters>3668</Characters>
  <Application>Microsoft Macintosh Word</Application>
  <DocSecurity>0</DocSecurity>
  <Lines>30</Lines>
  <Paragraphs>8</Paragraphs>
  <ScaleCrop>false</ScaleCrop>
  <Company/>
  <LinksUpToDate>false</LinksUpToDate>
  <CharactersWithSpaces>4303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ALLISON</dc:creator>
  <cp:keywords/>
  <dc:description/>
  <cp:lastModifiedBy>ROBERT ALLISON</cp:lastModifiedBy>
  <cp:revision>2</cp:revision>
  <dcterms:created xsi:type="dcterms:W3CDTF">2019-04-07T21:28:00Z</dcterms:created>
  <dcterms:modified xsi:type="dcterms:W3CDTF">2019-04-07T22:02:00Z</dcterms:modified>
</cp:coreProperties>
</file>