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Results of JBI critical appraisal checklist for randomized controlled trials</w:t>
      </w:r>
    </w:p>
    <w:tbl>
      <w:tblPr>
        <w:tblStyle w:val="3"/>
        <w:tblpPr w:leftFromText="180" w:rightFromText="180" w:vertAnchor="page" w:horzAnchor="page" w:tblpX="353" w:tblpY="3098"/>
        <w:tblOverlap w:val="never"/>
        <w:tblW w:w="1647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975"/>
        <w:gridCol w:w="1050"/>
        <w:gridCol w:w="1093"/>
        <w:gridCol w:w="932"/>
        <w:gridCol w:w="1061"/>
        <w:gridCol w:w="1039"/>
        <w:gridCol w:w="1114"/>
        <w:gridCol w:w="922"/>
        <w:gridCol w:w="889"/>
        <w:gridCol w:w="1007"/>
        <w:gridCol w:w="954"/>
        <w:gridCol w:w="1136"/>
        <w:gridCol w:w="1082"/>
        <w:gridCol w:w="632"/>
        <w:gridCol w:w="104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5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Authors</w:t>
            </w:r>
          </w:p>
        </w:tc>
        <w:tc>
          <w:tcPr>
            <w:tcW w:w="9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True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randomizati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on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Allocation to treatment groups concealed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Treatment groups similar at baseline</w:t>
            </w:r>
          </w:p>
        </w:tc>
        <w:tc>
          <w:tcPr>
            <w:tcW w:w="9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Participants blind to treatment assignment</w:t>
            </w:r>
          </w:p>
        </w:tc>
        <w:tc>
          <w:tcPr>
            <w:tcW w:w="10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Providers blind to treatment assignment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Outcome assess blind to treatment assignment</w:t>
            </w:r>
          </w:p>
        </w:tc>
        <w:tc>
          <w:tcPr>
            <w:tcW w:w="111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Treatment groups treated identically other than intervention of interest</w:t>
            </w:r>
          </w:p>
        </w:tc>
        <w:tc>
          <w:tcPr>
            <w:tcW w:w="92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Loss to follow up described</w:t>
            </w: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Intention-to-treat analysis</w:t>
            </w:r>
          </w:p>
        </w:tc>
        <w:tc>
          <w:tcPr>
            <w:tcW w:w="100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Outcomes measured in same way</w:t>
            </w:r>
          </w:p>
        </w:tc>
        <w:tc>
          <w:tcPr>
            <w:tcW w:w="95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Outcomes measured in reliable way</w:t>
            </w:r>
          </w:p>
        </w:tc>
        <w:tc>
          <w:tcPr>
            <w:tcW w:w="113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Appropriate statistical analysis used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Trial design appropriate</w:t>
            </w:r>
          </w:p>
        </w:tc>
        <w:tc>
          <w:tcPr>
            <w:tcW w:w="6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score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ercentage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ind w:left="240" w:hanging="150" w:hangingChars="100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Ahn et al., 2021</w:t>
            </w:r>
          </w:p>
        </w:tc>
        <w:tc>
          <w:tcPr>
            <w:tcW w:w="97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9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Alotaibi et al.</w:t>
            </w:r>
            <w:r>
              <w:rPr>
                <w:rFonts w:hint="default" w:ascii="Times New Roman" w:hAnsi="Times New Roman" w:eastAsia="DejaVuSans" w:cs="Times New Roman"/>
                <w:color w:val="000000"/>
                <w:kern w:val="0"/>
                <w:sz w:val="15"/>
                <w:szCs w:val="15"/>
                <w:lang w:bidi="ar"/>
              </w:rPr>
              <w:t>, 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Alothman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Arkkukangas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Cookson et al., 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Cowley et al., 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Feith et al., 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58.33%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García Pérez de Sevilla et al., 2021a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69.23%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García Pérez de Sevilla et al., 2021b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Garcia et al., 2023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9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69.23%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Grajek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bookmarkStart w:id="0" w:name="OLE_LINK1"/>
            <w:bookmarkStart w:id="1" w:name="OLE_LINK2"/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  <w:bookmarkEnd w:id="0"/>
            <w:bookmarkEnd w:id="1"/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Granet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69.23%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Ha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46.15%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Hsu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Jafree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46.15%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Kim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U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U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N/A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83.33%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Laird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69.23%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Liang et al.,2021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46.15%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Lin et al.,2021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11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84.62%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McDonough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Mueller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sz w:val="15"/>
                <w:szCs w:val="15"/>
                <w:lang w:val="en-AU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69.23%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Murukesu et al.,2021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Nekar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Plumb Vilardaga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Schneider et al.,2021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Seixas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U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92.31%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Silva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bookmarkStart w:id="2" w:name="OLE_LINK3"/>
            <w:bookmarkStart w:id="3" w:name="OLE_LINK4"/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  <w:bookmarkEnd w:id="2"/>
            <w:bookmarkEnd w:id="3"/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10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76.92%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Torres et al., 2021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Y                                  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U                             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Wilke et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U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61.54%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Zhao 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et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 al.,2022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03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8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95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6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53.85%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sz w:val="15"/>
          <w:szCs w:val="15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4" w:name="_GoBack"/>
      <w:bookmarkEnd w:id="4"/>
      <w:r>
        <w:rPr>
          <w:rFonts w:hint="default" w:ascii="Times New Roman" w:hAnsi="Times New Roman" w:cs="Times New Roman"/>
          <w:lang w:val="en-US" w:eastAsia="zh-CN"/>
        </w:rPr>
        <w:t>Results of JBI critical appraisal checklist for quasi-experimental</w:t>
      </w:r>
    </w:p>
    <w:tbl>
      <w:tblPr>
        <w:tblStyle w:val="3"/>
        <w:tblpPr w:leftFromText="180" w:rightFromText="180" w:vertAnchor="page" w:horzAnchor="page" w:tblpX="1230" w:tblpY="2221"/>
        <w:tblOverlap w:val="never"/>
        <w:tblW w:w="1458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350"/>
        <w:gridCol w:w="1071"/>
        <w:gridCol w:w="1222"/>
        <w:gridCol w:w="1146"/>
        <w:gridCol w:w="1189"/>
        <w:gridCol w:w="1168"/>
        <w:gridCol w:w="1093"/>
        <w:gridCol w:w="1145"/>
        <w:gridCol w:w="1256"/>
        <w:gridCol w:w="783"/>
        <w:gridCol w:w="12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9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Authors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Outcome measured as effect of the potential cause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Treatment groups similar at baseline</w:t>
            </w:r>
          </w:p>
        </w:tc>
        <w:tc>
          <w:tcPr>
            <w:tcW w:w="122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Treatment groups treated identically other than intervention of interest</w:t>
            </w:r>
          </w:p>
        </w:tc>
        <w:tc>
          <w:tcPr>
            <w:tcW w:w="114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Control group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Multiple pre- and post-intervention measurements</w:t>
            </w:r>
          </w:p>
        </w:tc>
        <w:tc>
          <w:tcPr>
            <w:tcW w:w="116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Loss to follow up described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Outcomes measured in same way</w:t>
            </w:r>
          </w:p>
        </w:tc>
        <w:tc>
          <w:tcPr>
            <w:tcW w:w="11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Outcomes measured in reliable way</w:t>
            </w:r>
          </w:p>
        </w:tc>
        <w:tc>
          <w:tcPr>
            <w:tcW w:w="125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Calibri" w:cs="Times New Roman"/>
                <w:sz w:val="15"/>
                <w:szCs w:val="15"/>
                <w:lang w:val="en-AU"/>
              </w:rPr>
              <w:t>Appropriate statistical analysis used</w:t>
            </w:r>
          </w:p>
        </w:tc>
        <w:tc>
          <w:tcPr>
            <w:tcW w:w="7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core</w:t>
            </w:r>
          </w:p>
        </w:tc>
        <w:tc>
          <w:tcPr>
            <w:tcW w:w="12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ercentage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95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Capps et al.,2022</w:t>
            </w:r>
          </w:p>
        </w:tc>
        <w:tc>
          <w:tcPr>
            <w:tcW w:w="135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Ceylan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&amp; Hayran,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N/A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71.43%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Cho et al., 2023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Frias-Navarro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Friedman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77.7%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Gelfand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Han et al.,2022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Iles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Jordan et al.,2021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U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37.5%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Kemp et al.,2021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Kerr et al.,2021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Kim &amp; Ryoo,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Kleschnitzki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Linares et al., 2023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Matkovic et al.,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Miyajima &amp; Murakami,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Muis et al.,2022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55.5%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 Neumer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57.14%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Okuhara et al., 2020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71.43%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Peng</w:t>
            </w: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 xml:space="preserve">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42.86%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Solnick et al.,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Sparkman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Starick et al.,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42.86%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Thorpe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van Baal et al.,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Wilson et al., 2021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77.7%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Wilson et al.,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2020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Xiao &amp; Yu, 2022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N/A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1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50%</w:t>
            </w:r>
          </w:p>
        </w:tc>
      </w:tr>
    </w:tbl>
    <w:p>
      <w:pPr>
        <w:rPr>
          <w:rFonts w:hint="default" w:ascii="Times New Roman" w:hAnsi="Times New Roman" w:cs="Times New Roman"/>
          <w:sz w:val="15"/>
          <w:szCs w:val="15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Sans">
    <w:altName w:val="Anonymou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4YmRmMzA3YzE4NWVkMjRlMWY2ZmZlMzIwNTc1YTEifQ=="/>
  </w:docVars>
  <w:rsids>
    <w:rsidRoot w:val="00B4670B"/>
    <w:rsid w:val="00014E77"/>
    <w:rsid w:val="000A2EC9"/>
    <w:rsid w:val="0016106D"/>
    <w:rsid w:val="00161E58"/>
    <w:rsid w:val="003703D3"/>
    <w:rsid w:val="003C6EFE"/>
    <w:rsid w:val="004723A0"/>
    <w:rsid w:val="005071B5"/>
    <w:rsid w:val="00581107"/>
    <w:rsid w:val="005D5FD3"/>
    <w:rsid w:val="006362C4"/>
    <w:rsid w:val="00772557"/>
    <w:rsid w:val="007D1AD1"/>
    <w:rsid w:val="007D51E7"/>
    <w:rsid w:val="008E5B65"/>
    <w:rsid w:val="00976320"/>
    <w:rsid w:val="00A43F16"/>
    <w:rsid w:val="00A61B9A"/>
    <w:rsid w:val="00A85275"/>
    <w:rsid w:val="00AA7FF1"/>
    <w:rsid w:val="00AC64C5"/>
    <w:rsid w:val="00AD6B33"/>
    <w:rsid w:val="00B307AD"/>
    <w:rsid w:val="00B4670B"/>
    <w:rsid w:val="00B5579E"/>
    <w:rsid w:val="00BA37FB"/>
    <w:rsid w:val="00BD179E"/>
    <w:rsid w:val="00C4671C"/>
    <w:rsid w:val="00D10157"/>
    <w:rsid w:val="00D3277E"/>
    <w:rsid w:val="00E7729B"/>
    <w:rsid w:val="00F5651C"/>
    <w:rsid w:val="00F719F8"/>
    <w:rsid w:val="00F75EF2"/>
    <w:rsid w:val="00F771FD"/>
    <w:rsid w:val="00F77CC8"/>
    <w:rsid w:val="01305667"/>
    <w:rsid w:val="01623198"/>
    <w:rsid w:val="01F23506"/>
    <w:rsid w:val="02781BC8"/>
    <w:rsid w:val="04770389"/>
    <w:rsid w:val="062F4FBC"/>
    <w:rsid w:val="06616243"/>
    <w:rsid w:val="07100612"/>
    <w:rsid w:val="08123F24"/>
    <w:rsid w:val="0906717A"/>
    <w:rsid w:val="09104908"/>
    <w:rsid w:val="0A977B35"/>
    <w:rsid w:val="0AAB3353"/>
    <w:rsid w:val="0B265789"/>
    <w:rsid w:val="0B31299E"/>
    <w:rsid w:val="0B3719F9"/>
    <w:rsid w:val="0B8851E8"/>
    <w:rsid w:val="0CE305B5"/>
    <w:rsid w:val="0E4F7062"/>
    <w:rsid w:val="0E547045"/>
    <w:rsid w:val="0ECB1C7E"/>
    <w:rsid w:val="0EE949CE"/>
    <w:rsid w:val="0F6F50C4"/>
    <w:rsid w:val="10437371"/>
    <w:rsid w:val="104E4A31"/>
    <w:rsid w:val="12D6518C"/>
    <w:rsid w:val="1347549A"/>
    <w:rsid w:val="13F54C25"/>
    <w:rsid w:val="148F3B35"/>
    <w:rsid w:val="14905CEB"/>
    <w:rsid w:val="149E726C"/>
    <w:rsid w:val="14CF1B1B"/>
    <w:rsid w:val="14DC59B9"/>
    <w:rsid w:val="151B6B7E"/>
    <w:rsid w:val="16E04047"/>
    <w:rsid w:val="17023688"/>
    <w:rsid w:val="19D35A3A"/>
    <w:rsid w:val="19EF056A"/>
    <w:rsid w:val="1B657EB9"/>
    <w:rsid w:val="1BB21792"/>
    <w:rsid w:val="1C2564C4"/>
    <w:rsid w:val="1C800B37"/>
    <w:rsid w:val="1CB65C58"/>
    <w:rsid w:val="1DC87E83"/>
    <w:rsid w:val="1F0506DA"/>
    <w:rsid w:val="249F66A6"/>
    <w:rsid w:val="24CE3323"/>
    <w:rsid w:val="268F2EB8"/>
    <w:rsid w:val="269E7C09"/>
    <w:rsid w:val="26FD42C6"/>
    <w:rsid w:val="278301EA"/>
    <w:rsid w:val="281523B6"/>
    <w:rsid w:val="2A186697"/>
    <w:rsid w:val="2A7051A6"/>
    <w:rsid w:val="2A8D1AFD"/>
    <w:rsid w:val="2B075C65"/>
    <w:rsid w:val="2B2F56C4"/>
    <w:rsid w:val="2D5717A7"/>
    <w:rsid w:val="2DB32EFA"/>
    <w:rsid w:val="2E0B376C"/>
    <w:rsid w:val="2E2E369D"/>
    <w:rsid w:val="2E5E6191"/>
    <w:rsid w:val="2FBE130D"/>
    <w:rsid w:val="30A77050"/>
    <w:rsid w:val="31327ECB"/>
    <w:rsid w:val="31C12394"/>
    <w:rsid w:val="32FA790B"/>
    <w:rsid w:val="331D36BE"/>
    <w:rsid w:val="33C1701E"/>
    <w:rsid w:val="34000165"/>
    <w:rsid w:val="344F599F"/>
    <w:rsid w:val="347C5A93"/>
    <w:rsid w:val="37831FDC"/>
    <w:rsid w:val="39B44AD7"/>
    <w:rsid w:val="3A046550"/>
    <w:rsid w:val="3B2740D4"/>
    <w:rsid w:val="3BF32267"/>
    <w:rsid w:val="3C003E02"/>
    <w:rsid w:val="3C8F74E0"/>
    <w:rsid w:val="3CDD3D61"/>
    <w:rsid w:val="3D4E137F"/>
    <w:rsid w:val="3D5F318D"/>
    <w:rsid w:val="3EAB2402"/>
    <w:rsid w:val="3EF913BF"/>
    <w:rsid w:val="3FA73DCB"/>
    <w:rsid w:val="40E666D6"/>
    <w:rsid w:val="427F607F"/>
    <w:rsid w:val="42E43195"/>
    <w:rsid w:val="42FA567F"/>
    <w:rsid w:val="43235518"/>
    <w:rsid w:val="454C355D"/>
    <w:rsid w:val="45531A86"/>
    <w:rsid w:val="460A6426"/>
    <w:rsid w:val="46A15647"/>
    <w:rsid w:val="47601278"/>
    <w:rsid w:val="47A169D9"/>
    <w:rsid w:val="487C33A3"/>
    <w:rsid w:val="48D84B2B"/>
    <w:rsid w:val="4B5856BF"/>
    <w:rsid w:val="4C5914D6"/>
    <w:rsid w:val="4D1B4BF6"/>
    <w:rsid w:val="4D84736B"/>
    <w:rsid w:val="4F2F1620"/>
    <w:rsid w:val="4F4331C8"/>
    <w:rsid w:val="502A2FD7"/>
    <w:rsid w:val="50C75319"/>
    <w:rsid w:val="52506890"/>
    <w:rsid w:val="52C2463C"/>
    <w:rsid w:val="5310078E"/>
    <w:rsid w:val="53432B32"/>
    <w:rsid w:val="53571CE5"/>
    <w:rsid w:val="547058E0"/>
    <w:rsid w:val="56CE500E"/>
    <w:rsid w:val="57832294"/>
    <w:rsid w:val="57AC6B77"/>
    <w:rsid w:val="57B40C03"/>
    <w:rsid w:val="580263B8"/>
    <w:rsid w:val="581D2BE2"/>
    <w:rsid w:val="58240BB0"/>
    <w:rsid w:val="58AC2BA6"/>
    <w:rsid w:val="594A2AEB"/>
    <w:rsid w:val="5B3F160B"/>
    <w:rsid w:val="5B463948"/>
    <w:rsid w:val="5B505186"/>
    <w:rsid w:val="5CCF456B"/>
    <w:rsid w:val="5D3B49BA"/>
    <w:rsid w:val="5DFB460D"/>
    <w:rsid w:val="5F4E2C09"/>
    <w:rsid w:val="600225BA"/>
    <w:rsid w:val="601B6AC0"/>
    <w:rsid w:val="61025D9D"/>
    <w:rsid w:val="61C86BA3"/>
    <w:rsid w:val="62952E2B"/>
    <w:rsid w:val="631E3D17"/>
    <w:rsid w:val="63CF256B"/>
    <w:rsid w:val="63D90A62"/>
    <w:rsid w:val="64B60849"/>
    <w:rsid w:val="65F91B21"/>
    <w:rsid w:val="667D7B98"/>
    <w:rsid w:val="66AB0941"/>
    <w:rsid w:val="671D539B"/>
    <w:rsid w:val="676B11BC"/>
    <w:rsid w:val="6865349E"/>
    <w:rsid w:val="693D07DD"/>
    <w:rsid w:val="6DEC7532"/>
    <w:rsid w:val="6EA0512F"/>
    <w:rsid w:val="6F9D0520"/>
    <w:rsid w:val="73794114"/>
    <w:rsid w:val="73AB29D6"/>
    <w:rsid w:val="7488443F"/>
    <w:rsid w:val="75461F61"/>
    <w:rsid w:val="781529CB"/>
    <w:rsid w:val="78532FC3"/>
    <w:rsid w:val="7A5D7213"/>
    <w:rsid w:val="7AD74DE8"/>
    <w:rsid w:val="7B3138B1"/>
    <w:rsid w:val="7C515890"/>
    <w:rsid w:val="7E2146A1"/>
    <w:rsid w:val="7E5958EF"/>
    <w:rsid w:val="7F59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1111</Words>
  <Characters>2942</Characters>
  <Lines>15</Lines>
  <Paragraphs>4</Paragraphs>
  <TotalTime>1</TotalTime>
  <ScaleCrop>false</ScaleCrop>
  <LinksUpToDate>false</LinksUpToDate>
  <CharactersWithSpaces>3271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2023-04-19T03:20:00Z</dcterms:created>
  <dc:creator>16256</dc:creator>
  <cp:lastModifiedBy>16256</cp:lastModifiedBy>
  <dcterms:modified xsi:type="dcterms:W3CDTF">2023-05-19T07:57:27Z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9D5A97638272457EAFD97913E8F93D7E_12</vt:lpwstr>
  </property>
</Properties>
</file>